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glossary/document.xml" ContentType="application/vnd.openxmlformats-officedocument.wordprocessingml.document.glossary+xml"/>
  <Override PartName="/word/header.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body>
    <w:p xmlns:wp14="http://schemas.microsoft.com/office/word/2010/wordml" w14:paraId="523E48DB" wp14:textId="77777777">
      <w:pPr>
        <w:pStyle w:val="BodyText"/>
        <w:rPr>
          <w:rFonts w:ascii="Times New Roman"/>
          <w:sz w:val="20"/>
        </w:rPr>
      </w:pPr>
      <w:r>
        <w:rPr/>
        <w:pict w14:anchorId="2594A500">
          <v:shapetype id="_x0000_t202" coordsize="21600,21600" o:spt="202" path="m,l,21600r21600,l21600,xe">
            <v:stroke joinstyle="miter"/>
            <v:path gradientshapeok="t" o:connecttype="rect"/>
          </v:shapetype>
          <v:shape style="position:absolute;margin-left:84.024002pt;margin-top:781.141785pt;width:332.7pt;height:12.35pt;mso-position-horizontal-relative:page;mso-position-vertical-relative:page;z-index:-15841792" filled="false" stroked="false" type="#_x0000_t202">
            <v:textbox inset="0,0,0,0">
              <w:txbxContent>
                <w:p w14:paraId="5B6B6967" wp14:textId="77777777">
                  <w:pPr>
                    <w:tabs>
                      <w:tab w:val="left" w:leader="none" w:pos="2374"/>
                    </w:tabs>
                    <w:spacing w:before="0" w:line="247" w:lineRule="exact"/>
                    <w:ind w:left="0" w:right="0" w:firstLine="0"/>
                    <w:jc w:val="left"/>
                    <w:rPr>
                      <w:sz w:val="22"/>
                    </w:rPr>
                  </w:pPr>
                  <w:r>
                    <w:rPr>
                      <w:color w:val="808080"/>
                      <w:sz w:val="22"/>
                    </w:rPr>
                    <w:t>1</w:t>
                  </w:r>
                  <w:r>
                    <w:rPr>
                      <w:color w:val="808080"/>
                      <w:sz w:val="22"/>
                    </w:rPr>
                    <w:tab/>
                  </w:r>
                  <w:r>
                    <w:rPr>
                      <w:color w:val="808080"/>
                      <w:sz w:val="22"/>
                    </w:rPr>
                    <w:t>Activ Submission: An Ordinary Life at</w:t>
                  </w:r>
                  <w:r>
                    <w:rPr>
                      <w:color w:val="808080"/>
                      <w:spacing w:val="-13"/>
                      <w:sz w:val="22"/>
                    </w:rPr>
                    <w:t> </w:t>
                  </w:r>
                  <w:r>
                    <w:rPr>
                      <w:color w:val="808080"/>
                      <w:sz w:val="22"/>
                    </w:rPr>
                    <w:t>Home</w:t>
                  </w:r>
                </w:p>
              </w:txbxContent>
            </v:textbox>
            <w10:wrap type="none"/>
          </v:shape>
        </w:pict>
      </w:r>
      <w:r>
        <w:rPr/>
        <w:drawing>
          <wp:anchor xmlns:wp14="http://schemas.microsoft.com/office/word/2010/wordprocessingDrawing" distT="0" distB="0" distL="0" distR="0" simplePos="0" relativeHeight="487475200" behindDoc="1" locked="0" layoutInCell="1" allowOverlap="1" wp14:anchorId="1252152D" wp14:editId="7777777">
            <wp:simplePos x="0" y="0"/>
            <wp:positionH relativeFrom="page">
              <wp:posOffset>0</wp:posOffset>
            </wp:positionH>
            <wp:positionV relativeFrom="page">
              <wp:posOffset>0</wp:posOffset>
            </wp:positionV>
            <wp:extent cx="7563611" cy="1067561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63611" cy="10675617"/>
                    </a:xfrm>
                    <a:prstGeom prst="rect">
                      <a:avLst/>
                    </a:prstGeom>
                  </pic:spPr>
                </pic:pic>
              </a:graphicData>
            </a:graphic>
          </wp:anchor>
        </w:drawing>
      </w:r>
    </w:p>
    <w:p xmlns:wp14="http://schemas.microsoft.com/office/word/2010/wordml" w14:paraId="672A6659" wp14:textId="77777777">
      <w:pPr>
        <w:pStyle w:val="BodyText"/>
        <w:rPr>
          <w:rFonts w:ascii="Times New Roman"/>
          <w:sz w:val="20"/>
        </w:rPr>
      </w:pPr>
    </w:p>
    <w:p xmlns:wp14="http://schemas.microsoft.com/office/word/2010/wordml" w14:paraId="0A37501D" wp14:textId="77777777">
      <w:pPr>
        <w:pStyle w:val="BodyText"/>
        <w:rPr>
          <w:rFonts w:ascii="Times New Roman"/>
          <w:sz w:val="20"/>
        </w:rPr>
      </w:pPr>
    </w:p>
    <w:p xmlns:wp14="http://schemas.microsoft.com/office/word/2010/wordml" w14:paraId="5DAB6C7B" wp14:textId="77777777">
      <w:pPr>
        <w:pStyle w:val="BodyText"/>
        <w:rPr>
          <w:rFonts w:ascii="Times New Roman"/>
          <w:sz w:val="20"/>
        </w:rPr>
      </w:pPr>
    </w:p>
    <w:p xmlns:wp14="http://schemas.microsoft.com/office/word/2010/wordml" w14:paraId="02EB378F" wp14:textId="77777777">
      <w:pPr>
        <w:pStyle w:val="BodyText"/>
        <w:rPr>
          <w:rFonts w:ascii="Times New Roman"/>
          <w:sz w:val="20"/>
        </w:rPr>
      </w:pPr>
    </w:p>
    <w:p xmlns:wp14="http://schemas.microsoft.com/office/word/2010/wordml" w14:paraId="6A05A809" wp14:textId="77777777">
      <w:pPr>
        <w:pStyle w:val="BodyText"/>
        <w:rPr>
          <w:rFonts w:ascii="Times New Roman"/>
          <w:sz w:val="20"/>
        </w:rPr>
      </w:pPr>
    </w:p>
    <w:p xmlns:wp14="http://schemas.microsoft.com/office/word/2010/wordml" w14:paraId="5A39BBE3" wp14:textId="77777777">
      <w:pPr>
        <w:pStyle w:val="BodyText"/>
        <w:rPr>
          <w:rFonts w:ascii="Times New Roman"/>
          <w:sz w:val="20"/>
        </w:rPr>
      </w:pPr>
    </w:p>
    <w:p xmlns:wp14="http://schemas.microsoft.com/office/word/2010/wordml" w14:paraId="41C8F396" wp14:textId="77777777">
      <w:pPr>
        <w:pStyle w:val="BodyText"/>
        <w:rPr>
          <w:rFonts w:ascii="Times New Roman"/>
          <w:sz w:val="20"/>
        </w:rPr>
      </w:pPr>
    </w:p>
    <w:p xmlns:wp14="http://schemas.microsoft.com/office/word/2010/wordml" w14:paraId="72A3D3EC" wp14:textId="77777777">
      <w:pPr>
        <w:pStyle w:val="BodyText"/>
        <w:rPr>
          <w:rFonts w:ascii="Times New Roman"/>
          <w:sz w:val="20"/>
        </w:rPr>
      </w:pPr>
    </w:p>
    <w:p xmlns:wp14="http://schemas.microsoft.com/office/word/2010/wordml" w14:paraId="2C4DE5D4" wp14:textId="77777777">
      <w:pPr>
        <w:pStyle w:val="Title"/>
        <w:spacing w:before="200"/>
        <w:ind w:left="1101"/>
      </w:pPr>
      <w:r>
        <w:rPr>
          <w:color w:val="FFFFFF"/>
        </w:rPr>
        <w:t>Activ Submission on NDIA Consultation Paper</w:t>
      </w:r>
    </w:p>
    <w:p xmlns:wp14="http://schemas.microsoft.com/office/word/2010/wordml" w14:paraId="0D0B940D" wp14:textId="77777777">
      <w:pPr>
        <w:pStyle w:val="BodyText"/>
        <w:rPr>
          <w:b/>
          <w:sz w:val="58"/>
        </w:rPr>
      </w:pPr>
    </w:p>
    <w:p xmlns:wp14="http://schemas.microsoft.com/office/word/2010/wordml" w14:paraId="0E27B00A" wp14:textId="77777777">
      <w:pPr>
        <w:pStyle w:val="BodyText"/>
        <w:spacing w:before="11"/>
        <w:rPr>
          <w:b/>
          <w:sz w:val="45"/>
        </w:rPr>
      </w:pPr>
    </w:p>
    <w:p xmlns:wp14="http://schemas.microsoft.com/office/word/2010/wordml" w14:paraId="14393F65" wp14:textId="77777777">
      <w:pPr>
        <w:pStyle w:val="Title"/>
      </w:pPr>
      <w:r>
        <w:rPr>
          <w:color w:val="FFFFFF"/>
        </w:rPr>
        <w:t>An Ordinary Life at Home</w:t>
      </w:r>
    </w:p>
    <w:p xmlns:wp14="http://schemas.microsoft.com/office/word/2010/wordml" w14:paraId="60061E4C" wp14:textId="77777777">
      <w:pPr>
        <w:spacing w:after="0"/>
        <w:sectPr>
          <w:type w:val="continuous"/>
          <w:pgSz w:w="11920" w:h="16850" w:orient="portrait"/>
          <w:pgMar w:top="1600" w:right="1580" w:bottom="280" w:left="1580"/>
          <w:headerReference w:type="default" r:id="Rad72989bed084c7b"/>
          <w:footerReference w:type="default" r:id="R7fb60c950dc04c51"/>
        </w:sectPr>
      </w:pPr>
    </w:p>
    <w:p xmlns:wp14="http://schemas.microsoft.com/office/word/2010/wordml" w14:paraId="44EAFD9C" wp14:textId="77777777">
      <w:pPr>
        <w:pStyle w:val="BodyText"/>
        <w:rPr>
          <w:b/>
          <w:sz w:val="20"/>
        </w:rPr>
      </w:pPr>
    </w:p>
    <w:p xmlns:wp14="http://schemas.microsoft.com/office/word/2010/wordml" w14:paraId="406425CA" wp14:textId="77777777">
      <w:pPr>
        <w:spacing w:before="243"/>
        <w:ind w:left="100" w:right="0" w:firstLine="0"/>
        <w:jc w:val="left"/>
        <w:rPr>
          <w:sz w:val="32"/>
        </w:rPr>
      </w:pPr>
      <w:r>
        <w:rPr>
          <w:color w:val="365F91"/>
          <w:sz w:val="32"/>
        </w:rPr>
        <w:t>Contents</w:t>
      </w:r>
    </w:p>
    <w:sdt>
      <w:sdtPr>
        <w:id w:val="1407691031"/>
        <w:docPartObj>
          <w:docPartGallery w:val="Table of Contents"/>
          <w:docPartUnique/>
        </w:docPartObj>
      </w:sdtPr>
      <w:sdtEndPr/>
      <w:sdtContent>
        <w:p xmlns:wp14="http://schemas.microsoft.com/office/word/2010/wordml" w14:paraId="0091679D" wp14:textId="77777777">
          <w:pPr>
            <w:pStyle w:val="TOC1"/>
            <w:numPr>
              <w:ilvl w:val="0"/>
              <w:numId w:val="1"/>
            </w:numPr>
            <w:tabs>
              <w:tab w:val="left" w:leader="none" w:pos="760"/>
              <w:tab w:val="left" w:leader="none" w:pos="761"/>
              <w:tab w:val="right" w:leader="dot" w:pos="8642"/>
            </w:tabs>
            <w:spacing w:before="649" w:after="0" w:line="240" w:lineRule="auto"/>
            <w:ind w:left="760" w:right="0" w:hanging="440"/>
            <w:jc w:val="left"/>
            <w:rPr>
              <w:rFonts w:ascii="Calibri"/>
              <w:b w:val="0"/>
            </w:rPr>
          </w:pPr>
          <w:hyperlink w:history="true" w:anchor="_bookmark0">
            <w:r>
              <w:rPr/>
              <w:t>Introduction</w:t>
            </w:r>
            <w:r>
              <w:rPr/>
              <w:tab/>
            </w:r>
            <w:r>
              <w:rPr>
                <w:rFonts w:ascii="Calibri"/>
                <w:b w:val="0"/>
              </w:rPr>
              <w:t>3</w:t>
            </w:r>
          </w:hyperlink>
        </w:p>
        <w:p xmlns:wp14="http://schemas.microsoft.com/office/word/2010/wordml" w14:paraId="0EE59CF9" wp14:textId="77777777">
          <w:pPr>
            <w:pStyle w:val="TOC1"/>
            <w:numPr>
              <w:ilvl w:val="0"/>
              <w:numId w:val="1"/>
            </w:numPr>
            <w:tabs>
              <w:tab w:val="left" w:leader="none" w:pos="760"/>
              <w:tab w:val="left" w:leader="none" w:pos="761"/>
              <w:tab w:val="right" w:leader="dot" w:pos="8642"/>
            </w:tabs>
            <w:spacing w:before="123" w:after="0" w:line="240" w:lineRule="auto"/>
            <w:ind w:left="760" w:right="0" w:hanging="440"/>
            <w:jc w:val="left"/>
            <w:rPr>
              <w:rFonts w:ascii="Calibri"/>
              <w:b w:val="0"/>
            </w:rPr>
          </w:pPr>
          <w:hyperlink w:history="true" w:anchor="_bookmark1">
            <w:r>
              <w:rPr/>
              <w:t>Reforming the</w:t>
            </w:r>
            <w:r>
              <w:rPr>
                <w:spacing w:val="-4"/>
              </w:rPr>
              <w:t> </w:t>
            </w:r>
            <w:r>
              <w:rPr/>
              <w:t>Funding</w:t>
            </w:r>
            <w:r>
              <w:rPr>
                <w:spacing w:val="-3"/>
              </w:rPr>
              <w:t> </w:t>
            </w:r>
            <w:r>
              <w:rPr/>
              <w:t>Model</w:t>
            </w:r>
            <w:r>
              <w:rPr/>
              <w:tab/>
            </w:r>
            <w:r>
              <w:rPr>
                <w:rFonts w:ascii="Calibri"/>
                <w:b w:val="0"/>
              </w:rPr>
              <w:t>3</w:t>
            </w:r>
          </w:hyperlink>
        </w:p>
        <w:p xmlns:wp14="http://schemas.microsoft.com/office/word/2010/wordml" w14:paraId="3D6AABE9" wp14:textId="77777777">
          <w:pPr>
            <w:pStyle w:val="TOC2"/>
            <w:numPr>
              <w:ilvl w:val="1"/>
              <w:numId w:val="1"/>
            </w:numPr>
            <w:tabs>
              <w:tab w:val="left" w:leader="none" w:pos="1199"/>
              <w:tab w:val="left" w:leader="none" w:pos="1200"/>
              <w:tab w:val="right" w:leader="dot" w:pos="8642"/>
            </w:tabs>
            <w:spacing w:before="120" w:after="0" w:line="240" w:lineRule="auto"/>
            <w:ind w:left="1199" w:right="0" w:hanging="661"/>
            <w:jc w:val="left"/>
            <w:rPr>
              <w:rFonts w:ascii="Calibri"/>
              <w:i w:val="0"/>
            </w:rPr>
          </w:pPr>
          <w:hyperlink w:history="true" w:anchor="_bookmark2">
            <w:r>
              <w:rPr>
                <w:i/>
              </w:rPr>
              <w:t>Support for flexibility</w:t>
            </w:r>
            <w:r>
              <w:rPr>
                <w:i/>
                <w:spacing w:val="-5"/>
              </w:rPr>
              <w:t> </w:t>
            </w:r>
            <w:r>
              <w:rPr>
                <w:i/>
              </w:rPr>
              <w:t>in funding</w:t>
            </w:r>
            <w:r>
              <w:rPr>
                <w:i/>
              </w:rPr>
              <w:tab/>
            </w:r>
            <w:r>
              <w:rPr>
                <w:rFonts w:ascii="Calibri"/>
                <w:i w:val="0"/>
              </w:rPr>
              <w:t>3</w:t>
            </w:r>
          </w:hyperlink>
        </w:p>
        <w:p xmlns:wp14="http://schemas.microsoft.com/office/word/2010/wordml" w14:paraId="796D9611" wp14:textId="77777777">
          <w:pPr>
            <w:pStyle w:val="TOC2"/>
            <w:numPr>
              <w:ilvl w:val="1"/>
              <w:numId w:val="1"/>
            </w:numPr>
            <w:tabs>
              <w:tab w:val="left" w:leader="none" w:pos="1199"/>
              <w:tab w:val="left" w:leader="none" w:pos="1200"/>
              <w:tab w:val="right" w:leader="dot" w:pos="8642"/>
            </w:tabs>
            <w:spacing w:before="120" w:after="0" w:line="240" w:lineRule="auto"/>
            <w:ind w:left="1199" w:right="0" w:hanging="661"/>
            <w:jc w:val="left"/>
            <w:rPr>
              <w:rFonts w:ascii="Calibri"/>
              <w:i w:val="0"/>
            </w:rPr>
          </w:pPr>
          <w:hyperlink w:history="true" w:anchor="_bookmark3">
            <w:r>
              <w:rPr>
                <w:i/>
              </w:rPr>
              <w:t>Concerns about slow decision making and</w:t>
            </w:r>
            <w:r>
              <w:rPr>
                <w:i/>
                <w:spacing w:val="-1"/>
              </w:rPr>
              <w:t> </w:t>
            </w:r>
            <w:r>
              <w:rPr>
                <w:i/>
              </w:rPr>
              <w:t>poor</w:t>
            </w:r>
            <w:r>
              <w:rPr>
                <w:i/>
                <w:spacing w:val="-1"/>
              </w:rPr>
              <w:t> </w:t>
            </w:r>
            <w:r>
              <w:rPr>
                <w:i/>
              </w:rPr>
              <w:t>communication</w:t>
            </w:r>
            <w:r>
              <w:rPr>
                <w:i/>
              </w:rPr>
              <w:tab/>
            </w:r>
            <w:r>
              <w:rPr>
                <w:rFonts w:ascii="Calibri"/>
                <w:i w:val="0"/>
              </w:rPr>
              <w:t>3</w:t>
            </w:r>
          </w:hyperlink>
        </w:p>
        <w:p xmlns:wp14="http://schemas.microsoft.com/office/word/2010/wordml" w14:paraId="6FE6C641" wp14:textId="77777777">
          <w:pPr>
            <w:pStyle w:val="TOC2"/>
            <w:numPr>
              <w:ilvl w:val="1"/>
              <w:numId w:val="1"/>
            </w:numPr>
            <w:tabs>
              <w:tab w:val="left" w:leader="none" w:pos="1199"/>
              <w:tab w:val="left" w:leader="none" w:pos="1200"/>
              <w:tab w:val="right" w:leader="dot" w:pos="8642"/>
            </w:tabs>
            <w:spacing w:before="123" w:after="0" w:line="240" w:lineRule="auto"/>
            <w:ind w:left="1199" w:right="0" w:hanging="661"/>
            <w:jc w:val="left"/>
            <w:rPr>
              <w:rFonts w:ascii="Calibri"/>
              <w:i w:val="0"/>
            </w:rPr>
          </w:pPr>
          <w:hyperlink w:history="true" w:anchor="_bookmark4">
            <w:r>
              <w:rPr>
                <w:i/>
              </w:rPr>
              <w:t>Misalignment of funding</w:t>
            </w:r>
            <w:r>
              <w:rPr>
                <w:i/>
                <w:spacing w:val="-2"/>
              </w:rPr>
              <w:t> </w:t>
            </w:r>
            <w:r>
              <w:rPr>
                <w:i/>
              </w:rPr>
              <w:t>to needs</w:t>
            </w:r>
            <w:r>
              <w:rPr>
                <w:i/>
              </w:rPr>
              <w:tab/>
            </w:r>
            <w:r>
              <w:rPr>
                <w:rFonts w:ascii="Calibri"/>
                <w:i w:val="0"/>
              </w:rPr>
              <w:t>4</w:t>
            </w:r>
          </w:hyperlink>
        </w:p>
        <w:p xmlns:wp14="http://schemas.microsoft.com/office/word/2010/wordml" w14:paraId="121C9648" wp14:textId="77777777">
          <w:pPr>
            <w:pStyle w:val="TOC2"/>
            <w:numPr>
              <w:ilvl w:val="1"/>
              <w:numId w:val="1"/>
            </w:numPr>
            <w:tabs>
              <w:tab w:val="left" w:leader="none" w:pos="1199"/>
              <w:tab w:val="left" w:leader="none" w:pos="1200"/>
              <w:tab w:val="right" w:leader="dot" w:pos="8642"/>
            </w:tabs>
            <w:spacing w:before="121" w:after="0" w:line="240" w:lineRule="auto"/>
            <w:ind w:left="1199" w:right="0" w:hanging="661"/>
            <w:jc w:val="left"/>
            <w:rPr>
              <w:rFonts w:ascii="Calibri"/>
              <w:i w:val="0"/>
            </w:rPr>
          </w:pPr>
          <w:hyperlink w:history="true" w:anchor="_bookmark5">
            <w:r>
              <w:rPr>
                <w:i/>
              </w:rPr>
              <w:t>NDIS discouraging group homes conflicts with</w:t>
            </w:r>
            <w:r>
              <w:rPr>
                <w:i/>
                <w:spacing w:val="-9"/>
              </w:rPr>
              <w:t> </w:t>
            </w:r>
            <w:r>
              <w:rPr>
                <w:i/>
              </w:rPr>
              <w:t>actual</w:t>
            </w:r>
            <w:r>
              <w:rPr>
                <w:i/>
                <w:spacing w:val="-1"/>
              </w:rPr>
              <w:t> </w:t>
            </w:r>
            <w:r>
              <w:rPr>
                <w:i/>
              </w:rPr>
              <w:t>funding</w:t>
            </w:r>
            <w:r>
              <w:rPr>
                <w:i/>
              </w:rPr>
              <w:tab/>
            </w:r>
            <w:r>
              <w:rPr>
                <w:rFonts w:ascii="Calibri"/>
                <w:i w:val="0"/>
              </w:rPr>
              <w:t>4</w:t>
            </w:r>
          </w:hyperlink>
        </w:p>
        <w:p xmlns:wp14="http://schemas.microsoft.com/office/word/2010/wordml" w14:paraId="1C5416C5" wp14:textId="77777777">
          <w:pPr>
            <w:pStyle w:val="TOC2"/>
            <w:numPr>
              <w:ilvl w:val="1"/>
              <w:numId w:val="1"/>
            </w:numPr>
            <w:tabs>
              <w:tab w:val="left" w:leader="none" w:pos="1199"/>
              <w:tab w:val="left" w:leader="none" w:pos="1200"/>
              <w:tab w:val="right" w:leader="dot" w:pos="8642"/>
            </w:tabs>
            <w:spacing w:before="122" w:after="0" w:line="240" w:lineRule="auto"/>
            <w:ind w:left="1199" w:right="0" w:hanging="661"/>
            <w:jc w:val="left"/>
            <w:rPr>
              <w:rFonts w:ascii="Calibri"/>
              <w:i w:val="0"/>
            </w:rPr>
          </w:pPr>
          <w:hyperlink w:history="true" w:anchor="_bookmark6">
            <w:r>
              <w:rPr>
                <w:i/>
              </w:rPr>
              <w:t>Inadequate</w:t>
            </w:r>
            <w:r>
              <w:rPr>
                <w:i/>
                <w:spacing w:val="-2"/>
              </w:rPr>
              <w:t> </w:t>
            </w:r>
            <w:r>
              <w:rPr>
                <w:i/>
              </w:rPr>
              <w:t>SIL</w:t>
            </w:r>
            <w:r>
              <w:rPr>
                <w:i/>
                <w:spacing w:val="-2"/>
              </w:rPr>
              <w:t> </w:t>
            </w:r>
            <w:r>
              <w:rPr>
                <w:i/>
              </w:rPr>
              <w:t>funding</w:t>
            </w:r>
            <w:r>
              <w:rPr>
                <w:i/>
              </w:rPr>
              <w:tab/>
            </w:r>
            <w:r>
              <w:rPr>
                <w:rFonts w:ascii="Calibri"/>
                <w:i w:val="0"/>
              </w:rPr>
              <w:t>4</w:t>
            </w:r>
          </w:hyperlink>
        </w:p>
        <w:p xmlns:wp14="http://schemas.microsoft.com/office/word/2010/wordml" w14:paraId="0737E930" wp14:textId="77777777">
          <w:pPr>
            <w:pStyle w:val="TOC2"/>
            <w:numPr>
              <w:ilvl w:val="1"/>
              <w:numId w:val="1"/>
            </w:numPr>
            <w:tabs>
              <w:tab w:val="left" w:leader="none" w:pos="1199"/>
              <w:tab w:val="left" w:leader="none" w:pos="1200"/>
              <w:tab w:val="right" w:leader="dot" w:pos="8642"/>
            </w:tabs>
            <w:spacing w:before="120" w:after="0" w:line="240" w:lineRule="auto"/>
            <w:ind w:left="1199" w:right="0" w:hanging="661"/>
            <w:jc w:val="left"/>
            <w:rPr>
              <w:rFonts w:ascii="Calibri"/>
              <w:i w:val="0"/>
            </w:rPr>
          </w:pPr>
          <w:hyperlink w:history="true" w:anchor="_bookmark7">
            <w:r>
              <w:rPr>
                <w:i/>
              </w:rPr>
              <w:t>Concerns regarding funding approvals for changes</w:t>
            </w:r>
            <w:r>
              <w:rPr>
                <w:i/>
                <w:spacing w:val="-8"/>
              </w:rPr>
              <w:t> </w:t>
            </w:r>
            <w:r>
              <w:rPr>
                <w:i/>
              </w:rPr>
              <w:t>of</w:t>
            </w:r>
            <w:r>
              <w:rPr>
                <w:i/>
                <w:spacing w:val="-2"/>
              </w:rPr>
              <w:t> </w:t>
            </w:r>
            <w:r>
              <w:rPr>
                <w:i/>
              </w:rPr>
              <w:t>circumstances</w:t>
            </w:r>
            <w:r>
              <w:rPr>
                <w:i/>
              </w:rPr>
              <w:tab/>
            </w:r>
            <w:r>
              <w:rPr>
                <w:rFonts w:ascii="Calibri"/>
                <w:i w:val="0"/>
              </w:rPr>
              <w:t>4</w:t>
            </w:r>
          </w:hyperlink>
        </w:p>
        <w:p xmlns:wp14="http://schemas.microsoft.com/office/word/2010/wordml" w14:paraId="5D6DE8E7" wp14:textId="77777777">
          <w:pPr>
            <w:pStyle w:val="TOC2"/>
            <w:numPr>
              <w:ilvl w:val="1"/>
              <w:numId w:val="1"/>
            </w:numPr>
            <w:tabs>
              <w:tab w:val="left" w:leader="none" w:pos="1199"/>
              <w:tab w:val="left" w:leader="none" w:pos="1200"/>
              <w:tab w:val="right" w:leader="dot" w:pos="8642"/>
            </w:tabs>
            <w:spacing w:before="123" w:after="0" w:line="240" w:lineRule="auto"/>
            <w:ind w:left="1199" w:right="0" w:hanging="661"/>
            <w:jc w:val="left"/>
            <w:rPr>
              <w:rFonts w:ascii="Calibri"/>
              <w:i w:val="0"/>
            </w:rPr>
          </w:pPr>
          <w:hyperlink w:history="true" w:anchor="_bookmark8">
            <w:r>
              <w:rPr>
                <w:i/>
              </w:rPr>
              <w:t>Funding issues in</w:t>
            </w:r>
            <w:r>
              <w:rPr>
                <w:i/>
                <w:spacing w:val="-2"/>
              </w:rPr>
              <w:t> </w:t>
            </w:r>
            <w:r>
              <w:rPr>
                <w:i/>
              </w:rPr>
              <w:t>regional</w:t>
            </w:r>
            <w:r>
              <w:rPr>
                <w:i/>
                <w:spacing w:val="-1"/>
              </w:rPr>
              <w:t> </w:t>
            </w:r>
            <w:r>
              <w:rPr>
                <w:i/>
              </w:rPr>
              <w:t>areas</w:t>
            </w:r>
            <w:r>
              <w:rPr>
                <w:i/>
              </w:rPr>
              <w:tab/>
            </w:r>
            <w:r>
              <w:rPr>
                <w:rFonts w:ascii="Calibri"/>
                <w:i w:val="0"/>
              </w:rPr>
              <w:t>5</w:t>
            </w:r>
          </w:hyperlink>
        </w:p>
        <w:p xmlns:wp14="http://schemas.microsoft.com/office/word/2010/wordml" w14:paraId="1F3212CB" wp14:textId="77777777">
          <w:pPr>
            <w:pStyle w:val="TOC1"/>
            <w:numPr>
              <w:ilvl w:val="0"/>
              <w:numId w:val="1"/>
            </w:numPr>
            <w:tabs>
              <w:tab w:val="left" w:leader="none" w:pos="760"/>
              <w:tab w:val="left" w:leader="none" w:pos="761"/>
              <w:tab w:val="right" w:leader="dot" w:pos="8642"/>
            </w:tabs>
            <w:spacing w:before="120" w:after="0" w:line="240" w:lineRule="auto"/>
            <w:ind w:left="760" w:right="0" w:hanging="440"/>
            <w:jc w:val="left"/>
            <w:rPr>
              <w:rFonts w:ascii="Calibri"/>
              <w:b w:val="0"/>
            </w:rPr>
          </w:pPr>
          <w:hyperlink w:history="true" w:anchor="_bookmark9">
            <w:r>
              <w:rPr/>
              <w:t>Improving Choice and Control through</w:t>
            </w:r>
            <w:r>
              <w:rPr>
                <w:spacing w:val="-9"/>
              </w:rPr>
              <w:t> </w:t>
            </w:r>
            <w:r>
              <w:rPr/>
              <w:t>Flexible</w:t>
            </w:r>
            <w:r>
              <w:rPr>
                <w:spacing w:val="-1"/>
              </w:rPr>
              <w:t> </w:t>
            </w:r>
            <w:r>
              <w:rPr/>
              <w:t>Budgets</w:t>
            </w:r>
            <w:r>
              <w:rPr/>
              <w:tab/>
            </w:r>
            <w:r>
              <w:rPr>
                <w:rFonts w:ascii="Calibri"/>
                <w:b w:val="0"/>
              </w:rPr>
              <w:t>5</w:t>
            </w:r>
          </w:hyperlink>
        </w:p>
        <w:p xmlns:wp14="http://schemas.microsoft.com/office/word/2010/wordml" w14:paraId="7EBA858B" wp14:textId="77777777">
          <w:pPr>
            <w:pStyle w:val="TOC1"/>
            <w:numPr>
              <w:ilvl w:val="0"/>
              <w:numId w:val="1"/>
            </w:numPr>
            <w:tabs>
              <w:tab w:val="left" w:leader="none" w:pos="760"/>
              <w:tab w:val="left" w:leader="none" w:pos="761"/>
              <w:tab w:val="right" w:leader="dot" w:pos="8642"/>
            </w:tabs>
            <w:spacing w:before="121" w:after="0" w:line="240" w:lineRule="auto"/>
            <w:ind w:left="760" w:right="0" w:hanging="440"/>
            <w:jc w:val="left"/>
            <w:rPr>
              <w:rFonts w:ascii="Calibri"/>
              <w:b w:val="0"/>
            </w:rPr>
          </w:pPr>
          <w:hyperlink w:history="true" w:anchor="_bookmark10">
            <w:r>
              <w:rPr/>
              <w:t>Assisting Implementation</w:t>
            </w:r>
            <w:r>
              <w:rPr>
                <w:spacing w:val="-1"/>
              </w:rPr>
              <w:t> </w:t>
            </w:r>
            <w:r>
              <w:rPr/>
              <w:t>and</w:t>
            </w:r>
            <w:r>
              <w:rPr>
                <w:spacing w:val="-2"/>
              </w:rPr>
              <w:t> </w:t>
            </w:r>
            <w:r>
              <w:rPr/>
              <w:t>Maintenance</w:t>
            </w:r>
            <w:r>
              <w:rPr/>
              <w:tab/>
            </w:r>
            <w:r>
              <w:rPr>
                <w:rFonts w:ascii="Calibri"/>
                <w:b w:val="0"/>
              </w:rPr>
              <w:t>5</w:t>
            </w:r>
          </w:hyperlink>
        </w:p>
        <w:p xmlns:wp14="http://schemas.microsoft.com/office/word/2010/wordml" w14:paraId="542E94D4" wp14:textId="77777777">
          <w:pPr>
            <w:pStyle w:val="TOC2"/>
            <w:numPr>
              <w:ilvl w:val="1"/>
              <w:numId w:val="1"/>
            </w:numPr>
            <w:tabs>
              <w:tab w:val="left" w:leader="none" w:pos="1199"/>
              <w:tab w:val="left" w:leader="none" w:pos="1200"/>
              <w:tab w:val="right" w:leader="dot" w:pos="8642"/>
            </w:tabs>
            <w:spacing w:before="122" w:after="0" w:line="240" w:lineRule="auto"/>
            <w:ind w:left="1199" w:right="0" w:hanging="661"/>
            <w:jc w:val="left"/>
            <w:rPr>
              <w:rFonts w:ascii="Calibri"/>
              <w:i w:val="0"/>
            </w:rPr>
          </w:pPr>
          <w:hyperlink w:history="true" w:anchor="_bookmark11">
            <w:r>
              <w:rPr>
                <w:i/>
              </w:rPr>
              <w:t>Support removal of conflict</w:t>
            </w:r>
            <w:r>
              <w:rPr>
                <w:i/>
                <w:spacing w:val="-1"/>
              </w:rPr>
              <w:t> </w:t>
            </w:r>
            <w:r>
              <w:rPr>
                <w:i/>
              </w:rPr>
              <w:t>of</w:t>
            </w:r>
            <w:r>
              <w:rPr>
                <w:i/>
                <w:spacing w:val="1"/>
              </w:rPr>
              <w:t> </w:t>
            </w:r>
            <w:r>
              <w:rPr>
                <w:i/>
              </w:rPr>
              <w:t>interests</w:t>
            </w:r>
            <w:r>
              <w:rPr>
                <w:i/>
              </w:rPr>
              <w:tab/>
            </w:r>
            <w:r>
              <w:rPr>
                <w:rFonts w:ascii="Calibri"/>
                <w:i w:val="0"/>
              </w:rPr>
              <w:t>5</w:t>
            </w:r>
          </w:hyperlink>
        </w:p>
        <w:p xmlns:wp14="http://schemas.microsoft.com/office/word/2010/wordml" w14:paraId="71020627" wp14:textId="77777777">
          <w:pPr>
            <w:pStyle w:val="TOC2"/>
            <w:numPr>
              <w:ilvl w:val="1"/>
              <w:numId w:val="1"/>
            </w:numPr>
            <w:tabs>
              <w:tab w:val="left" w:leader="none" w:pos="1199"/>
              <w:tab w:val="left" w:leader="none" w:pos="1200"/>
              <w:tab w:val="right" w:leader="dot" w:pos="8642"/>
            </w:tabs>
            <w:spacing w:before="120" w:after="0" w:line="240" w:lineRule="auto"/>
            <w:ind w:left="1199" w:right="0" w:hanging="661"/>
            <w:jc w:val="left"/>
            <w:rPr>
              <w:rFonts w:ascii="Calibri"/>
              <w:i w:val="0"/>
            </w:rPr>
          </w:pPr>
          <w:hyperlink w:history="true" w:anchor="_bookmark12">
            <w:r>
              <w:rPr>
                <w:i/>
              </w:rPr>
              <w:t>Concerns regarding planner experience</w:t>
            </w:r>
            <w:r>
              <w:rPr>
                <w:i/>
                <w:spacing w:val="-2"/>
              </w:rPr>
              <w:t> </w:t>
            </w:r>
            <w:r>
              <w:rPr>
                <w:i/>
              </w:rPr>
              <w:t>and</w:t>
            </w:r>
            <w:r>
              <w:rPr>
                <w:i/>
                <w:spacing w:val="-2"/>
              </w:rPr>
              <w:t> </w:t>
            </w:r>
            <w:r>
              <w:rPr>
                <w:i/>
              </w:rPr>
              <w:t>knowledge</w:t>
            </w:r>
            <w:r>
              <w:rPr>
                <w:i/>
              </w:rPr>
              <w:tab/>
            </w:r>
            <w:r>
              <w:rPr>
                <w:rFonts w:ascii="Calibri"/>
                <w:i w:val="0"/>
              </w:rPr>
              <w:t>5</w:t>
            </w:r>
          </w:hyperlink>
        </w:p>
        <w:p xmlns:wp14="http://schemas.microsoft.com/office/word/2010/wordml" w14:paraId="2C80A5CB" wp14:textId="77777777">
          <w:pPr>
            <w:pStyle w:val="TOC1"/>
            <w:numPr>
              <w:ilvl w:val="0"/>
              <w:numId w:val="1"/>
            </w:numPr>
            <w:tabs>
              <w:tab w:val="left" w:leader="none" w:pos="760"/>
              <w:tab w:val="left" w:leader="none" w:pos="761"/>
              <w:tab w:val="right" w:leader="dot" w:pos="8642"/>
            </w:tabs>
            <w:spacing w:before="123" w:after="0" w:line="240" w:lineRule="auto"/>
            <w:ind w:left="760" w:right="0" w:hanging="440"/>
            <w:jc w:val="left"/>
            <w:rPr>
              <w:rFonts w:ascii="Calibri"/>
              <w:b w:val="0"/>
            </w:rPr>
          </w:pPr>
          <w:hyperlink w:history="true" w:anchor="_bookmark13">
            <w:r>
              <w:rPr/>
              <w:t>Engaging the Market and</w:t>
            </w:r>
            <w:r>
              <w:rPr>
                <w:spacing w:val="-7"/>
              </w:rPr>
              <w:t> </w:t>
            </w:r>
            <w:r>
              <w:rPr/>
              <w:t>Driving</w:t>
            </w:r>
            <w:r>
              <w:rPr>
                <w:spacing w:val="-3"/>
              </w:rPr>
              <w:t> </w:t>
            </w:r>
            <w:r>
              <w:rPr/>
              <w:t>Innovation</w:t>
            </w:r>
            <w:r>
              <w:rPr/>
              <w:tab/>
            </w:r>
            <w:r>
              <w:rPr>
                <w:rFonts w:ascii="Calibri"/>
                <w:b w:val="0"/>
              </w:rPr>
              <w:t>6</w:t>
            </w:r>
          </w:hyperlink>
        </w:p>
        <w:p xmlns:wp14="http://schemas.microsoft.com/office/word/2010/wordml" w14:paraId="0E03F9E7" wp14:textId="77777777">
          <w:pPr>
            <w:pStyle w:val="TOC2"/>
            <w:numPr>
              <w:ilvl w:val="1"/>
              <w:numId w:val="1"/>
            </w:numPr>
            <w:tabs>
              <w:tab w:val="left" w:leader="none" w:pos="1199"/>
              <w:tab w:val="left" w:leader="none" w:pos="1200"/>
              <w:tab w:val="right" w:leader="dot" w:pos="8642"/>
            </w:tabs>
            <w:spacing w:before="120" w:after="0" w:line="240" w:lineRule="auto"/>
            <w:ind w:left="1199" w:right="0" w:hanging="661"/>
            <w:jc w:val="left"/>
            <w:rPr>
              <w:rFonts w:ascii="Calibri"/>
              <w:i w:val="0"/>
            </w:rPr>
          </w:pPr>
          <w:hyperlink w:history="true" w:anchor="_bookmark14">
            <w:r>
              <w:rPr>
                <w:i/>
              </w:rPr>
              <w:t>Current model</w:t>
            </w:r>
            <w:r>
              <w:rPr>
                <w:i/>
                <w:spacing w:val="-2"/>
              </w:rPr>
              <w:t> </w:t>
            </w:r>
            <w:r>
              <w:rPr>
                <w:i/>
              </w:rPr>
              <w:t>inhibits</w:t>
            </w:r>
            <w:r>
              <w:rPr>
                <w:i/>
                <w:spacing w:val="1"/>
              </w:rPr>
              <w:t> </w:t>
            </w:r>
            <w:r>
              <w:rPr>
                <w:i/>
              </w:rPr>
              <w:t>innovation</w:t>
            </w:r>
            <w:r>
              <w:rPr>
                <w:i/>
              </w:rPr>
              <w:tab/>
            </w:r>
            <w:r>
              <w:rPr>
                <w:rFonts w:ascii="Calibri"/>
                <w:i w:val="0"/>
              </w:rPr>
              <w:t>6</w:t>
            </w:r>
          </w:hyperlink>
        </w:p>
        <w:p xmlns:wp14="http://schemas.microsoft.com/office/word/2010/wordml" w14:paraId="7D362BBF" wp14:textId="77777777">
          <w:pPr>
            <w:pStyle w:val="TOC1"/>
            <w:numPr>
              <w:ilvl w:val="0"/>
              <w:numId w:val="1"/>
            </w:numPr>
            <w:tabs>
              <w:tab w:val="left" w:leader="none" w:pos="760"/>
              <w:tab w:val="left" w:leader="none" w:pos="761"/>
              <w:tab w:val="right" w:leader="dot" w:pos="8642"/>
            </w:tabs>
            <w:spacing w:before="123" w:after="0" w:line="240" w:lineRule="auto"/>
            <w:ind w:left="760" w:right="0" w:hanging="440"/>
            <w:jc w:val="left"/>
            <w:rPr>
              <w:rFonts w:ascii="Calibri"/>
              <w:b w:val="0"/>
            </w:rPr>
          </w:pPr>
          <w:hyperlink w:history="true" w:anchor="_bookmark15">
            <w:r>
              <w:rPr/>
              <w:t>SIL</w:t>
            </w:r>
            <w:r>
              <w:rPr/>
              <w:tab/>
            </w:r>
            <w:r>
              <w:rPr>
                <w:rFonts w:ascii="Calibri"/>
                <w:b w:val="0"/>
              </w:rPr>
              <w:t>6</w:t>
            </w:r>
          </w:hyperlink>
        </w:p>
        <w:p xmlns:wp14="http://schemas.microsoft.com/office/word/2010/wordml" w14:paraId="1F6D913C" wp14:textId="77777777">
          <w:pPr>
            <w:pStyle w:val="TOC2"/>
            <w:numPr>
              <w:ilvl w:val="1"/>
              <w:numId w:val="1"/>
            </w:numPr>
            <w:tabs>
              <w:tab w:val="left" w:leader="none" w:pos="1199"/>
              <w:tab w:val="left" w:leader="none" w:pos="1200"/>
              <w:tab w:val="right" w:leader="dot" w:pos="8642"/>
            </w:tabs>
            <w:spacing w:before="121" w:after="0" w:line="240" w:lineRule="auto"/>
            <w:ind w:left="1199" w:right="0" w:hanging="661"/>
            <w:jc w:val="left"/>
            <w:rPr>
              <w:rFonts w:ascii="Calibri"/>
              <w:i w:val="0"/>
            </w:rPr>
          </w:pPr>
          <w:hyperlink w:history="true" w:anchor="_bookmark16">
            <w:r>
              <w:rPr>
                <w:i/>
              </w:rPr>
              <w:t>SIL will remain an important support</w:t>
            </w:r>
            <w:r>
              <w:rPr>
                <w:i/>
                <w:spacing w:val="-3"/>
              </w:rPr>
              <w:t> </w:t>
            </w:r>
            <w:r>
              <w:rPr>
                <w:i/>
              </w:rPr>
              <w:t>to</w:t>
            </w:r>
            <w:r>
              <w:rPr>
                <w:i/>
                <w:spacing w:val="-2"/>
              </w:rPr>
              <w:t> </w:t>
            </w:r>
            <w:r>
              <w:rPr>
                <w:i/>
              </w:rPr>
              <w:t>participants</w:t>
            </w:r>
            <w:r>
              <w:rPr>
                <w:i/>
              </w:rPr>
              <w:tab/>
            </w:r>
            <w:r>
              <w:rPr>
                <w:rFonts w:ascii="Calibri"/>
                <w:i w:val="0"/>
              </w:rPr>
              <w:t>6</w:t>
            </w:r>
          </w:hyperlink>
        </w:p>
        <w:p xmlns:wp14="http://schemas.microsoft.com/office/word/2010/wordml" w14:paraId="6D4DAA30" wp14:textId="77777777">
          <w:pPr>
            <w:pStyle w:val="TOC1"/>
            <w:numPr>
              <w:ilvl w:val="0"/>
              <w:numId w:val="1"/>
            </w:numPr>
            <w:tabs>
              <w:tab w:val="left" w:leader="none" w:pos="760"/>
              <w:tab w:val="left" w:leader="none" w:pos="761"/>
              <w:tab w:val="right" w:leader="dot" w:pos="8642"/>
            </w:tabs>
            <w:spacing w:before="120" w:after="0" w:line="240" w:lineRule="auto"/>
            <w:ind w:left="760" w:right="0" w:hanging="440"/>
            <w:jc w:val="left"/>
            <w:rPr>
              <w:rFonts w:ascii="Calibri"/>
              <w:b w:val="0"/>
            </w:rPr>
          </w:pPr>
          <w:hyperlink w:history="true" w:anchor="_bookmark17">
            <w:r>
              <w:rPr/>
              <w:t>Change Management</w:t>
            </w:r>
            <w:r>
              <w:rPr>
                <w:spacing w:val="-2"/>
              </w:rPr>
              <w:t> </w:t>
            </w:r>
            <w:r>
              <w:rPr/>
              <w:t>in NDIS</w:t>
            </w:r>
            <w:r>
              <w:rPr/>
              <w:tab/>
            </w:r>
            <w:r>
              <w:rPr>
                <w:rFonts w:ascii="Calibri"/>
                <w:b w:val="0"/>
              </w:rPr>
              <w:t>6</w:t>
            </w:r>
          </w:hyperlink>
        </w:p>
        <w:p xmlns:wp14="http://schemas.microsoft.com/office/word/2010/wordml" w14:paraId="7FB9BF22" wp14:textId="77777777">
          <w:pPr>
            <w:pStyle w:val="TOC2"/>
            <w:numPr>
              <w:ilvl w:val="1"/>
              <w:numId w:val="1"/>
            </w:numPr>
            <w:tabs>
              <w:tab w:val="left" w:leader="none" w:pos="1199"/>
              <w:tab w:val="left" w:leader="none" w:pos="1200"/>
              <w:tab w:val="right" w:leader="dot" w:pos="8642"/>
            </w:tabs>
            <w:spacing w:before="122" w:after="0" w:line="240" w:lineRule="auto"/>
            <w:ind w:left="1199" w:right="0" w:hanging="661"/>
            <w:jc w:val="left"/>
            <w:rPr>
              <w:rFonts w:ascii="Calibri"/>
              <w:i w:val="0"/>
            </w:rPr>
          </w:pPr>
          <w:hyperlink w:history="true" w:anchor="_bookmark18">
            <w:r>
              <w:rPr>
                <w:i/>
              </w:rPr>
              <w:t>Significant cost of</w:t>
            </w:r>
            <w:r>
              <w:rPr>
                <w:i/>
                <w:spacing w:val="2"/>
              </w:rPr>
              <w:t> </w:t>
            </w:r>
            <w:r>
              <w:rPr>
                <w:i/>
              </w:rPr>
              <w:t>change</w:t>
            </w:r>
            <w:r>
              <w:rPr>
                <w:i/>
              </w:rPr>
              <w:tab/>
            </w:r>
            <w:r>
              <w:rPr>
                <w:rFonts w:ascii="Calibri"/>
                <w:i w:val="0"/>
              </w:rPr>
              <w:t>6</w:t>
            </w:r>
          </w:hyperlink>
        </w:p>
      </w:sdtContent>
    </w:sdt>
    <w:p xmlns:wp14="http://schemas.microsoft.com/office/word/2010/wordml" w14:paraId="4B94D5A5" wp14:textId="77777777">
      <w:pPr>
        <w:spacing w:after="0" w:line="240" w:lineRule="auto"/>
        <w:jc w:val="left"/>
        <w:rPr>
          <w:rFonts w:ascii="Calibri"/>
        </w:rPr>
        <w:sectPr>
          <w:footerReference w:type="default" r:id="rId6"/>
          <w:pgSz w:w="11920" w:h="16850" w:orient="portrait"/>
          <w:pgMar w:top="1600" w:right="1580" w:bottom="1200" w:left="1580" w:header="0" w:footer="1018"/>
          <w:pgNumType w:start="2"/>
          <w:headerReference w:type="default" r:id="R8c5394c29c9e4b24"/>
        </w:sectPr>
      </w:pPr>
    </w:p>
    <w:p xmlns:wp14="http://schemas.microsoft.com/office/word/2010/wordml" w14:paraId="524EB1B4" wp14:textId="77777777">
      <w:pPr>
        <w:spacing w:before="78"/>
        <w:ind w:left="100" w:right="0" w:firstLine="0"/>
        <w:jc w:val="left"/>
        <w:rPr>
          <w:sz w:val="32"/>
        </w:rPr>
      </w:pPr>
      <w:r>
        <w:rPr>
          <w:color w:val="365F91"/>
          <w:sz w:val="32"/>
        </w:rPr>
        <w:t>Activ Submission: An Ordinary Life at Home</w:t>
      </w:r>
    </w:p>
    <w:p xmlns:wp14="http://schemas.microsoft.com/office/word/2010/wordml" w14:paraId="3DEEC669" wp14:textId="77777777">
      <w:pPr>
        <w:pStyle w:val="BodyText"/>
        <w:spacing w:before="2"/>
        <w:rPr>
          <w:sz w:val="41"/>
        </w:rPr>
      </w:pPr>
    </w:p>
    <w:p xmlns:wp14="http://schemas.microsoft.com/office/word/2010/wordml" w14:paraId="3E7A9F1C" wp14:textId="77777777">
      <w:pPr>
        <w:pStyle w:val="Heading1"/>
        <w:numPr>
          <w:ilvl w:val="0"/>
          <w:numId w:val="2"/>
        </w:numPr>
        <w:tabs>
          <w:tab w:val="left" w:leader="none" w:pos="820"/>
          <w:tab w:val="left" w:leader="none" w:pos="821"/>
        </w:tabs>
        <w:spacing w:before="0" w:after="0" w:line="240" w:lineRule="auto"/>
        <w:ind w:left="820" w:right="0" w:hanging="721"/>
        <w:jc w:val="left"/>
      </w:pPr>
      <w:bookmarkStart w:name="_bookmark0" w:id="1"/>
      <w:bookmarkEnd w:id="1"/>
      <w:r>
        <w:rPr>
          <w:b w:val="0"/>
        </w:rPr>
      </w:r>
      <w:r>
        <w:rPr/>
        <w:t>Introduct</w:t>
      </w:r>
      <w:r>
        <w:rPr/>
        <w:t>ion</w:t>
      </w:r>
    </w:p>
    <w:p xmlns:wp14="http://schemas.microsoft.com/office/word/2010/wordml" w14:paraId="5D6E5795" wp14:textId="77777777">
      <w:pPr>
        <w:pStyle w:val="BodyText"/>
        <w:spacing w:before="58" w:line="288" w:lineRule="auto"/>
        <w:ind w:left="100" w:right="369"/>
      </w:pPr>
      <w:r>
        <w:rPr/>
        <w:t>Activ welcomes the opportunity to respond to the National Disability Insurance Scheme (NDIS) Home and Living consultation paper – ‘An Ordinary Life at Home’.</w:t>
      </w:r>
    </w:p>
    <w:p xmlns:wp14="http://schemas.microsoft.com/office/word/2010/wordml" w14:paraId="3656B9AB" wp14:textId="77777777">
      <w:pPr>
        <w:pStyle w:val="BodyText"/>
        <w:spacing w:before="9"/>
        <w:rPr>
          <w:sz w:val="28"/>
        </w:rPr>
      </w:pPr>
    </w:p>
    <w:p xmlns:wp14="http://schemas.microsoft.com/office/word/2010/wordml" w14:paraId="323F8501" wp14:textId="77777777">
      <w:pPr>
        <w:pStyle w:val="BodyText"/>
        <w:spacing w:line="288" w:lineRule="auto"/>
        <w:ind w:left="100" w:right="208"/>
      </w:pPr>
      <w:r>
        <w:rPr/>
        <w:t>In summary, Activ supports the intent of the paper, however, has grave reservations about processes and systems that are currently in play that have a significant detrimental impact on participants and providers. Of key concern are the slow funding decision making process, reductions in SIL funding and the rate and pace of changes to NDIA requirements.</w:t>
      </w:r>
    </w:p>
    <w:p xmlns:wp14="http://schemas.microsoft.com/office/word/2010/wordml" w14:paraId="45FB0818" wp14:textId="77777777">
      <w:pPr>
        <w:pStyle w:val="BodyText"/>
        <w:spacing w:before="11"/>
        <w:rPr>
          <w:sz w:val="28"/>
        </w:rPr>
      </w:pPr>
    </w:p>
    <w:p xmlns:wp14="http://schemas.microsoft.com/office/word/2010/wordml" w14:paraId="27EB2005" wp14:textId="77777777">
      <w:pPr>
        <w:pStyle w:val="Heading1"/>
        <w:numPr>
          <w:ilvl w:val="0"/>
          <w:numId w:val="2"/>
        </w:numPr>
        <w:tabs>
          <w:tab w:val="left" w:leader="none" w:pos="820"/>
          <w:tab w:val="left" w:leader="none" w:pos="821"/>
        </w:tabs>
        <w:spacing w:before="0" w:after="0" w:line="240" w:lineRule="auto"/>
        <w:ind w:left="820" w:right="0" w:hanging="721"/>
        <w:jc w:val="left"/>
      </w:pPr>
      <w:bookmarkStart w:name="_bookmark1" w:id="3"/>
      <w:bookmarkEnd w:id="3"/>
      <w:r>
        <w:rPr>
          <w:b w:val="0"/>
        </w:rPr>
      </w:r>
      <w:r>
        <w:rPr/>
        <w:t>Reform</w:t>
      </w:r>
      <w:r>
        <w:rPr/>
        <w:t>ing the Funding</w:t>
      </w:r>
      <w:r>
        <w:rPr>
          <w:spacing w:val="-2"/>
        </w:rPr>
        <w:t> </w:t>
      </w:r>
      <w:r>
        <w:rPr/>
        <w:t>Model</w:t>
      </w:r>
    </w:p>
    <w:p xmlns:wp14="http://schemas.microsoft.com/office/word/2010/wordml" w14:paraId="049F31CB" wp14:textId="77777777">
      <w:pPr>
        <w:pStyle w:val="BodyText"/>
        <w:spacing w:before="2"/>
        <w:rPr>
          <w:b/>
          <w:sz w:val="36"/>
        </w:rPr>
      </w:pPr>
    </w:p>
    <w:p xmlns:wp14="http://schemas.microsoft.com/office/word/2010/wordml" w14:paraId="5934997C" wp14:textId="77777777">
      <w:pPr>
        <w:pStyle w:val="ListParagraph"/>
        <w:numPr>
          <w:ilvl w:val="1"/>
          <w:numId w:val="2"/>
        </w:numPr>
        <w:tabs>
          <w:tab w:val="left" w:leader="none" w:pos="820"/>
          <w:tab w:val="left" w:leader="none" w:pos="821"/>
        </w:tabs>
        <w:spacing w:before="0" w:after="0" w:line="240" w:lineRule="auto"/>
        <w:ind w:left="820" w:right="0" w:hanging="721"/>
        <w:jc w:val="left"/>
        <w:rPr>
          <w:i/>
          <w:sz w:val="24"/>
        </w:rPr>
      </w:pPr>
      <w:bookmarkStart w:name="_bookmark2" w:id="5"/>
      <w:bookmarkEnd w:id="5"/>
      <w:r>
        <w:rPr/>
      </w:r>
      <w:r>
        <w:rPr>
          <w:i/>
          <w:color w:val="365F91"/>
          <w:sz w:val="24"/>
        </w:rPr>
        <w:t>S</w:t>
      </w:r>
      <w:r>
        <w:rPr>
          <w:i/>
          <w:color w:val="365F91"/>
          <w:sz w:val="24"/>
        </w:rPr>
        <w:t>upport for flexibility in</w:t>
      </w:r>
      <w:r>
        <w:rPr>
          <w:i/>
          <w:color w:val="365F91"/>
          <w:spacing w:val="-3"/>
          <w:sz w:val="24"/>
        </w:rPr>
        <w:t> </w:t>
      </w:r>
      <w:r>
        <w:rPr>
          <w:i/>
          <w:color w:val="365F91"/>
          <w:sz w:val="24"/>
        </w:rPr>
        <w:t>funding</w:t>
      </w:r>
    </w:p>
    <w:p xmlns:wp14="http://schemas.microsoft.com/office/word/2010/wordml" w14:paraId="25F9057F" wp14:textId="77777777">
      <w:pPr>
        <w:pStyle w:val="BodyText"/>
        <w:spacing w:line="288" w:lineRule="auto"/>
        <w:ind w:left="100" w:right="208"/>
      </w:pPr>
      <w:r>
        <w:rPr/>
        <w:t>Activ supports the proposed structural change in the Home and Living Consultation paper which removes siloed department decisions which have been detrimental to participants and to providers. Currently Specialist Disability Accommodation (SDA) and Supported Independent Living (SIL) decisions are made in isolation of each other. Activ customers have experienced conflicting decisions between the two which causes confusion, distress and delays in access to accommodation and services.</w:t>
      </w:r>
    </w:p>
    <w:p xmlns:wp14="http://schemas.microsoft.com/office/word/2010/wordml" w14:paraId="53128261" wp14:textId="77777777">
      <w:pPr>
        <w:pStyle w:val="BodyText"/>
        <w:spacing w:before="4"/>
        <w:rPr>
          <w:sz w:val="32"/>
        </w:rPr>
      </w:pPr>
    </w:p>
    <w:p xmlns:wp14="http://schemas.microsoft.com/office/word/2010/wordml" w14:paraId="4305822B" wp14:textId="77777777">
      <w:pPr>
        <w:pStyle w:val="ListParagraph"/>
        <w:numPr>
          <w:ilvl w:val="1"/>
          <w:numId w:val="2"/>
        </w:numPr>
        <w:tabs>
          <w:tab w:val="left" w:leader="none" w:pos="820"/>
          <w:tab w:val="left" w:leader="none" w:pos="821"/>
        </w:tabs>
        <w:spacing w:before="0" w:after="0" w:line="240" w:lineRule="auto"/>
        <w:ind w:left="820" w:right="0" w:hanging="721"/>
        <w:jc w:val="left"/>
        <w:rPr>
          <w:i/>
          <w:sz w:val="24"/>
        </w:rPr>
      </w:pPr>
      <w:bookmarkStart w:name="_bookmark3" w:id="7"/>
      <w:bookmarkEnd w:id="7"/>
      <w:r>
        <w:rPr/>
      </w:r>
      <w:r>
        <w:rPr>
          <w:i/>
          <w:color w:val="365F91"/>
          <w:sz w:val="24"/>
        </w:rPr>
        <w:t>Co</w:t>
      </w:r>
      <w:r>
        <w:rPr>
          <w:i/>
          <w:color w:val="365F91"/>
          <w:sz w:val="24"/>
        </w:rPr>
        <w:t>ncerns about slow decision making and poor</w:t>
      </w:r>
      <w:r>
        <w:rPr>
          <w:i/>
          <w:color w:val="365F91"/>
          <w:spacing w:val="-8"/>
          <w:sz w:val="24"/>
        </w:rPr>
        <w:t> </w:t>
      </w:r>
      <w:r>
        <w:rPr>
          <w:i/>
          <w:color w:val="365F91"/>
          <w:sz w:val="24"/>
        </w:rPr>
        <w:t>communication</w:t>
      </w:r>
    </w:p>
    <w:p xmlns:wp14="http://schemas.microsoft.com/office/word/2010/wordml" w14:paraId="20B9AE6C" wp14:textId="77777777">
      <w:pPr>
        <w:pStyle w:val="BodyText"/>
        <w:spacing w:line="288" w:lineRule="auto"/>
        <w:ind w:left="100" w:right="101"/>
      </w:pPr>
      <w:r>
        <w:rPr/>
        <w:t>In terms of Home and Living funding, the issue that is significantly impacting participants and providers is the length of time for funding decisions to be made and the lack of communication around them. Participants need clarity about their future and providers need to plan their accommodation and service</w:t>
      </w:r>
      <w:r>
        <w:rPr>
          <w:spacing w:val="-18"/>
        </w:rPr>
        <w:t> </w:t>
      </w:r>
      <w:r>
        <w:rPr/>
        <w:t>provision.</w:t>
      </w:r>
    </w:p>
    <w:p xmlns:wp14="http://schemas.microsoft.com/office/word/2010/wordml" w14:paraId="12576065" wp14:textId="77777777">
      <w:pPr>
        <w:pStyle w:val="BodyText"/>
        <w:spacing w:line="288" w:lineRule="auto"/>
        <w:ind w:left="100" w:right="369"/>
      </w:pPr>
      <w:r>
        <w:rPr/>
        <w:t>Currently in Western Australia we are finding that SIL review processes are taking six to nine months to finalise with little to no progress updates. This is contrary to the advice that they should be processed within 42 business</w:t>
      </w:r>
      <w:r>
        <w:rPr>
          <w:spacing w:val="-23"/>
        </w:rPr>
        <w:t> </w:t>
      </w:r>
      <w:r>
        <w:rPr/>
        <w:t>days.</w:t>
      </w:r>
    </w:p>
    <w:p xmlns:wp14="http://schemas.microsoft.com/office/word/2010/wordml" w14:paraId="62486C05" wp14:textId="77777777">
      <w:pPr>
        <w:pStyle w:val="BodyText"/>
        <w:spacing w:before="8"/>
        <w:rPr>
          <w:sz w:val="28"/>
        </w:rPr>
      </w:pPr>
    </w:p>
    <w:p xmlns:wp14="http://schemas.microsoft.com/office/word/2010/wordml" w14:paraId="0919C143" wp14:textId="77777777">
      <w:pPr>
        <w:pStyle w:val="BodyText"/>
        <w:spacing w:line="288" w:lineRule="auto"/>
        <w:ind w:left="100" w:right="249"/>
      </w:pPr>
      <w:r>
        <w:rPr/>
        <w:t>For some participants this long delay causes distress and can prevent them accessing the supports they need during that period. For others it can lead to their disengagement from the process and therefore appropriate supports. In some cases, providers are forced to underwrite the service provision during the prolonged review period, which causes financial strain on the organisation.</w:t>
      </w:r>
    </w:p>
    <w:p xmlns:wp14="http://schemas.microsoft.com/office/word/2010/wordml" w14:paraId="56CFC774" wp14:textId="77777777">
      <w:pPr>
        <w:pStyle w:val="BodyText"/>
        <w:spacing w:line="288" w:lineRule="auto"/>
        <w:ind w:left="100" w:right="322"/>
        <w:jc w:val="both"/>
      </w:pPr>
      <w:r>
        <w:rPr/>
        <w:t>Additionally, in the case of behavior supports funding, it could increase the risk of restrictive practices being employed, and the safety risks to participants and staff.</w:t>
      </w:r>
    </w:p>
    <w:p xmlns:wp14="http://schemas.microsoft.com/office/word/2010/wordml" w14:paraId="4101652C" wp14:textId="77777777">
      <w:pPr>
        <w:spacing w:after="0" w:line="288" w:lineRule="auto"/>
        <w:jc w:val="both"/>
        <w:sectPr>
          <w:pgSz w:w="11920" w:h="16850" w:orient="portrait"/>
          <w:pgMar w:top="1500" w:right="1580" w:bottom="1200" w:left="1580" w:header="0" w:footer="1018"/>
          <w:headerReference w:type="default" r:id="R079520c42452410f"/>
        </w:sectPr>
      </w:pPr>
    </w:p>
    <w:p xmlns:wp14="http://schemas.microsoft.com/office/word/2010/wordml" w14:paraId="4B99056E" wp14:textId="77777777">
      <w:pPr>
        <w:pStyle w:val="BodyText"/>
        <w:spacing w:before="11"/>
        <w:rPr>
          <w:sz w:val="18"/>
        </w:rPr>
      </w:pPr>
    </w:p>
    <w:p xmlns:wp14="http://schemas.microsoft.com/office/word/2010/wordml" w14:paraId="5A59F5AA" wp14:textId="77777777">
      <w:pPr>
        <w:pStyle w:val="BodyText"/>
        <w:spacing w:before="92" w:line="288" w:lineRule="auto"/>
        <w:ind w:left="100" w:right="235"/>
      </w:pPr>
      <w:r>
        <w:rPr/>
        <w:t>For existing customers, Activ is frequently required to underwrite the service cost of participants who are not receiving the appropriate funding to match their existing situation and needs. Activ have found that reviewed plans can be funded at a different ratio to supports currently delivered in their home.</w:t>
      </w:r>
    </w:p>
    <w:p xmlns:wp14="http://schemas.microsoft.com/office/word/2010/wordml" w14:paraId="1299C43A" wp14:textId="77777777">
      <w:pPr>
        <w:pStyle w:val="BodyText"/>
        <w:spacing w:before="4"/>
        <w:rPr>
          <w:sz w:val="32"/>
        </w:rPr>
      </w:pPr>
    </w:p>
    <w:p xmlns:wp14="http://schemas.microsoft.com/office/word/2010/wordml" w14:paraId="54A1B5A7" wp14:textId="77777777">
      <w:pPr>
        <w:pStyle w:val="ListParagraph"/>
        <w:numPr>
          <w:ilvl w:val="1"/>
          <w:numId w:val="2"/>
        </w:numPr>
        <w:tabs>
          <w:tab w:val="left" w:leader="none" w:pos="820"/>
          <w:tab w:val="left" w:leader="none" w:pos="821"/>
        </w:tabs>
        <w:spacing w:before="0" w:after="0" w:line="240" w:lineRule="auto"/>
        <w:ind w:left="820" w:right="0" w:hanging="721"/>
        <w:jc w:val="left"/>
        <w:rPr>
          <w:i/>
          <w:sz w:val="24"/>
        </w:rPr>
      </w:pPr>
      <w:bookmarkStart w:name="_bookmark4" w:id="9"/>
      <w:bookmarkEnd w:id="9"/>
      <w:r>
        <w:rPr/>
      </w:r>
      <w:r>
        <w:rPr>
          <w:i/>
          <w:color w:val="365F91"/>
          <w:sz w:val="24"/>
        </w:rPr>
        <w:t>M</w:t>
      </w:r>
      <w:r>
        <w:rPr>
          <w:i/>
          <w:color w:val="365F91"/>
          <w:sz w:val="24"/>
        </w:rPr>
        <w:t>isalignment of funding to</w:t>
      </w:r>
      <w:r>
        <w:rPr>
          <w:i/>
          <w:color w:val="365F91"/>
          <w:spacing w:val="-3"/>
          <w:sz w:val="24"/>
        </w:rPr>
        <w:t> </w:t>
      </w:r>
      <w:r>
        <w:rPr>
          <w:i/>
          <w:color w:val="365F91"/>
          <w:sz w:val="24"/>
        </w:rPr>
        <w:t>needs</w:t>
      </w:r>
    </w:p>
    <w:p xmlns:wp14="http://schemas.microsoft.com/office/word/2010/wordml" w14:paraId="0C2B0B2E" wp14:textId="77777777">
      <w:pPr>
        <w:pStyle w:val="BodyText"/>
        <w:spacing w:line="288" w:lineRule="auto"/>
        <w:ind w:left="100" w:right="181"/>
      </w:pPr>
      <w:r>
        <w:rPr/>
        <w:t>NDIA makes some funding assessments which do not align with a customer’s existing or future circumstances. Plans are funded for 2-3 years and are often not compatible with the current and (known) future funding needs for the period. The process to get these decisions reviewed is lengthy with detrimental impacts to the customer and financial impacts to the provider.</w:t>
      </w:r>
    </w:p>
    <w:p xmlns:wp14="http://schemas.microsoft.com/office/word/2010/wordml" w14:paraId="4DDBEF00" wp14:textId="77777777">
      <w:pPr>
        <w:pStyle w:val="BodyText"/>
        <w:spacing w:before="5"/>
        <w:rPr>
          <w:sz w:val="32"/>
        </w:rPr>
      </w:pPr>
    </w:p>
    <w:p xmlns:wp14="http://schemas.microsoft.com/office/word/2010/wordml" w14:paraId="11F4C423" wp14:textId="77777777">
      <w:pPr>
        <w:pStyle w:val="ListParagraph"/>
        <w:numPr>
          <w:ilvl w:val="1"/>
          <w:numId w:val="2"/>
        </w:numPr>
        <w:tabs>
          <w:tab w:val="left" w:leader="none" w:pos="820"/>
          <w:tab w:val="left" w:leader="none" w:pos="821"/>
        </w:tabs>
        <w:spacing w:before="0" w:after="0" w:line="264" w:lineRule="auto"/>
        <w:ind w:left="100" w:right="347" w:firstLine="0"/>
        <w:jc w:val="left"/>
        <w:rPr>
          <w:sz w:val="24"/>
        </w:rPr>
      </w:pPr>
      <w:bookmarkStart w:name="_bookmark5" w:id="11"/>
      <w:bookmarkEnd w:id="11"/>
      <w:r>
        <w:rPr/>
      </w:r>
      <w:r>
        <w:rPr>
          <w:i/>
          <w:color w:val="365F91"/>
          <w:sz w:val="24"/>
        </w:rPr>
        <w:t>D</w:t>
      </w:r>
      <w:r>
        <w:rPr>
          <w:i/>
          <w:color w:val="365F91"/>
          <w:sz w:val="24"/>
        </w:rPr>
        <w:t>isconnect between NDIS’s stance on group homes and actual funding</w:t>
      </w:r>
      <w:r>
        <w:rPr>
          <w:i/>
          <w:sz w:val="24"/>
        </w:rPr>
        <w:t> </w:t>
      </w:r>
      <w:r>
        <w:rPr>
          <w:sz w:val="24"/>
        </w:rPr>
        <w:t>Activ’s experience has been that NDIS funding encourages 5 or more participants in a shared home. When customers leave 5 or more</w:t>
      </w:r>
      <w:r>
        <w:rPr>
          <w:spacing w:val="-19"/>
          <w:sz w:val="24"/>
        </w:rPr>
        <w:t> </w:t>
      </w:r>
      <w:r>
        <w:rPr>
          <w:sz w:val="24"/>
        </w:rPr>
        <w:t>bedroom</w:t>
      </w:r>
    </w:p>
    <w:p xmlns:wp14="http://schemas.microsoft.com/office/word/2010/wordml" w14:paraId="7F2BD2E9" wp14:textId="77777777">
      <w:pPr>
        <w:pStyle w:val="BodyText"/>
        <w:spacing w:before="25" w:line="288" w:lineRule="auto"/>
        <w:ind w:left="100" w:right="196"/>
      </w:pPr>
      <w:r>
        <w:rPr/>
        <w:t>accommodation, Activ would prefer to leave that home at a 3 to 4 participant maximum, however NDIA will only fund the remaining participants at a 5:1 ratio. This makes the accommodation unviable with reduced numbers. Additionally, that home is underfunded until that vacancy is filled with a participant with an approved plan, which can be a long period of time. Activ must subsidise the remaining residents until then.</w:t>
      </w:r>
    </w:p>
    <w:p xmlns:wp14="http://schemas.microsoft.com/office/word/2010/wordml" w14:paraId="3461D779" wp14:textId="77777777">
      <w:pPr>
        <w:pStyle w:val="BodyText"/>
        <w:spacing w:before="5"/>
        <w:rPr>
          <w:sz w:val="32"/>
        </w:rPr>
      </w:pPr>
    </w:p>
    <w:p xmlns:wp14="http://schemas.microsoft.com/office/word/2010/wordml" w14:paraId="2EB3E06F" wp14:textId="77777777">
      <w:pPr>
        <w:pStyle w:val="ListParagraph"/>
        <w:numPr>
          <w:ilvl w:val="1"/>
          <w:numId w:val="2"/>
        </w:numPr>
        <w:tabs>
          <w:tab w:val="left" w:leader="none" w:pos="820"/>
          <w:tab w:val="left" w:leader="none" w:pos="821"/>
        </w:tabs>
        <w:spacing w:before="0" w:after="0" w:line="240" w:lineRule="auto"/>
        <w:ind w:left="820" w:right="0" w:hanging="721"/>
        <w:jc w:val="left"/>
        <w:rPr>
          <w:i/>
          <w:sz w:val="24"/>
        </w:rPr>
      </w:pPr>
      <w:bookmarkStart w:name="_bookmark6" w:id="13"/>
      <w:bookmarkEnd w:id="13"/>
      <w:r>
        <w:rPr/>
      </w:r>
      <w:r>
        <w:rPr>
          <w:i/>
          <w:color w:val="365F91"/>
          <w:sz w:val="24"/>
        </w:rPr>
        <w:t>I</w:t>
      </w:r>
      <w:r>
        <w:rPr>
          <w:i/>
          <w:color w:val="365F91"/>
          <w:sz w:val="24"/>
        </w:rPr>
        <w:t>nadequate SIL</w:t>
      </w:r>
      <w:r>
        <w:rPr>
          <w:i/>
          <w:color w:val="365F91"/>
          <w:spacing w:val="-2"/>
          <w:sz w:val="24"/>
        </w:rPr>
        <w:t> </w:t>
      </w:r>
      <w:r>
        <w:rPr>
          <w:i/>
          <w:color w:val="365F91"/>
          <w:sz w:val="24"/>
        </w:rPr>
        <w:t>funding</w:t>
      </w:r>
    </w:p>
    <w:p xmlns:wp14="http://schemas.microsoft.com/office/word/2010/wordml" w14:paraId="2C52F564" wp14:textId="77777777">
      <w:pPr>
        <w:pStyle w:val="BodyText"/>
        <w:spacing w:before="55" w:line="288" w:lineRule="auto"/>
        <w:ind w:left="100" w:right="342"/>
      </w:pPr>
      <w:r>
        <w:rPr/>
        <w:t>Like other disability providers, Activ is significantly challenged by reductions in SIL funding, particularly for participants with complex needs. These funding drops come with no explanation and put provider sustainability at risk. Options to reduce costs put participants at risk and there is no specific NDIS contact to query funding reductions with.</w:t>
      </w:r>
    </w:p>
    <w:p xmlns:wp14="http://schemas.microsoft.com/office/word/2010/wordml" w14:paraId="3CF2D8B6" wp14:textId="77777777">
      <w:pPr>
        <w:pStyle w:val="BodyText"/>
        <w:spacing w:before="4"/>
        <w:rPr>
          <w:sz w:val="32"/>
        </w:rPr>
      </w:pPr>
    </w:p>
    <w:p xmlns:wp14="http://schemas.microsoft.com/office/word/2010/wordml" w14:paraId="1C7D7E37" wp14:textId="77777777">
      <w:pPr>
        <w:pStyle w:val="ListParagraph"/>
        <w:numPr>
          <w:ilvl w:val="1"/>
          <w:numId w:val="2"/>
        </w:numPr>
        <w:tabs>
          <w:tab w:val="left" w:leader="none" w:pos="820"/>
          <w:tab w:val="left" w:leader="none" w:pos="821"/>
        </w:tabs>
        <w:spacing w:before="0" w:after="0" w:line="288" w:lineRule="auto"/>
        <w:ind w:left="100" w:right="344" w:firstLine="0"/>
        <w:jc w:val="left"/>
        <w:rPr>
          <w:sz w:val="24"/>
        </w:rPr>
      </w:pPr>
      <w:bookmarkStart w:name="_bookmark7" w:id="15"/>
      <w:bookmarkEnd w:id="15"/>
      <w:r>
        <w:rPr/>
      </w:r>
      <w:r>
        <w:rPr>
          <w:i/>
          <w:color w:val="365F91"/>
          <w:sz w:val="24"/>
        </w:rPr>
        <w:t>Co</w:t>
      </w:r>
      <w:r>
        <w:rPr>
          <w:i/>
          <w:color w:val="365F91"/>
          <w:sz w:val="24"/>
        </w:rPr>
        <w:t>ncerns regarding funding approvals for changes of circumstances</w:t>
      </w:r>
      <w:r>
        <w:rPr>
          <w:i/>
          <w:sz w:val="24"/>
        </w:rPr>
        <w:t> </w:t>
      </w:r>
      <w:r>
        <w:rPr>
          <w:sz w:val="24"/>
        </w:rPr>
        <w:t>When a participant’s support needs change for the medium or long term, often for medical concerns, approval for a change of funding is very slow and often doesn’t include backdating of payments. In these circumstances, providers will deliver the required level of support in good faith, but then find that if there are inadequate core supports to draw from, they are not</w:t>
      </w:r>
      <w:r>
        <w:rPr>
          <w:spacing w:val="-7"/>
          <w:sz w:val="24"/>
        </w:rPr>
        <w:t> </w:t>
      </w:r>
      <w:r>
        <w:rPr>
          <w:sz w:val="24"/>
        </w:rPr>
        <w:t>funded.</w:t>
      </w:r>
    </w:p>
    <w:p xmlns:wp14="http://schemas.microsoft.com/office/word/2010/wordml" w14:paraId="0FB78278" wp14:textId="77777777">
      <w:pPr>
        <w:pStyle w:val="BodyText"/>
        <w:spacing w:before="10"/>
        <w:rPr>
          <w:sz w:val="28"/>
        </w:rPr>
      </w:pPr>
    </w:p>
    <w:p xmlns:wp14="http://schemas.microsoft.com/office/word/2010/wordml" w14:paraId="1550A905" wp14:textId="77777777">
      <w:pPr>
        <w:pStyle w:val="BodyText"/>
        <w:spacing w:line="288" w:lineRule="auto"/>
        <w:ind w:left="100" w:right="234"/>
      </w:pPr>
      <w:r>
        <w:rPr/>
        <w:t>For example, Activ received written medical advice that a participant with dementia immediately required overnight awake support while the participant was getting up in the middle of the night. Activ put this in place and a change of circumstance was applied for. After five months, the participant no longer required these supports. Repeated attempts and inconclusive enquiries have</w:t>
      </w:r>
    </w:p>
    <w:p xmlns:wp14="http://schemas.microsoft.com/office/word/2010/wordml" w14:paraId="1FC39945" wp14:textId="77777777">
      <w:pPr>
        <w:spacing w:after="0" w:line="288" w:lineRule="auto"/>
        <w:sectPr>
          <w:pgSz w:w="11920" w:h="16850" w:orient="portrait"/>
          <w:pgMar w:top="1600" w:right="1580" w:bottom="1200" w:left="1580" w:header="0" w:footer="1018"/>
          <w:headerReference w:type="default" r:id="R04659e7a01024d68"/>
        </w:sectPr>
      </w:pPr>
    </w:p>
    <w:p xmlns:wp14="http://schemas.microsoft.com/office/word/2010/wordml" w14:paraId="1B3730E9" wp14:textId="77777777">
      <w:pPr>
        <w:pStyle w:val="BodyText"/>
        <w:spacing w:before="79" w:line="288" w:lineRule="auto"/>
        <w:ind w:left="100" w:right="621"/>
      </w:pPr>
      <w:r>
        <w:rPr/>
        <w:t>been made to recoup the funding (approximately $72k) for the given period. Approximately 18 months later, Activ is still trying to access this funding for services it delivered.</w:t>
      </w:r>
    </w:p>
    <w:p xmlns:wp14="http://schemas.microsoft.com/office/word/2010/wordml" w14:paraId="0562CB0E" wp14:textId="77777777">
      <w:pPr>
        <w:pStyle w:val="BodyText"/>
        <w:spacing w:before="9"/>
        <w:rPr>
          <w:sz w:val="28"/>
        </w:rPr>
      </w:pPr>
    </w:p>
    <w:p xmlns:wp14="http://schemas.microsoft.com/office/word/2010/wordml" w14:paraId="65D1C3B4" wp14:textId="77777777">
      <w:pPr>
        <w:pStyle w:val="BodyText"/>
        <w:spacing w:line="288" w:lineRule="auto"/>
        <w:ind w:left="100" w:right="1208"/>
      </w:pPr>
      <w:r>
        <w:rPr/>
        <w:t>This is another funding element that is threatening the sustainability of providers.</w:t>
      </w:r>
    </w:p>
    <w:p xmlns:wp14="http://schemas.microsoft.com/office/word/2010/wordml" w14:paraId="34CE0A41" wp14:textId="77777777">
      <w:pPr>
        <w:pStyle w:val="BodyText"/>
        <w:spacing w:before="4"/>
        <w:rPr>
          <w:sz w:val="32"/>
        </w:rPr>
      </w:pPr>
    </w:p>
    <w:p xmlns:wp14="http://schemas.microsoft.com/office/word/2010/wordml" w14:paraId="59004B2D" wp14:textId="77777777">
      <w:pPr>
        <w:pStyle w:val="ListParagraph"/>
        <w:numPr>
          <w:ilvl w:val="1"/>
          <w:numId w:val="2"/>
        </w:numPr>
        <w:tabs>
          <w:tab w:val="left" w:leader="none" w:pos="820"/>
          <w:tab w:val="left" w:leader="none" w:pos="821"/>
        </w:tabs>
        <w:spacing w:before="0" w:after="0" w:line="240" w:lineRule="auto"/>
        <w:ind w:left="820" w:right="0" w:hanging="721"/>
        <w:jc w:val="left"/>
        <w:rPr>
          <w:i/>
          <w:sz w:val="24"/>
        </w:rPr>
      </w:pPr>
      <w:bookmarkStart w:name="_bookmark8" w:id="17"/>
      <w:bookmarkEnd w:id="17"/>
      <w:r>
        <w:rPr/>
      </w:r>
      <w:r>
        <w:rPr>
          <w:i/>
          <w:color w:val="365F91"/>
          <w:sz w:val="24"/>
        </w:rPr>
        <w:t>Fu</w:t>
      </w:r>
      <w:r>
        <w:rPr>
          <w:i/>
          <w:color w:val="365F91"/>
          <w:sz w:val="24"/>
        </w:rPr>
        <w:t>nding issues in regional</w:t>
      </w:r>
      <w:r>
        <w:rPr>
          <w:i/>
          <w:color w:val="365F91"/>
          <w:spacing w:val="-7"/>
          <w:sz w:val="24"/>
        </w:rPr>
        <w:t> </w:t>
      </w:r>
      <w:r>
        <w:rPr>
          <w:i/>
          <w:color w:val="365F91"/>
          <w:sz w:val="24"/>
        </w:rPr>
        <w:t>areas</w:t>
      </w:r>
    </w:p>
    <w:p xmlns:wp14="http://schemas.microsoft.com/office/word/2010/wordml" w14:paraId="3DF61D2B" wp14:textId="77777777">
      <w:pPr>
        <w:pStyle w:val="BodyText"/>
        <w:spacing w:before="56" w:line="288" w:lineRule="auto"/>
        <w:ind w:left="100" w:right="236"/>
      </w:pPr>
      <w:r>
        <w:rPr/>
        <w:t>Activ faces SIL funding issues in regional areas where the participant base is smaller and the compatibility of participants is more difficult to address. This means that a SIL vacancy may take months to fill which leaves Activ the choice of bearing the cost of the funding shortfall or reducing costs which could put participants at risk.</w:t>
      </w:r>
    </w:p>
    <w:p xmlns:wp14="http://schemas.microsoft.com/office/word/2010/wordml" w14:paraId="62EBF3C5" wp14:textId="77777777">
      <w:pPr>
        <w:pStyle w:val="BodyText"/>
        <w:spacing w:before="10"/>
        <w:rPr>
          <w:sz w:val="28"/>
        </w:rPr>
      </w:pPr>
    </w:p>
    <w:p xmlns:wp14="http://schemas.microsoft.com/office/word/2010/wordml" w14:paraId="46FF2540" wp14:textId="77777777">
      <w:pPr>
        <w:pStyle w:val="Heading1"/>
        <w:numPr>
          <w:ilvl w:val="0"/>
          <w:numId w:val="2"/>
        </w:numPr>
        <w:tabs>
          <w:tab w:val="left" w:leader="none" w:pos="820"/>
          <w:tab w:val="left" w:leader="none" w:pos="821"/>
        </w:tabs>
        <w:spacing w:before="0" w:after="0" w:line="240" w:lineRule="auto"/>
        <w:ind w:left="820" w:right="0" w:hanging="721"/>
        <w:jc w:val="left"/>
      </w:pPr>
      <w:bookmarkStart w:name="_bookmark9" w:id="19"/>
      <w:bookmarkEnd w:id="19"/>
      <w:r>
        <w:rPr>
          <w:b w:val="0"/>
        </w:rPr>
      </w:r>
      <w:r>
        <w:rPr/>
        <w:t>Impr</w:t>
      </w:r>
      <w:r>
        <w:rPr/>
        <w:t>oving Choice and Control through Flexible</w:t>
      </w:r>
      <w:r>
        <w:rPr>
          <w:spacing w:val="-5"/>
        </w:rPr>
        <w:t> </w:t>
      </w:r>
      <w:r>
        <w:rPr/>
        <w:t>Budgets</w:t>
      </w:r>
    </w:p>
    <w:p xmlns:wp14="http://schemas.microsoft.com/office/word/2010/wordml" w14:paraId="6D98A12B" wp14:textId="77777777">
      <w:pPr>
        <w:pStyle w:val="BodyText"/>
        <w:spacing w:before="10"/>
        <w:rPr>
          <w:b/>
          <w:sz w:val="33"/>
        </w:rPr>
      </w:pPr>
    </w:p>
    <w:p xmlns:wp14="http://schemas.microsoft.com/office/word/2010/wordml" w14:paraId="208B8476" wp14:textId="77777777">
      <w:pPr>
        <w:pStyle w:val="BodyText"/>
        <w:spacing w:line="288" w:lineRule="auto"/>
        <w:ind w:left="100" w:right="369"/>
      </w:pPr>
      <w:r>
        <w:rPr/>
        <w:t>Activ supports the proposal to provide participants more flexibility in the use of their funding.</w:t>
      </w:r>
    </w:p>
    <w:p xmlns:wp14="http://schemas.microsoft.com/office/word/2010/wordml" w14:paraId="2946DB82" wp14:textId="77777777">
      <w:pPr>
        <w:pStyle w:val="BodyText"/>
        <w:spacing w:before="9"/>
        <w:rPr>
          <w:sz w:val="28"/>
        </w:rPr>
      </w:pPr>
    </w:p>
    <w:p xmlns:wp14="http://schemas.microsoft.com/office/word/2010/wordml" w14:paraId="440CCD88" wp14:textId="77777777">
      <w:pPr>
        <w:pStyle w:val="Heading1"/>
        <w:numPr>
          <w:ilvl w:val="0"/>
          <w:numId w:val="2"/>
        </w:numPr>
        <w:tabs>
          <w:tab w:val="left" w:leader="none" w:pos="820"/>
          <w:tab w:val="left" w:leader="none" w:pos="821"/>
        </w:tabs>
        <w:spacing w:before="1" w:after="0" w:line="240" w:lineRule="auto"/>
        <w:ind w:left="820" w:right="0" w:hanging="721"/>
        <w:jc w:val="left"/>
      </w:pPr>
      <w:bookmarkStart w:name="_bookmark10" w:id="21"/>
      <w:bookmarkEnd w:id="21"/>
      <w:r>
        <w:rPr>
          <w:b w:val="0"/>
        </w:rPr>
      </w:r>
      <w:r>
        <w:rPr/>
        <w:t>A</w:t>
      </w:r>
      <w:r>
        <w:rPr/>
        <w:t>ssisting Implementation and</w:t>
      </w:r>
      <w:r>
        <w:rPr>
          <w:spacing w:val="-1"/>
        </w:rPr>
        <w:t> </w:t>
      </w:r>
      <w:r>
        <w:rPr/>
        <w:t>Maintenance</w:t>
      </w:r>
    </w:p>
    <w:p xmlns:wp14="http://schemas.microsoft.com/office/word/2010/wordml" w14:paraId="5997CC1D" wp14:textId="77777777">
      <w:pPr>
        <w:pStyle w:val="BodyText"/>
        <w:spacing w:before="2"/>
        <w:rPr>
          <w:b/>
          <w:sz w:val="36"/>
        </w:rPr>
      </w:pPr>
    </w:p>
    <w:p xmlns:wp14="http://schemas.microsoft.com/office/word/2010/wordml" w14:paraId="3D73C95D" wp14:textId="77777777">
      <w:pPr>
        <w:pStyle w:val="ListParagraph"/>
        <w:numPr>
          <w:ilvl w:val="1"/>
          <w:numId w:val="2"/>
        </w:numPr>
        <w:tabs>
          <w:tab w:val="left" w:leader="none" w:pos="820"/>
          <w:tab w:val="left" w:leader="none" w:pos="821"/>
        </w:tabs>
        <w:spacing w:before="0" w:after="0" w:line="240" w:lineRule="auto"/>
        <w:ind w:left="820" w:right="0" w:hanging="721"/>
        <w:jc w:val="left"/>
        <w:rPr>
          <w:i/>
          <w:sz w:val="24"/>
        </w:rPr>
      </w:pPr>
      <w:bookmarkStart w:name="_bookmark11" w:id="23"/>
      <w:bookmarkEnd w:id="23"/>
      <w:r>
        <w:rPr/>
      </w:r>
      <w:r>
        <w:rPr>
          <w:i/>
          <w:color w:val="365F91"/>
          <w:sz w:val="24"/>
        </w:rPr>
        <w:t>S</w:t>
      </w:r>
      <w:r>
        <w:rPr>
          <w:i/>
          <w:color w:val="365F91"/>
          <w:sz w:val="24"/>
        </w:rPr>
        <w:t>upport removal of conflict of</w:t>
      </w:r>
      <w:r>
        <w:rPr>
          <w:i/>
          <w:color w:val="365F91"/>
          <w:spacing w:val="-1"/>
          <w:sz w:val="24"/>
        </w:rPr>
        <w:t> </w:t>
      </w:r>
      <w:r>
        <w:rPr>
          <w:i/>
          <w:color w:val="365F91"/>
          <w:sz w:val="24"/>
        </w:rPr>
        <w:t>interests</w:t>
      </w:r>
    </w:p>
    <w:p xmlns:wp14="http://schemas.microsoft.com/office/word/2010/wordml" w14:paraId="26D3E7EB" wp14:textId="77777777">
      <w:pPr>
        <w:pStyle w:val="BodyText"/>
        <w:spacing w:line="288" w:lineRule="auto"/>
        <w:ind w:left="100" w:right="235"/>
      </w:pPr>
      <w:r>
        <w:rPr/>
        <w:t>Activ supports the approach of removing any opportunity for conflicts of interest in supporting participants. Support Co-ordination is currently provided by some support providers which is in itself a conflict.</w:t>
      </w:r>
    </w:p>
    <w:p xmlns:wp14="http://schemas.microsoft.com/office/word/2010/wordml" w14:paraId="110FFD37" wp14:textId="77777777">
      <w:pPr>
        <w:pStyle w:val="BodyText"/>
        <w:spacing w:before="4"/>
        <w:rPr>
          <w:sz w:val="32"/>
        </w:rPr>
      </w:pPr>
    </w:p>
    <w:p xmlns:wp14="http://schemas.microsoft.com/office/word/2010/wordml" w14:paraId="4F1E5857" wp14:textId="77777777">
      <w:pPr>
        <w:pStyle w:val="ListParagraph"/>
        <w:numPr>
          <w:ilvl w:val="1"/>
          <w:numId w:val="2"/>
        </w:numPr>
        <w:tabs>
          <w:tab w:val="left" w:leader="none" w:pos="820"/>
          <w:tab w:val="left" w:leader="none" w:pos="821"/>
        </w:tabs>
        <w:spacing w:before="0" w:after="0" w:line="240" w:lineRule="auto"/>
        <w:ind w:left="820" w:right="0" w:hanging="721"/>
        <w:jc w:val="left"/>
        <w:rPr>
          <w:i/>
          <w:sz w:val="24"/>
        </w:rPr>
      </w:pPr>
      <w:bookmarkStart w:name="_bookmark12" w:id="25"/>
      <w:bookmarkEnd w:id="25"/>
      <w:r>
        <w:rPr/>
      </w:r>
      <w:r>
        <w:rPr>
          <w:i/>
          <w:color w:val="365F91"/>
          <w:sz w:val="24"/>
        </w:rPr>
        <w:t>Co</w:t>
      </w:r>
      <w:r>
        <w:rPr>
          <w:i/>
          <w:color w:val="365F91"/>
          <w:sz w:val="24"/>
        </w:rPr>
        <w:t>ncerns regarding planner experience and</w:t>
      </w:r>
      <w:r>
        <w:rPr>
          <w:i/>
          <w:color w:val="365F91"/>
          <w:spacing w:val="-7"/>
          <w:sz w:val="24"/>
        </w:rPr>
        <w:t> </w:t>
      </w:r>
      <w:r>
        <w:rPr>
          <w:i/>
          <w:color w:val="365F91"/>
          <w:sz w:val="24"/>
        </w:rPr>
        <w:t>knowledge</w:t>
      </w:r>
    </w:p>
    <w:p xmlns:wp14="http://schemas.microsoft.com/office/word/2010/wordml" w14:paraId="2699432F" wp14:textId="77777777">
      <w:pPr>
        <w:pStyle w:val="BodyText"/>
        <w:spacing w:line="288" w:lineRule="auto"/>
        <w:ind w:left="100" w:right="109"/>
      </w:pPr>
      <w:r>
        <w:rPr/>
        <w:t>Activ also has concerns about the experience and knowledge of planners and how that leads to delayed and inappropriate decisions. Anecdotally it has been said that the average tenure for a planner is less than 12 months. Activ suggests that more training and supervision of Support Coordinators could result in a more consistent, stable and reliable service for</w:t>
      </w:r>
      <w:r>
        <w:rPr>
          <w:spacing w:val="-5"/>
        </w:rPr>
        <w:t> </w:t>
      </w:r>
      <w:r>
        <w:rPr/>
        <w:t>participants.</w:t>
      </w:r>
    </w:p>
    <w:p xmlns:wp14="http://schemas.microsoft.com/office/word/2010/wordml" w14:paraId="6B699379" wp14:textId="77777777">
      <w:pPr>
        <w:pStyle w:val="BodyText"/>
        <w:spacing w:before="10"/>
        <w:rPr>
          <w:sz w:val="28"/>
        </w:rPr>
      </w:pPr>
    </w:p>
    <w:p xmlns:wp14="http://schemas.microsoft.com/office/word/2010/wordml" w14:paraId="69FB3870" wp14:textId="77777777">
      <w:pPr>
        <w:pStyle w:val="BodyText"/>
        <w:spacing w:line="288" w:lineRule="auto"/>
        <w:ind w:left="100" w:right="249"/>
      </w:pPr>
      <w:r>
        <w:rPr/>
        <w:t>Additionally, in regional areas, participants can have phone interviews with planners from all over Australia with little or no knowledge of the region or its capacity to deliver all supports locally. For instance, there may be a need to travel to the metropolitan area to access a dentist. This can result in insufficient funding in regional areas where access to services is limited.</w:t>
      </w:r>
    </w:p>
    <w:p xmlns:wp14="http://schemas.microsoft.com/office/word/2010/wordml" w14:paraId="3FE9F23F" wp14:textId="77777777">
      <w:pPr>
        <w:spacing w:after="0" w:line="288" w:lineRule="auto"/>
        <w:sectPr>
          <w:pgSz w:w="11920" w:h="16850" w:orient="portrait"/>
          <w:pgMar w:top="1500" w:right="1580" w:bottom="1200" w:left="1580" w:header="0" w:footer="1018"/>
          <w:headerReference w:type="default" r:id="R673369e396924367"/>
        </w:sectPr>
      </w:pPr>
    </w:p>
    <w:p xmlns:wp14="http://schemas.microsoft.com/office/word/2010/wordml" w14:paraId="2E88E890" wp14:textId="77777777">
      <w:pPr>
        <w:pStyle w:val="Heading1"/>
        <w:numPr>
          <w:ilvl w:val="0"/>
          <w:numId w:val="2"/>
        </w:numPr>
        <w:tabs>
          <w:tab w:val="left" w:leader="none" w:pos="820"/>
          <w:tab w:val="left" w:leader="none" w:pos="821"/>
        </w:tabs>
        <w:spacing w:before="79" w:after="0" w:line="240" w:lineRule="auto"/>
        <w:ind w:left="820" w:right="0" w:hanging="721"/>
        <w:jc w:val="left"/>
      </w:pPr>
      <w:bookmarkStart w:name="_bookmark13" w:id="27"/>
      <w:bookmarkEnd w:id="27"/>
      <w:r>
        <w:rPr>
          <w:b w:val="0"/>
        </w:rPr>
      </w:r>
      <w:r>
        <w:rPr/>
        <w:t>Engagi</w:t>
      </w:r>
      <w:r>
        <w:rPr/>
        <w:t>ng the Market and Driving</w:t>
      </w:r>
      <w:r>
        <w:rPr>
          <w:spacing w:val="-5"/>
        </w:rPr>
        <w:t> </w:t>
      </w:r>
      <w:r>
        <w:rPr/>
        <w:t>Innovation</w:t>
      </w:r>
    </w:p>
    <w:p xmlns:wp14="http://schemas.microsoft.com/office/word/2010/wordml" w14:paraId="1F72F646" wp14:textId="77777777">
      <w:pPr>
        <w:pStyle w:val="BodyText"/>
        <w:spacing w:before="2"/>
        <w:rPr>
          <w:b/>
          <w:sz w:val="36"/>
        </w:rPr>
      </w:pPr>
    </w:p>
    <w:p xmlns:wp14="http://schemas.microsoft.com/office/word/2010/wordml" w14:paraId="7098FD1F" wp14:textId="77777777">
      <w:pPr>
        <w:pStyle w:val="ListParagraph"/>
        <w:numPr>
          <w:ilvl w:val="1"/>
          <w:numId w:val="2"/>
        </w:numPr>
        <w:tabs>
          <w:tab w:val="left" w:leader="none" w:pos="820"/>
          <w:tab w:val="left" w:leader="none" w:pos="821"/>
        </w:tabs>
        <w:spacing w:before="0" w:after="0" w:line="240" w:lineRule="auto"/>
        <w:ind w:left="820" w:right="0" w:hanging="721"/>
        <w:jc w:val="left"/>
        <w:rPr>
          <w:i/>
          <w:sz w:val="24"/>
        </w:rPr>
      </w:pPr>
      <w:bookmarkStart w:name="_bookmark14" w:id="29"/>
      <w:bookmarkEnd w:id="29"/>
      <w:r>
        <w:rPr/>
      </w:r>
      <w:r>
        <w:rPr>
          <w:i/>
          <w:color w:val="365F91"/>
          <w:sz w:val="24"/>
        </w:rPr>
        <w:t>Cur</w:t>
      </w:r>
      <w:r>
        <w:rPr>
          <w:i/>
          <w:color w:val="365F91"/>
          <w:sz w:val="24"/>
        </w:rPr>
        <w:t>rent model inhibits</w:t>
      </w:r>
      <w:r>
        <w:rPr>
          <w:i/>
          <w:color w:val="365F91"/>
          <w:spacing w:val="-1"/>
          <w:sz w:val="24"/>
        </w:rPr>
        <w:t> </w:t>
      </w:r>
      <w:r>
        <w:rPr>
          <w:i/>
          <w:color w:val="365F91"/>
          <w:sz w:val="24"/>
        </w:rPr>
        <w:t>innovation</w:t>
      </w:r>
    </w:p>
    <w:p xmlns:wp14="http://schemas.microsoft.com/office/word/2010/wordml" w14:paraId="75DB0C32" wp14:textId="77777777">
      <w:pPr>
        <w:pStyle w:val="BodyText"/>
        <w:spacing w:line="288" w:lineRule="auto"/>
        <w:ind w:left="100" w:right="302"/>
      </w:pPr>
      <w:r>
        <w:rPr/>
        <w:t>Activ is keen to drive innovation to ensure people living with disabilities can access the best possible supports and it is encouraging to see this in the NDIS agenda.</w:t>
      </w:r>
    </w:p>
    <w:p xmlns:wp14="http://schemas.microsoft.com/office/word/2010/wordml" w14:paraId="08CE6F91" wp14:textId="77777777">
      <w:pPr>
        <w:pStyle w:val="BodyText"/>
        <w:spacing w:before="9"/>
        <w:rPr>
          <w:sz w:val="28"/>
        </w:rPr>
      </w:pPr>
    </w:p>
    <w:p xmlns:wp14="http://schemas.microsoft.com/office/word/2010/wordml" w14:paraId="22016A1B" wp14:textId="77777777">
      <w:pPr>
        <w:pStyle w:val="BodyText"/>
        <w:spacing w:before="1" w:line="288" w:lineRule="auto"/>
        <w:ind w:left="100" w:right="275"/>
      </w:pPr>
      <w:r>
        <w:rPr/>
        <w:t>SIL supports represent a significant proportion of the NDIA’s committed budget and Activ welcomes the opportunity explore opportunities including;</w:t>
      </w:r>
    </w:p>
    <w:p xmlns:wp14="http://schemas.microsoft.com/office/word/2010/wordml" w14:paraId="475F7CDC" wp14:textId="77777777">
      <w:pPr>
        <w:pStyle w:val="ListParagraph"/>
        <w:numPr>
          <w:ilvl w:val="2"/>
          <w:numId w:val="2"/>
        </w:numPr>
        <w:tabs>
          <w:tab w:val="left" w:leader="none" w:pos="1180"/>
          <w:tab w:val="left" w:leader="none" w:pos="1181"/>
        </w:tabs>
        <w:spacing w:before="0" w:after="0" w:line="283" w:lineRule="auto"/>
        <w:ind w:left="1180" w:right="390" w:hanging="360"/>
        <w:jc w:val="left"/>
        <w:rPr>
          <w:sz w:val="24"/>
        </w:rPr>
      </w:pPr>
      <w:r>
        <w:rPr>
          <w:sz w:val="24"/>
        </w:rPr>
        <w:t>Short-term, high-intensity supports including Allied Health and other interventions to reduce long-term support</w:t>
      </w:r>
      <w:r>
        <w:rPr>
          <w:spacing w:val="-4"/>
          <w:sz w:val="24"/>
        </w:rPr>
        <w:t> </w:t>
      </w:r>
      <w:r>
        <w:rPr>
          <w:sz w:val="24"/>
        </w:rPr>
        <w:t>needs</w:t>
      </w:r>
    </w:p>
    <w:p xmlns:wp14="http://schemas.microsoft.com/office/word/2010/wordml" w14:paraId="65F6B871" wp14:textId="77777777">
      <w:pPr>
        <w:pStyle w:val="ListParagraph"/>
        <w:numPr>
          <w:ilvl w:val="2"/>
          <w:numId w:val="2"/>
        </w:numPr>
        <w:tabs>
          <w:tab w:val="left" w:leader="none" w:pos="1180"/>
          <w:tab w:val="left" w:leader="none" w:pos="1181"/>
        </w:tabs>
        <w:spacing w:before="7" w:after="0" w:line="285" w:lineRule="auto"/>
        <w:ind w:left="1180" w:right="195" w:hanging="360"/>
        <w:jc w:val="left"/>
        <w:rPr>
          <w:sz w:val="24"/>
        </w:rPr>
      </w:pPr>
      <w:r>
        <w:rPr>
          <w:sz w:val="24"/>
        </w:rPr>
        <w:t>Exploration of new technologies to reduce face-to-face support requirements, particularly for those living with intellectual disability, as this has typically not been a focus of assistive technology</w:t>
      </w:r>
      <w:r>
        <w:rPr>
          <w:spacing w:val="-22"/>
          <w:sz w:val="24"/>
        </w:rPr>
        <w:t> </w:t>
      </w:r>
      <w:r>
        <w:rPr>
          <w:sz w:val="24"/>
        </w:rPr>
        <w:t>providers</w:t>
      </w:r>
    </w:p>
    <w:p xmlns:wp14="http://schemas.microsoft.com/office/word/2010/wordml" w14:paraId="7DF4BFE8" wp14:textId="77777777">
      <w:pPr>
        <w:pStyle w:val="ListParagraph"/>
        <w:numPr>
          <w:ilvl w:val="2"/>
          <w:numId w:val="2"/>
        </w:numPr>
        <w:tabs>
          <w:tab w:val="left" w:leader="none" w:pos="1180"/>
          <w:tab w:val="left" w:leader="none" w:pos="1181"/>
        </w:tabs>
        <w:spacing w:before="2" w:after="0" w:line="285" w:lineRule="auto"/>
        <w:ind w:left="1180" w:right="179" w:hanging="360"/>
        <w:jc w:val="left"/>
        <w:rPr>
          <w:sz w:val="24"/>
        </w:rPr>
      </w:pPr>
      <w:r>
        <w:rPr>
          <w:sz w:val="24"/>
        </w:rPr>
        <w:t>“Graduated” or “step-down” transitionary services aimed at easing the transition from 24/7 high-intensity supports to more sustainable models of in-community</w:t>
      </w:r>
      <w:r>
        <w:rPr>
          <w:spacing w:val="-4"/>
          <w:sz w:val="24"/>
        </w:rPr>
        <w:t> </w:t>
      </w:r>
      <w:r>
        <w:rPr>
          <w:sz w:val="24"/>
        </w:rPr>
        <w:t>support.</w:t>
      </w:r>
    </w:p>
    <w:p xmlns:wp14="http://schemas.microsoft.com/office/word/2010/wordml" w14:paraId="61CDCEAD" wp14:textId="77777777">
      <w:pPr>
        <w:pStyle w:val="BodyText"/>
        <w:rPr>
          <w:sz w:val="29"/>
        </w:rPr>
      </w:pPr>
    </w:p>
    <w:p xmlns:wp14="http://schemas.microsoft.com/office/word/2010/wordml" w14:paraId="3658FEBE" wp14:textId="77777777">
      <w:pPr>
        <w:pStyle w:val="BodyText"/>
        <w:spacing w:before="1" w:line="288" w:lineRule="auto"/>
        <w:ind w:left="100" w:right="328"/>
      </w:pPr>
      <w:r>
        <w:rPr/>
        <w:t>The current system, however, does not support innovation. Firstly, the NDIA model does not appear to support investment in collaborating with providers to fund innovation in product range and service delivery. Secondly, providers are forced into a reactive stance focused on keeping up with forced changes from NDIA while seeking to ensure delivery of existing services are maintained safely.</w:t>
      </w:r>
    </w:p>
    <w:p xmlns:wp14="http://schemas.microsoft.com/office/word/2010/wordml" w14:paraId="6BB9E253" wp14:textId="77777777">
      <w:pPr>
        <w:pStyle w:val="BodyText"/>
        <w:spacing w:before="10"/>
        <w:rPr>
          <w:sz w:val="28"/>
        </w:rPr>
      </w:pPr>
    </w:p>
    <w:p xmlns:wp14="http://schemas.microsoft.com/office/word/2010/wordml" w14:paraId="13377096" wp14:textId="77777777">
      <w:pPr>
        <w:pStyle w:val="Heading1"/>
        <w:numPr>
          <w:ilvl w:val="0"/>
          <w:numId w:val="2"/>
        </w:numPr>
        <w:tabs>
          <w:tab w:val="left" w:leader="none" w:pos="820"/>
          <w:tab w:val="left" w:leader="none" w:pos="821"/>
        </w:tabs>
        <w:spacing w:before="0" w:after="0" w:line="240" w:lineRule="auto"/>
        <w:ind w:left="820" w:right="0" w:hanging="721"/>
        <w:jc w:val="left"/>
      </w:pPr>
      <w:bookmarkStart w:name="_bookmark15" w:id="31"/>
      <w:bookmarkEnd w:id="31"/>
      <w:r>
        <w:rPr>
          <w:b w:val="0"/>
        </w:rPr>
      </w:r>
      <w:r>
        <w:rPr/>
        <w:t>SIL</w:t>
      </w:r>
    </w:p>
    <w:p xmlns:wp14="http://schemas.microsoft.com/office/word/2010/wordml" w14:paraId="23DE523C" wp14:textId="77777777">
      <w:pPr>
        <w:pStyle w:val="BodyText"/>
        <w:spacing w:before="10"/>
        <w:rPr>
          <w:b/>
          <w:sz w:val="39"/>
        </w:rPr>
      </w:pPr>
    </w:p>
    <w:p xmlns:wp14="http://schemas.microsoft.com/office/word/2010/wordml" w14:paraId="72FE5F87" wp14:textId="77777777">
      <w:pPr>
        <w:pStyle w:val="ListParagraph"/>
        <w:numPr>
          <w:ilvl w:val="1"/>
          <w:numId w:val="2"/>
        </w:numPr>
        <w:tabs>
          <w:tab w:val="left" w:leader="none" w:pos="820"/>
          <w:tab w:val="left" w:leader="none" w:pos="821"/>
        </w:tabs>
        <w:spacing w:before="0" w:after="0" w:line="240" w:lineRule="auto"/>
        <w:ind w:left="820" w:right="0" w:hanging="721"/>
        <w:jc w:val="left"/>
        <w:rPr>
          <w:i/>
          <w:sz w:val="24"/>
        </w:rPr>
      </w:pPr>
      <w:bookmarkStart w:name="_bookmark16" w:id="33"/>
      <w:bookmarkEnd w:id="33"/>
      <w:r>
        <w:rPr/>
      </w:r>
      <w:r>
        <w:rPr>
          <w:i/>
          <w:color w:val="365F91"/>
          <w:sz w:val="24"/>
        </w:rPr>
        <w:t>SIL</w:t>
      </w:r>
      <w:r>
        <w:rPr>
          <w:i/>
          <w:color w:val="365F91"/>
          <w:sz w:val="24"/>
        </w:rPr>
        <w:t> will remain an important support to</w:t>
      </w:r>
      <w:r>
        <w:rPr>
          <w:i/>
          <w:color w:val="365F91"/>
          <w:spacing w:val="-4"/>
          <w:sz w:val="24"/>
        </w:rPr>
        <w:t> </w:t>
      </w:r>
      <w:r>
        <w:rPr>
          <w:i/>
          <w:color w:val="365F91"/>
          <w:sz w:val="24"/>
        </w:rPr>
        <w:t>participants</w:t>
      </w:r>
    </w:p>
    <w:p xmlns:wp14="http://schemas.microsoft.com/office/word/2010/wordml" w14:paraId="127AD3CE" wp14:textId="77777777">
      <w:pPr>
        <w:pStyle w:val="BodyText"/>
        <w:spacing w:line="288" w:lineRule="auto"/>
        <w:ind w:left="100" w:right="316"/>
      </w:pPr>
      <w:r>
        <w:rPr/>
        <w:t>The consultation paper has an undercurrent of negativity regarding SIL. Activ believes it is important to accept that SIL is a critical service for the segment of participants who will always require high levels of support. Activ is, however, keen for the NDIA to collaborate with providers to build sustainable and innovative pathways to reducing reliance of SIL.</w:t>
      </w:r>
    </w:p>
    <w:p xmlns:wp14="http://schemas.microsoft.com/office/word/2010/wordml" w14:paraId="52E56223" wp14:textId="77777777">
      <w:pPr>
        <w:pStyle w:val="BodyText"/>
        <w:spacing w:before="11"/>
        <w:rPr>
          <w:sz w:val="28"/>
        </w:rPr>
      </w:pPr>
    </w:p>
    <w:p xmlns:wp14="http://schemas.microsoft.com/office/word/2010/wordml" w14:paraId="5BB7856B" wp14:textId="77777777">
      <w:pPr>
        <w:pStyle w:val="Heading1"/>
        <w:numPr>
          <w:ilvl w:val="0"/>
          <w:numId w:val="2"/>
        </w:numPr>
        <w:tabs>
          <w:tab w:val="left" w:leader="none" w:pos="820"/>
          <w:tab w:val="left" w:leader="none" w:pos="821"/>
        </w:tabs>
        <w:spacing w:before="0" w:after="0" w:line="240" w:lineRule="auto"/>
        <w:ind w:left="820" w:right="0" w:hanging="721"/>
        <w:jc w:val="left"/>
      </w:pPr>
      <w:bookmarkStart w:name="_bookmark17" w:id="35"/>
      <w:bookmarkEnd w:id="35"/>
      <w:r>
        <w:rPr>
          <w:b w:val="0"/>
        </w:rPr>
      </w:r>
      <w:r>
        <w:rPr/>
        <w:t>Change</w:t>
      </w:r>
      <w:r>
        <w:rPr/>
        <w:t> Management in</w:t>
      </w:r>
      <w:r>
        <w:rPr>
          <w:spacing w:val="-4"/>
        </w:rPr>
        <w:t> </w:t>
      </w:r>
      <w:r>
        <w:rPr/>
        <w:t>NDIS</w:t>
      </w:r>
    </w:p>
    <w:p xmlns:wp14="http://schemas.microsoft.com/office/word/2010/wordml" w14:paraId="07547A01" wp14:textId="77777777">
      <w:pPr>
        <w:pStyle w:val="BodyText"/>
        <w:spacing w:before="4"/>
        <w:rPr>
          <w:b/>
          <w:sz w:val="37"/>
        </w:rPr>
      </w:pPr>
    </w:p>
    <w:p xmlns:wp14="http://schemas.microsoft.com/office/word/2010/wordml" w14:paraId="0B24294E" wp14:textId="77777777">
      <w:pPr>
        <w:pStyle w:val="ListParagraph"/>
        <w:numPr>
          <w:ilvl w:val="1"/>
          <w:numId w:val="2"/>
        </w:numPr>
        <w:tabs>
          <w:tab w:val="left" w:leader="none" w:pos="820"/>
          <w:tab w:val="left" w:leader="none" w:pos="821"/>
        </w:tabs>
        <w:spacing w:before="0" w:after="0" w:line="240" w:lineRule="auto"/>
        <w:ind w:left="820" w:right="0" w:hanging="721"/>
        <w:jc w:val="left"/>
        <w:rPr>
          <w:i/>
          <w:sz w:val="24"/>
        </w:rPr>
      </w:pPr>
      <w:bookmarkStart w:name="_bookmark18" w:id="37"/>
      <w:bookmarkEnd w:id="37"/>
      <w:r>
        <w:rPr/>
      </w:r>
      <w:r>
        <w:rPr>
          <w:i/>
          <w:color w:val="365F91"/>
          <w:sz w:val="24"/>
        </w:rPr>
        <w:t>S</w:t>
      </w:r>
      <w:r>
        <w:rPr>
          <w:i/>
          <w:color w:val="365F91"/>
          <w:sz w:val="24"/>
        </w:rPr>
        <w:t>ignificant cost of</w:t>
      </w:r>
      <w:r>
        <w:rPr>
          <w:i/>
          <w:color w:val="365F91"/>
          <w:spacing w:val="-3"/>
          <w:sz w:val="24"/>
        </w:rPr>
        <w:t> </w:t>
      </w:r>
      <w:r>
        <w:rPr>
          <w:i/>
          <w:color w:val="365F91"/>
          <w:sz w:val="24"/>
        </w:rPr>
        <w:t>change</w:t>
      </w:r>
    </w:p>
    <w:p xmlns:wp14="http://schemas.microsoft.com/office/word/2010/wordml" w14:paraId="7D2F5E44" wp14:textId="77777777">
      <w:pPr>
        <w:pStyle w:val="BodyText"/>
        <w:spacing w:line="288" w:lineRule="auto"/>
        <w:ind w:left="100" w:right="447"/>
      </w:pPr>
      <w:r>
        <w:rPr/>
        <w:t>The ongoing pace and frequency along with insufficient consultation and lead times for policy and/or process change, has had significant impact on Activ’s cost base, efficiency and productivity.</w:t>
      </w:r>
    </w:p>
    <w:p xmlns:wp14="http://schemas.microsoft.com/office/word/2010/wordml" w14:paraId="5043CB0F" wp14:textId="77777777">
      <w:pPr>
        <w:pStyle w:val="BodyText"/>
        <w:spacing w:before="10"/>
        <w:rPr>
          <w:sz w:val="28"/>
        </w:rPr>
      </w:pPr>
    </w:p>
    <w:p xmlns:wp14="http://schemas.microsoft.com/office/word/2010/wordml" w14:paraId="4EA6BAB4" wp14:textId="77777777">
      <w:pPr>
        <w:pStyle w:val="BodyText"/>
        <w:ind w:left="100"/>
      </w:pPr>
      <w:r>
        <w:rPr/>
        <w:t>Most changes have resulted in Activ’s inability to claim funding for the services</w:t>
      </w:r>
    </w:p>
    <w:p xmlns:wp14="http://schemas.microsoft.com/office/word/2010/wordml" w14:paraId="07459315" wp14:textId="77777777">
      <w:pPr>
        <w:spacing w:after="0"/>
        <w:sectPr>
          <w:pgSz w:w="11920" w:h="16850" w:orient="portrait"/>
          <w:pgMar w:top="1500" w:right="1580" w:bottom="1200" w:left="1580" w:header="0" w:footer="1018"/>
          <w:headerReference w:type="default" r:id="R0d2cd7b3c6184be5"/>
        </w:sectPr>
      </w:pPr>
    </w:p>
    <w:p xmlns:wp14="http://schemas.microsoft.com/office/word/2010/wordml" w14:paraId="396D47AF" wp14:textId="77777777">
      <w:pPr>
        <w:pStyle w:val="BodyText"/>
        <w:spacing w:before="79" w:line="288" w:lineRule="auto"/>
        <w:ind w:left="100" w:right="208"/>
      </w:pPr>
      <w:r>
        <w:rPr/>
        <w:t>delivered. This has required significant organisational resources to address. Lengthy and laborious manual processes have been, and continue to be, required to support capturing the services, recording and back claiming once system redesign is complete. By way of example from July to Oct 20 Activ was unable to claim SIL because material redesign of its core system was required. Activ understands this issue impacted the entire sector. Activ is still addressing the issues caused by Community and Employment pricing changes.</w:t>
      </w:r>
    </w:p>
    <w:p xmlns:wp14="http://schemas.microsoft.com/office/word/2010/wordml" w14:paraId="6537F28F" wp14:textId="77777777">
      <w:pPr>
        <w:pStyle w:val="BodyText"/>
        <w:spacing w:before="9"/>
        <w:rPr>
          <w:sz w:val="28"/>
        </w:rPr>
      </w:pPr>
    </w:p>
    <w:p xmlns:wp14="http://schemas.microsoft.com/office/word/2010/wordml" w14:paraId="76B98A99" wp14:textId="77777777">
      <w:pPr>
        <w:pStyle w:val="BodyText"/>
        <w:spacing w:line="288" w:lineRule="auto"/>
        <w:ind w:left="100" w:right="822"/>
      </w:pPr>
      <w:r>
        <w:rPr/>
        <w:t>It should be noted that safe guarding of staff and customers is potentially compromised when providers are underwriting unfunded services and are buried in reactive, inefficient process changes.</w:t>
      </w:r>
    </w:p>
    <w:p xmlns:wp14="http://schemas.microsoft.com/office/word/2010/wordml" w14:paraId="6DFB9E20" wp14:textId="77777777">
      <w:pPr>
        <w:pStyle w:val="BodyText"/>
        <w:spacing w:before="10"/>
        <w:rPr>
          <w:sz w:val="28"/>
        </w:rPr>
      </w:pPr>
    </w:p>
    <w:p xmlns:wp14="http://schemas.microsoft.com/office/word/2010/wordml" w14:paraId="34A1D050" wp14:textId="77777777">
      <w:pPr>
        <w:pStyle w:val="BodyText"/>
        <w:spacing w:line="288" w:lineRule="auto"/>
        <w:ind w:left="100" w:right="301"/>
        <w:jc w:val="both"/>
      </w:pPr>
      <w:r>
        <w:rPr/>
        <w:t>System vendors and providers are scrambling to make system changes which can support NDIA’s changing requirements. Activ’s experience has been that NDIA doesn’t communicate sufficient process details when providing advance notice of pending changes and therefore system vendors and providers cannot design effectively for change.</w:t>
      </w:r>
    </w:p>
    <w:p xmlns:wp14="http://schemas.microsoft.com/office/word/2010/wordml" w14:paraId="70DF9E56" wp14:textId="77777777">
      <w:pPr>
        <w:pStyle w:val="BodyText"/>
        <w:spacing w:before="9"/>
        <w:rPr>
          <w:sz w:val="28"/>
        </w:rPr>
      </w:pPr>
    </w:p>
    <w:p xmlns:wp14="http://schemas.microsoft.com/office/word/2010/wordml" w14:paraId="27FE422B" wp14:textId="77777777">
      <w:pPr>
        <w:pStyle w:val="BodyText"/>
        <w:spacing w:before="1" w:line="288" w:lineRule="auto"/>
        <w:ind w:left="100" w:right="355"/>
      </w:pPr>
      <w:r>
        <w:rPr/>
        <w:t>NDIA focuses consultation efforts and energies on the end user customer with apparent disregard to the providers who deliver the services and have an extensive knowledge base of customer wants and needs and the practicalities and cost of service delivery.</w:t>
      </w:r>
    </w:p>
    <w:p xmlns:wp14="http://schemas.microsoft.com/office/word/2010/wordml" w14:paraId="44E871BC" wp14:textId="77777777">
      <w:pPr>
        <w:pStyle w:val="BodyText"/>
        <w:spacing w:before="9"/>
        <w:rPr>
          <w:sz w:val="28"/>
        </w:rPr>
      </w:pPr>
    </w:p>
    <w:p xmlns:wp14="http://schemas.microsoft.com/office/word/2010/wordml" w14:paraId="2F65B8F2" wp14:textId="77777777">
      <w:pPr>
        <w:spacing w:before="0" w:line="288" w:lineRule="auto"/>
        <w:ind w:left="100" w:right="264" w:firstLine="0"/>
        <w:jc w:val="left"/>
        <w:rPr>
          <w:b/>
          <w:sz w:val="24"/>
        </w:rPr>
      </w:pPr>
      <w:r>
        <w:rPr>
          <w:b/>
          <w:sz w:val="24"/>
        </w:rPr>
        <w:t>If any process or systems changes are required as a result of outcomes from the consultation process, Activ requests that there is significant consultation with providers and their systems vendors before changes to requirements are approved.</w:t>
      </w:r>
    </w:p>
    <w:sectPr>
      <w:pgSz w:w="11920" w:h="16850" w:orient="portrait"/>
      <w:pgMar w:top="1500" w:right="1580" w:bottom="1200" w:left="1580" w:header="0" w:footer="1018"/>
      <w:headerReference w:type="default" r:id="R9ae4e6facee149bf"/>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p xmlns:wp14="http://schemas.microsoft.com/office/word/2010/wordml" w14:paraId="52FF485B" wp14:textId="77777777">
    <w:pPr>
      <w:pStyle w:val="BodyText"/>
      <w:spacing w:line="14" w:lineRule="auto"/>
      <w:rPr>
        <w:sz w:val="20"/>
      </w:rPr>
    </w:pPr>
    <w:r>
      <w:rPr/>
      <w:pict w14:anchorId="40C8E978">
        <v:shape style="position:absolute;margin-left:81.024002pt;margin-top:780.141785pt;width:12.15pt;height:14.35pt;mso-position-horizontal-relative:page;mso-position-vertical-relative:page;z-index:-15841792" filled="false" stroked="false" type="#_x0000_t202">
          <v:textbox inset="0,0,0,0">
            <w:txbxContent>
              <w:p w14:paraId="74E21C83" wp14:textId="77777777">
                <w:pPr>
                  <w:spacing w:before="13"/>
                  <w:ind w:left="60" w:right="0" w:firstLine="0"/>
                  <w:jc w:val="left"/>
                  <w:rPr>
                    <w:sz w:val="22"/>
                  </w:rPr>
                </w:pPr>
                <w:r>
                  <w:rPr/>
                  <w:fldChar w:fldCharType="begin"/>
                </w:r>
                <w:r>
                  <w:rPr>
                    <w:color w:val="808080"/>
                    <w:w w:val="100"/>
                    <w:sz w:val="22"/>
                  </w:rPr>
                  <w:instrText> PAGE </w:instrText>
                </w:r>
                <w:r>
                  <w:rPr/>
                  <w:fldChar w:fldCharType="separate"/>
                </w:r>
                <w:r>
                  <w:rPr/>
                  <w:t>2</w:t>
                </w:r>
                <w:r>
                  <w:rPr/>
                  <w:fldChar w:fldCharType="end"/>
                </w:r>
              </w:p>
            </w:txbxContent>
          </v:textbox>
          <w10:wrap type="none"/>
        </v:shape>
      </w:pict>
    </w:r>
    <w:r>
      <w:rPr/>
      <w:pict w14:anchorId="521B9B85">
        <v:shape style="position:absolute;margin-left:201.729996pt;margin-top:780.141785pt;width:216pt;height:14.35pt;mso-position-horizontal-relative:page;mso-position-vertical-relative:page;z-index:-15841280" filled="false" stroked="false" type="#_x0000_t202">
          <v:textbox inset="0,0,0,0">
            <w:txbxContent>
              <w:p w14:paraId="3BD93524" wp14:textId="77777777">
                <w:pPr>
                  <w:spacing w:before="13"/>
                  <w:ind w:left="20" w:right="0" w:firstLine="0"/>
                  <w:jc w:val="left"/>
                  <w:rPr>
                    <w:sz w:val="22"/>
                  </w:rPr>
                </w:pPr>
                <w:r>
                  <w:rPr>
                    <w:color w:val="808080"/>
                    <w:sz w:val="22"/>
                  </w:rPr>
                  <w:t>Activ Submission: An Ordinary Life at Home</w:t>
                </w:r>
              </w:p>
            </w:txbxContent>
          </v:textbox>
          <w10:wrap type="none"/>
        </v:shape>
      </w:pict>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920"/>
      <w:gridCol w:w="2920"/>
      <w:gridCol w:w="2920"/>
    </w:tblGrid>
    <w:tr w:rsidR="511AB84D" w:rsidTr="511AB84D" w14:paraId="502037BF">
      <w:tc>
        <w:tcPr>
          <w:tcW w:w="2920" w:type="dxa"/>
          <w:tcMar/>
        </w:tcPr>
        <w:p w:rsidR="511AB84D" w:rsidP="511AB84D" w:rsidRDefault="511AB84D" w14:paraId="09B88751" w14:textId="6EBAC96E">
          <w:pPr>
            <w:pStyle w:val="Header"/>
            <w:bidi w:val="0"/>
            <w:ind w:left="-115"/>
            <w:jc w:val="left"/>
            <w:rPr>
              <w:rFonts w:ascii="Arial" w:hAnsi="Arial" w:eastAsia="Arial" w:cs="Arial"/>
            </w:rPr>
          </w:pPr>
        </w:p>
      </w:tc>
      <w:tc>
        <w:tcPr>
          <w:tcW w:w="2920" w:type="dxa"/>
          <w:tcMar/>
        </w:tcPr>
        <w:p w:rsidR="511AB84D" w:rsidP="511AB84D" w:rsidRDefault="511AB84D" w14:paraId="2C48F35D" w14:textId="35C485EC">
          <w:pPr>
            <w:pStyle w:val="Header"/>
            <w:bidi w:val="0"/>
            <w:jc w:val="center"/>
            <w:rPr>
              <w:rFonts w:ascii="Arial" w:hAnsi="Arial" w:eastAsia="Arial" w:cs="Arial"/>
            </w:rPr>
          </w:pPr>
        </w:p>
      </w:tc>
      <w:tc>
        <w:tcPr>
          <w:tcW w:w="2920" w:type="dxa"/>
          <w:tcMar/>
        </w:tcPr>
        <w:p w:rsidR="511AB84D" w:rsidP="511AB84D" w:rsidRDefault="511AB84D" w14:paraId="3274F97C" w14:textId="0C990D0F">
          <w:pPr>
            <w:pStyle w:val="Header"/>
            <w:bidi w:val="0"/>
            <w:ind w:right="-115"/>
            <w:jc w:val="right"/>
            <w:rPr>
              <w:rFonts w:ascii="Arial" w:hAnsi="Arial" w:eastAsia="Arial" w:cs="Arial"/>
            </w:rPr>
          </w:pPr>
        </w:p>
      </w:tc>
    </w:tr>
  </w:tbl>
  <w:p w:rsidR="511AB84D" w:rsidP="511AB84D" w:rsidRDefault="511AB84D" w14:paraId="7355D1C1" w14:textId="0651ECB7">
    <w:pPr>
      <w:pStyle w:val="Footer"/>
      <w:bidi w:val="0"/>
      <w:rPr>
        <w:rFonts w:ascii="Arial" w:hAnsi="Arial" w:eastAsia="Arial" w:cs="Arial"/>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920"/>
      <w:gridCol w:w="2920"/>
      <w:gridCol w:w="2920"/>
    </w:tblGrid>
    <w:tr w:rsidR="511AB84D" w:rsidTr="511AB84D" w14:paraId="5D81641F">
      <w:tc>
        <w:tcPr>
          <w:tcW w:w="2920" w:type="dxa"/>
          <w:tcMar/>
        </w:tcPr>
        <w:p w:rsidR="511AB84D" w:rsidP="511AB84D" w:rsidRDefault="511AB84D" w14:paraId="4E85CB8E" w14:textId="68A5BAF7">
          <w:pPr>
            <w:pStyle w:val="Header"/>
            <w:bidi w:val="0"/>
            <w:ind w:left="-115"/>
            <w:jc w:val="left"/>
            <w:rPr>
              <w:rFonts w:ascii="Arial" w:hAnsi="Arial" w:eastAsia="Arial" w:cs="Arial"/>
            </w:rPr>
          </w:pPr>
        </w:p>
      </w:tc>
      <w:tc>
        <w:tcPr>
          <w:tcW w:w="2920" w:type="dxa"/>
          <w:tcMar/>
        </w:tcPr>
        <w:p w:rsidR="511AB84D" w:rsidP="511AB84D" w:rsidRDefault="511AB84D" w14:paraId="442E1C10" w14:textId="4659924E">
          <w:pPr>
            <w:pStyle w:val="Header"/>
            <w:bidi w:val="0"/>
            <w:jc w:val="center"/>
            <w:rPr>
              <w:rFonts w:ascii="Arial" w:hAnsi="Arial" w:eastAsia="Arial" w:cs="Arial"/>
            </w:rPr>
          </w:pPr>
        </w:p>
      </w:tc>
      <w:tc>
        <w:tcPr>
          <w:tcW w:w="2920" w:type="dxa"/>
          <w:tcMar/>
        </w:tcPr>
        <w:p w:rsidR="511AB84D" w:rsidP="511AB84D" w:rsidRDefault="511AB84D" w14:paraId="57A39814" w14:textId="50E49939">
          <w:pPr>
            <w:pStyle w:val="Header"/>
            <w:bidi w:val="0"/>
            <w:ind w:right="-115"/>
            <w:jc w:val="right"/>
            <w:rPr>
              <w:rFonts w:ascii="Arial" w:hAnsi="Arial" w:eastAsia="Arial" w:cs="Arial"/>
            </w:rPr>
          </w:pPr>
        </w:p>
      </w:tc>
    </w:tr>
  </w:tbl>
  <w:p w:rsidR="511AB84D" w:rsidP="511AB84D" w:rsidRDefault="511AB84D" w14:paraId="6E425DE4" w14:textId="7EA0FDB8">
    <w:pPr>
      <w:pStyle w:val="Header"/>
      <w:bidi w:val="0"/>
      <w:rPr>
        <w:rFonts w:ascii="Arial" w:hAnsi="Arial" w:eastAsia="Arial" w:cs="Arial"/>
      </w:rP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920"/>
      <w:gridCol w:w="2920"/>
      <w:gridCol w:w="2920"/>
    </w:tblGrid>
    <w:tr w:rsidR="511AB84D" w:rsidTr="511AB84D" w14:paraId="19FC66B4">
      <w:tc>
        <w:tcPr>
          <w:tcW w:w="2920" w:type="dxa"/>
          <w:tcMar/>
        </w:tcPr>
        <w:p w:rsidR="511AB84D" w:rsidP="511AB84D" w:rsidRDefault="511AB84D" w14:paraId="3CB563C6" w14:textId="632B4C8C">
          <w:pPr>
            <w:pStyle w:val="Header"/>
            <w:bidi w:val="0"/>
            <w:ind w:left="-115"/>
            <w:jc w:val="left"/>
            <w:rPr>
              <w:rFonts w:ascii="Arial" w:hAnsi="Arial" w:eastAsia="Arial" w:cs="Arial"/>
            </w:rPr>
          </w:pPr>
        </w:p>
      </w:tc>
      <w:tc>
        <w:tcPr>
          <w:tcW w:w="2920" w:type="dxa"/>
          <w:tcMar/>
        </w:tcPr>
        <w:p w:rsidR="511AB84D" w:rsidP="511AB84D" w:rsidRDefault="511AB84D" w14:paraId="779682D6" w14:textId="33D3B778">
          <w:pPr>
            <w:pStyle w:val="Header"/>
            <w:bidi w:val="0"/>
            <w:jc w:val="center"/>
            <w:rPr>
              <w:rFonts w:ascii="Arial" w:hAnsi="Arial" w:eastAsia="Arial" w:cs="Arial"/>
            </w:rPr>
          </w:pPr>
        </w:p>
      </w:tc>
      <w:tc>
        <w:tcPr>
          <w:tcW w:w="2920" w:type="dxa"/>
          <w:tcMar/>
        </w:tcPr>
        <w:p w:rsidR="511AB84D" w:rsidP="511AB84D" w:rsidRDefault="511AB84D" w14:paraId="38B2C5BB" w14:textId="545AA074">
          <w:pPr>
            <w:pStyle w:val="Header"/>
            <w:bidi w:val="0"/>
            <w:ind w:right="-115"/>
            <w:jc w:val="right"/>
            <w:rPr>
              <w:rFonts w:ascii="Arial" w:hAnsi="Arial" w:eastAsia="Arial" w:cs="Arial"/>
            </w:rPr>
          </w:pPr>
        </w:p>
      </w:tc>
    </w:tr>
  </w:tbl>
  <w:p w:rsidR="511AB84D" w:rsidP="511AB84D" w:rsidRDefault="511AB84D" w14:paraId="634ED234" w14:textId="16E565B2">
    <w:pPr>
      <w:pStyle w:val="Header"/>
      <w:bidi w:val="0"/>
      <w:rPr>
        <w:rFonts w:ascii="Arial" w:hAnsi="Arial" w:eastAsia="Arial" w:cs="Arial"/>
      </w:rPr>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920"/>
      <w:gridCol w:w="2920"/>
      <w:gridCol w:w="2920"/>
    </w:tblGrid>
    <w:tr w:rsidR="511AB84D" w:rsidTr="511AB84D" w14:paraId="3F619D47">
      <w:tc>
        <w:tcPr>
          <w:tcW w:w="2920" w:type="dxa"/>
          <w:tcMar/>
        </w:tcPr>
        <w:p w:rsidR="511AB84D" w:rsidP="511AB84D" w:rsidRDefault="511AB84D" w14:paraId="7F5DA794" w14:textId="701BAC60">
          <w:pPr>
            <w:pStyle w:val="Header"/>
            <w:bidi w:val="0"/>
            <w:ind w:left="-115"/>
            <w:jc w:val="left"/>
            <w:rPr>
              <w:rFonts w:ascii="Arial" w:hAnsi="Arial" w:eastAsia="Arial" w:cs="Arial"/>
            </w:rPr>
          </w:pPr>
        </w:p>
      </w:tc>
      <w:tc>
        <w:tcPr>
          <w:tcW w:w="2920" w:type="dxa"/>
          <w:tcMar/>
        </w:tcPr>
        <w:p w:rsidR="511AB84D" w:rsidP="511AB84D" w:rsidRDefault="511AB84D" w14:paraId="7FCB382A" w14:textId="6D247010">
          <w:pPr>
            <w:pStyle w:val="Header"/>
            <w:bidi w:val="0"/>
            <w:jc w:val="center"/>
            <w:rPr>
              <w:rFonts w:ascii="Arial" w:hAnsi="Arial" w:eastAsia="Arial" w:cs="Arial"/>
            </w:rPr>
          </w:pPr>
        </w:p>
      </w:tc>
      <w:tc>
        <w:tcPr>
          <w:tcW w:w="2920" w:type="dxa"/>
          <w:tcMar/>
        </w:tcPr>
        <w:p w:rsidR="511AB84D" w:rsidP="511AB84D" w:rsidRDefault="511AB84D" w14:paraId="0E631194" w14:textId="0CA34B51">
          <w:pPr>
            <w:pStyle w:val="Header"/>
            <w:bidi w:val="0"/>
            <w:ind w:right="-115"/>
            <w:jc w:val="right"/>
            <w:rPr>
              <w:rFonts w:ascii="Arial" w:hAnsi="Arial" w:eastAsia="Arial" w:cs="Arial"/>
            </w:rPr>
          </w:pPr>
        </w:p>
      </w:tc>
    </w:tr>
  </w:tbl>
  <w:p w:rsidR="511AB84D" w:rsidP="511AB84D" w:rsidRDefault="511AB84D" w14:paraId="6D02F1E4" w14:textId="3B92058B">
    <w:pPr>
      <w:pStyle w:val="Header"/>
      <w:bidi w:val="0"/>
      <w:rPr>
        <w:rFonts w:ascii="Arial" w:hAnsi="Arial" w:eastAsia="Arial" w:cs="Arial"/>
      </w:rPr>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920"/>
      <w:gridCol w:w="2920"/>
      <w:gridCol w:w="2920"/>
    </w:tblGrid>
    <w:tr w:rsidR="511AB84D" w:rsidTr="511AB84D" w14:paraId="15CA0148">
      <w:tc>
        <w:tcPr>
          <w:tcW w:w="2920" w:type="dxa"/>
          <w:tcMar/>
        </w:tcPr>
        <w:p w:rsidR="511AB84D" w:rsidP="511AB84D" w:rsidRDefault="511AB84D" w14:paraId="2521317B" w14:textId="5DD45DDA">
          <w:pPr>
            <w:pStyle w:val="Header"/>
            <w:bidi w:val="0"/>
            <w:ind w:left="-115"/>
            <w:jc w:val="left"/>
            <w:rPr>
              <w:rFonts w:ascii="Arial" w:hAnsi="Arial" w:eastAsia="Arial" w:cs="Arial"/>
            </w:rPr>
          </w:pPr>
        </w:p>
      </w:tc>
      <w:tc>
        <w:tcPr>
          <w:tcW w:w="2920" w:type="dxa"/>
          <w:tcMar/>
        </w:tcPr>
        <w:p w:rsidR="511AB84D" w:rsidP="511AB84D" w:rsidRDefault="511AB84D" w14:paraId="534755F7" w14:textId="503339ED">
          <w:pPr>
            <w:pStyle w:val="Header"/>
            <w:bidi w:val="0"/>
            <w:jc w:val="center"/>
            <w:rPr>
              <w:rFonts w:ascii="Arial" w:hAnsi="Arial" w:eastAsia="Arial" w:cs="Arial"/>
            </w:rPr>
          </w:pPr>
        </w:p>
      </w:tc>
      <w:tc>
        <w:tcPr>
          <w:tcW w:w="2920" w:type="dxa"/>
          <w:tcMar/>
        </w:tcPr>
        <w:p w:rsidR="511AB84D" w:rsidP="511AB84D" w:rsidRDefault="511AB84D" w14:paraId="59EDCB97" w14:textId="5462E69E">
          <w:pPr>
            <w:pStyle w:val="Header"/>
            <w:bidi w:val="0"/>
            <w:ind w:right="-115"/>
            <w:jc w:val="right"/>
            <w:rPr>
              <w:rFonts w:ascii="Arial" w:hAnsi="Arial" w:eastAsia="Arial" w:cs="Arial"/>
            </w:rPr>
          </w:pPr>
        </w:p>
      </w:tc>
    </w:tr>
  </w:tbl>
  <w:p w:rsidR="511AB84D" w:rsidP="511AB84D" w:rsidRDefault="511AB84D" w14:paraId="1847439B" w14:textId="1FC8120D">
    <w:pPr>
      <w:pStyle w:val="Header"/>
      <w:bidi w:val="0"/>
      <w:rPr>
        <w:rFonts w:ascii="Arial" w:hAnsi="Arial" w:eastAsia="Arial" w:cs="Arial"/>
      </w:rPr>
    </w:pPr>
  </w:p>
</w:hdr>
</file>

<file path=word/header5.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920"/>
      <w:gridCol w:w="2920"/>
      <w:gridCol w:w="2920"/>
    </w:tblGrid>
    <w:tr w:rsidR="511AB84D" w:rsidTr="511AB84D" w14:paraId="23FC1126">
      <w:tc>
        <w:tcPr>
          <w:tcW w:w="2920" w:type="dxa"/>
          <w:tcMar/>
        </w:tcPr>
        <w:p w:rsidR="511AB84D" w:rsidP="511AB84D" w:rsidRDefault="511AB84D" w14:paraId="38AC976B" w14:textId="32C71853">
          <w:pPr>
            <w:pStyle w:val="Header"/>
            <w:bidi w:val="0"/>
            <w:ind w:left="-115"/>
            <w:jc w:val="left"/>
            <w:rPr>
              <w:rFonts w:ascii="Arial" w:hAnsi="Arial" w:eastAsia="Arial" w:cs="Arial"/>
            </w:rPr>
          </w:pPr>
        </w:p>
      </w:tc>
      <w:tc>
        <w:tcPr>
          <w:tcW w:w="2920" w:type="dxa"/>
          <w:tcMar/>
        </w:tcPr>
        <w:p w:rsidR="511AB84D" w:rsidP="511AB84D" w:rsidRDefault="511AB84D" w14:paraId="0DC34E0F" w14:textId="559C8EC1">
          <w:pPr>
            <w:pStyle w:val="Header"/>
            <w:bidi w:val="0"/>
            <w:jc w:val="center"/>
            <w:rPr>
              <w:rFonts w:ascii="Arial" w:hAnsi="Arial" w:eastAsia="Arial" w:cs="Arial"/>
            </w:rPr>
          </w:pPr>
        </w:p>
      </w:tc>
      <w:tc>
        <w:tcPr>
          <w:tcW w:w="2920" w:type="dxa"/>
          <w:tcMar/>
        </w:tcPr>
        <w:p w:rsidR="511AB84D" w:rsidP="511AB84D" w:rsidRDefault="511AB84D" w14:paraId="21911562" w14:textId="2C8CCD94">
          <w:pPr>
            <w:pStyle w:val="Header"/>
            <w:bidi w:val="0"/>
            <w:ind w:right="-115"/>
            <w:jc w:val="right"/>
            <w:rPr>
              <w:rFonts w:ascii="Arial" w:hAnsi="Arial" w:eastAsia="Arial" w:cs="Arial"/>
            </w:rPr>
          </w:pPr>
        </w:p>
      </w:tc>
    </w:tr>
  </w:tbl>
  <w:p w:rsidR="511AB84D" w:rsidP="511AB84D" w:rsidRDefault="511AB84D" w14:paraId="22DC5675" w14:textId="1E0AA112">
    <w:pPr>
      <w:pStyle w:val="Header"/>
      <w:bidi w:val="0"/>
      <w:rPr>
        <w:rFonts w:ascii="Arial" w:hAnsi="Arial" w:eastAsia="Arial" w:cs="Arial"/>
      </w:rPr>
    </w:pPr>
  </w:p>
</w:hdr>
</file>

<file path=word/header6.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920"/>
      <w:gridCol w:w="2920"/>
      <w:gridCol w:w="2920"/>
    </w:tblGrid>
    <w:tr w:rsidR="511AB84D" w:rsidTr="511AB84D" w14:paraId="3C08BEC7">
      <w:tc>
        <w:tcPr>
          <w:tcW w:w="2920" w:type="dxa"/>
          <w:tcMar/>
        </w:tcPr>
        <w:p w:rsidR="511AB84D" w:rsidP="511AB84D" w:rsidRDefault="511AB84D" w14:paraId="05A920F1" w14:textId="678D4FBC">
          <w:pPr>
            <w:pStyle w:val="Header"/>
            <w:bidi w:val="0"/>
            <w:ind w:left="-115"/>
            <w:jc w:val="left"/>
            <w:rPr>
              <w:rFonts w:ascii="Arial" w:hAnsi="Arial" w:eastAsia="Arial" w:cs="Arial"/>
            </w:rPr>
          </w:pPr>
        </w:p>
      </w:tc>
      <w:tc>
        <w:tcPr>
          <w:tcW w:w="2920" w:type="dxa"/>
          <w:tcMar/>
        </w:tcPr>
        <w:p w:rsidR="511AB84D" w:rsidP="511AB84D" w:rsidRDefault="511AB84D" w14:paraId="730357F4" w14:textId="21454879">
          <w:pPr>
            <w:pStyle w:val="Header"/>
            <w:bidi w:val="0"/>
            <w:jc w:val="center"/>
            <w:rPr>
              <w:rFonts w:ascii="Arial" w:hAnsi="Arial" w:eastAsia="Arial" w:cs="Arial"/>
            </w:rPr>
          </w:pPr>
        </w:p>
      </w:tc>
      <w:tc>
        <w:tcPr>
          <w:tcW w:w="2920" w:type="dxa"/>
          <w:tcMar/>
        </w:tcPr>
        <w:p w:rsidR="511AB84D" w:rsidP="511AB84D" w:rsidRDefault="511AB84D" w14:paraId="6D6E4AA6" w14:textId="1489E1CE">
          <w:pPr>
            <w:pStyle w:val="Header"/>
            <w:bidi w:val="0"/>
            <w:ind w:right="-115"/>
            <w:jc w:val="right"/>
            <w:rPr>
              <w:rFonts w:ascii="Arial" w:hAnsi="Arial" w:eastAsia="Arial" w:cs="Arial"/>
            </w:rPr>
          </w:pPr>
        </w:p>
      </w:tc>
    </w:tr>
  </w:tbl>
  <w:p w:rsidR="511AB84D" w:rsidP="511AB84D" w:rsidRDefault="511AB84D" w14:paraId="178864FD" w14:textId="1B3B5F37">
    <w:pPr>
      <w:pStyle w:val="Header"/>
      <w:bidi w:val="0"/>
      <w:rPr>
        <w:rFonts w:ascii="Arial" w:hAnsi="Arial" w:eastAsia="Arial" w:cs="Arial"/>
      </w:rPr>
    </w:pPr>
  </w:p>
</w:hdr>
</file>

<file path=word/header7.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920"/>
      <w:gridCol w:w="2920"/>
      <w:gridCol w:w="2920"/>
    </w:tblGrid>
    <w:tr w:rsidR="511AB84D" w:rsidTr="511AB84D" w14:paraId="27851D1C">
      <w:tc>
        <w:tcPr>
          <w:tcW w:w="2920" w:type="dxa"/>
          <w:tcMar/>
        </w:tcPr>
        <w:p w:rsidR="511AB84D" w:rsidP="511AB84D" w:rsidRDefault="511AB84D" w14:paraId="7A74B6D9" w14:textId="60912D7B">
          <w:pPr>
            <w:pStyle w:val="Header"/>
            <w:bidi w:val="0"/>
            <w:ind w:left="-115"/>
            <w:jc w:val="left"/>
            <w:rPr>
              <w:rFonts w:ascii="Arial" w:hAnsi="Arial" w:eastAsia="Arial" w:cs="Arial"/>
            </w:rPr>
          </w:pPr>
        </w:p>
      </w:tc>
      <w:tc>
        <w:tcPr>
          <w:tcW w:w="2920" w:type="dxa"/>
          <w:tcMar/>
        </w:tcPr>
        <w:p w:rsidR="511AB84D" w:rsidP="511AB84D" w:rsidRDefault="511AB84D" w14:paraId="3DA53A37" w14:textId="4CA98F6F">
          <w:pPr>
            <w:pStyle w:val="Header"/>
            <w:bidi w:val="0"/>
            <w:jc w:val="center"/>
            <w:rPr>
              <w:rFonts w:ascii="Arial" w:hAnsi="Arial" w:eastAsia="Arial" w:cs="Arial"/>
            </w:rPr>
          </w:pPr>
        </w:p>
      </w:tc>
      <w:tc>
        <w:tcPr>
          <w:tcW w:w="2920" w:type="dxa"/>
          <w:tcMar/>
        </w:tcPr>
        <w:p w:rsidR="511AB84D" w:rsidP="511AB84D" w:rsidRDefault="511AB84D" w14:paraId="230FABCA" w14:textId="6AC1FF86">
          <w:pPr>
            <w:pStyle w:val="Header"/>
            <w:bidi w:val="0"/>
            <w:ind w:right="-115"/>
            <w:jc w:val="right"/>
            <w:rPr>
              <w:rFonts w:ascii="Arial" w:hAnsi="Arial" w:eastAsia="Arial" w:cs="Arial"/>
            </w:rPr>
          </w:pPr>
        </w:p>
      </w:tc>
    </w:tr>
  </w:tbl>
  <w:p w:rsidR="511AB84D" w:rsidP="511AB84D" w:rsidRDefault="511AB84D" w14:paraId="7BEE8497" w14:textId="597110F0">
    <w:pPr>
      <w:pStyle w:val="Header"/>
      <w:bidi w:val="0"/>
      <w:rPr>
        <w:rFonts w:ascii="Arial" w:hAnsi="Arial" w:eastAsia="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20" w:hanging="720"/>
        <w:jc w:val="left"/>
      </w:pPr>
      <w:rPr>
        <w:rFonts w:hint="default" w:ascii="Arial" w:hAnsi="Arial" w:eastAsia="Arial" w:cs="Arial"/>
        <w:b/>
        <w:bCs/>
        <w:w w:val="99"/>
        <w:sz w:val="26"/>
        <w:szCs w:val="26"/>
        <w:lang w:val="en-au" w:eastAsia="en-US" w:bidi="ar-SA"/>
      </w:rPr>
    </w:lvl>
    <w:lvl w:ilvl="1">
      <w:start w:val="1"/>
      <w:numFmt w:val="decimal"/>
      <w:lvlText w:val="%1.%2"/>
      <w:lvlJc w:val="left"/>
      <w:pPr>
        <w:ind w:left="820" w:hanging="720"/>
        <w:jc w:val="left"/>
      </w:pPr>
      <w:rPr>
        <w:rFonts w:hint="default" w:ascii="Arial" w:hAnsi="Arial" w:eastAsia="Arial" w:cs="Arial"/>
        <w:i/>
        <w:color w:val="365F91"/>
        <w:w w:val="99"/>
        <w:sz w:val="24"/>
        <w:szCs w:val="24"/>
        <w:lang w:val="en-au" w:eastAsia="en-US" w:bidi="ar-SA"/>
      </w:rPr>
    </w:lvl>
    <w:lvl w:ilvl="2">
      <w:start w:val="0"/>
      <w:numFmt w:val="bullet"/>
      <w:lvlText w:val=""/>
      <w:lvlJc w:val="left"/>
      <w:pPr>
        <w:ind w:left="1180" w:hanging="360"/>
      </w:pPr>
      <w:rPr>
        <w:rFonts w:hint="default" w:ascii="Symbol" w:hAnsi="Symbol" w:eastAsia="Symbol" w:cs="Symbol"/>
        <w:w w:val="100"/>
        <w:sz w:val="24"/>
        <w:szCs w:val="24"/>
        <w:lang w:val="en-au" w:eastAsia="en-US" w:bidi="ar-SA"/>
      </w:rPr>
    </w:lvl>
    <w:lvl w:ilvl="3">
      <w:start w:val="0"/>
      <w:numFmt w:val="bullet"/>
      <w:lvlText w:val="•"/>
      <w:lvlJc w:val="left"/>
      <w:pPr>
        <w:ind w:left="2862" w:hanging="360"/>
      </w:pPr>
      <w:rPr>
        <w:rFonts w:hint="default"/>
        <w:lang w:val="en-au" w:eastAsia="en-US" w:bidi="ar-SA"/>
      </w:rPr>
    </w:lvl>
    <w:lvl w:ilvl="4">
      <w:start w:val="0"/>
      <w:numFmt w:val="bullet"/>
      <w:lvlText w:val="•"/>
      <w:lvlJc w:val="left"/>
      <w:pPr>
        <w:ind w:left="3703" w:hanging="360"/>
      </w:pPr>
      <w:rPr>
        <w:rFonts w:hint="default"/>
        <w:lang w:val="en-au" w:eastAsia="en-US" w:bidi="ar-SA"/>
      </w:rPr>
    </w:lvl>
    <w:lvl w:ilvl="5">
      <w:start w:val="0"/>
      <w:numFmt w:val="bullet"/>
      <w:lvlText w:val="•"/>
      <w:lvlJc w:val="left"/>
      <w:pPr>
        <w:ind w:left="4544" w:hanging="360"/>
      </w:pPr>
      <w:rPr>
        <w:rFonts w:hint="default"/>
        <w:lang w:val="en-au" w:eastAsia="en-US" w:bidi="ar-SA"/>
      </w:rPr>
    </w:lvl>
    <w:lvl w:ilvl="6">
      <w:start w:val="0"/>
      <w:numFmt w:val="bullet"/>
      <w:lvlText w:val="•"/>
      <w:lvlJc w:val="left"/>
      <w:pPr>
        <w:ind w:left="5386" w:hanging="360"/>
      </w:pPr>
      <w:rPr>
        <w:rFonts w:hint="default"/>
        <w:lang w:val="en-au" w:eastAsia="en-US" w:bidi="ar-SA"/>
      </w:rPr>
    </w:lvl>
    <w:lvl w:ilvl="7">
      <w:start w:val="0"/>
      <w:numFmt w:val="bullet"/>
      <w:lvlText w:val="•"/>
      <w:lvlJc w:val="left"/>
      <w:pPr>
        <w:ind w:left="6227" w:hanging="360"/>
      </w:pPr>
      <w:rPr>
        <w:rFonts w:hint="default"/>
        <w:lang w:val="en-au" w:eastAsia="en-US" w:bidi="ar-SA"/>
      </w:rPr>
    </w:lvl>
    <w:lvl w:ilvl="8">
      <w:start w:val="0"/>
      <w:numFmt w:val="bullet"/>
      <w:lvlText w:val="•"/>
      <w:lvlJc w:val="left"/>
      <w:pPr>
        <w:ind w:left="7068" w:hanging="360"/>
      </w:pPr>
      <w:rPr>
        <w:rFonts w:hint="default"/>
        <w:lang w:val="en-au" w:eastAsia="en-US" w:bidi="ar-SA"/>
      </w:rPr>
    </w:lvl>
  </w:abstractNum>
  <w:abstractNum w:abstractNumId="0">
    <w:multiLevelType w:val="hybridMultilevel"/>
    <w:lvl w:ilvl="0">
      <w:start w:val="1"/>
      <w:numFmt w:val="decimal"/>
      <w:lvlText w:val="%1"/>
      <w:lvlJc w:val="left"/>
      <w:pPr>
        <w:ind w:left="760" w:hanging="440"/>
        <w:jc w:val="left"/>
      </w:pPr>
      <w:rPr>
        <w:rFonts w:hint="default" w:ascii="Arial" w:hAnsi="Arial" w:eastAsia="Arial" w:cs="Arial"/>
        <w:b/>
        <w:bCs/>
        <w:w w:val="100"/>
        <w:sz w:val="22"/>
        <w:szCs w:val="22"/>
        <w:lang w:val="en-au" w:eastAsia="en-US" w:bidi="ar-SA"/>
      </w:rPr>
    </w:lvl>
    <w:lvl w:ilvl="1">
      <w:start w:val="1"/>
      <w:numFmt w:val="decimal"/>
      <w:lvlText w:val="%1.%2"/>
      <w:lvlJc w:val="left"/>
      <w:pPr>
        <w:ind w:left="1199" w:hanging="660"/>
        <w:jc w:val="left"/>
      </w:pPr>
      <w:rPr>
        <w:rFonts w:hint="default" w:ascii="Arial" w:hAnsi="Arial" w:eastAsia="Arial" w:cs="Arial"/>
        <w:i/>
        <w:w w:val="100"/>
        <w:sz w:val="22"/>
        <w:szCs w:val="22"/>
        <w:lang w:val="en-au" w:eastAsia="en-US" w:bidi="ar-SA"/>
      </w:rPr>
    </w:lvl>
    <w:lvl w:ilvl="2">
      <w:start w:val="0"/>
      <w:numFmt w:val="bullet"/>
      <w:lvlText w:val="•"/>
      <w:lvlJc w:val="left"/>
      <w:pPr>
        <w:ind w:left="2039" w:hanging="660"/>
      </w:pPr>
      <w:rPr>
        <w:rFonts w:hint="default"/>
        <w:lang w:val="en-au" w:eastAsia="en-US" w:bidi="ar-SA"/>
      </w:rPr>
    </w:lvl>
    <w:lvl w:ilvl="3">
      <w:start w:val="0"/>
      <w:numFmt w:val="bullet"/>
      <w:lvlText w:val="•"/>
      <w:lvlJc w:val="left"/>
      <w:pPr>
        <w:ind w:left="2878" w:hanging="660"/>
      </w:pPr>
      <w:rPr>
        <w:rFonts w:hint="default"/>
        <w:lang w:val="en-au" w:eastAsia="en-US" w:bidi="ar-SA"/>
      </w:rPr>
    </w:lvl>
    <w:lvl w:ilvl="4">
      <w:start w:val="0"/>
      <w:numFmt w:val="bullet"/>
      <w:lvlText w:val="•"/>
      <w:lvlJc w:val="left"/>
      <w:pPr>
        <w:ind w:left="3717" w:hanging="660"/>
      </w:pPr>
      <w:rPr>
        <w:rFonts w:hint="default"/>
        <w:lang w:val="en-au" w:eastAsia="en-US" w:bidi="ar-SA"/>
      </w:rPr>
    </w:lvl>
    <w:lvl w:ilvl="5">
      <w:start w:val="0"/>
      <w:numFmt w:val="bullet"/>
      <w:lvlText w:val="•"/>
      <w:lvlJc w:val="left"/>
      <w:pPr>
        <w:ind w:left="4556" w:hanging="660"/>
      </w:pPr>
      <w:rPr>
        <w:rFonts w:hint="default"/>
        <w:lang w:val="en-au" w:eastAsia="en-US" w:bidi="ar-SA"/>
      </w:rPr>
    </w:lvl>
    <w:lvl w:ilvl="6">
      <w:start w:val="0"/>
      <w:numFmt w:val="bullet"/>
      <w:lvlText w:val="•"/>
      <w:lvlJc w:val="left"/>
      <w:pPr>
        <w:ind w:left="5395" w:hanging="660"/>
      </w:pPr>
      <w:rPr>
        <w:rFonts w:hint="default"/>
        <w:lang w:val="en-au" w:eastAsia="en-US" w:bidi="ar-SA"/>
      </w:rPr>
    </w:lvl>
    <w:lvl w:ilvl="7">
      <w:start w:val="0"/>
      <w:numFmt w:val="bullet"/>
      <w:lvlText w:val="•"/>
      <w:lvlJc w:val="left"/>
      <w:pPr>
        <w:ind w:left="6234" w:hanging="660"/>
      </w:pPr>
      <w:rPr>
        <w:rFonts w:hint="default"/>
        <w:lang w:val="en-au" w:eastAsia="en-US" w:bidi="ar-SA"/>
      </w:rPr>
    </w:lvl>
    <w:lvl w:ilvl="8">
      <w:start w:val="0"/>
      <w:numFmt w:val="bullet"/>
      <w:lvlText w:val="•"/>
      <w:lvlJc w:val="left"/>
      <w:pPr>
        <w:ind w:left="7073" w:hanging="660"/>
      </w:pPr>
      <w:rPr>
        <w:rFonts w:hint="default"/>
        <w:lang w:val="en-au" w:eastAsia="en-US" w:bidi="ar-SA"/>
      </w:rPr>
    </w:lvl>
  </w:abstractNum>
  <w:num w:numId="2">
    <w:abstractNumId w:val="1"/>
  </w: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trackRevisions w:val="false"/>
  <w:defaultTabStop w:val="720"/>
  <w:drawingGridHorizontalSpacing w:val="110"/>
  <w:displayHorizontalDrawingGridEvery w:val="2"/>
  <w:characterSpacingControl w:val="doNotCompress"/>
  <w:compat>
    <w:ulTrailSpace/>
    <w:shapeLayoutLikeWW8/>
    <w:useFELayout/>
  </w:compat>
  <w14:docId w14:val="77A75247"/>
  <w15:docId w15:val="{666AB833-C182-46D9-913D-3CBEB3D2B171}"/>
  <w:rsids>
    <w:rsidRoot w:val="511AB84D"/>
    <w:rsid w:val="511AB84D"/>
  </w:rsids>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Arial" w:hAnsi="Arial" w:eastAsia="Arial" w:cs="Arial"/>
      <w:lang w:val="en-au" w:eastAsia="en-US" w:bidi="ar-SA"/>
    </w:rPr>
  </w:style>
  <w:style w:type="paragraph" w:styleId="TOC1">
    <w:name w:val="toc 1"/>
    <w:basedOn w:val="Normal"/>
    <w:uiPriority w:val="1"/>
    <w:qFormat/>
    <w:pPr>
      <w:spacing w:before="120"/>
      <w:ind w:left="760" w:hanging="440"/>
    </w:pPr>
    <w:rPr>
      <w:rFonts w:ascii="Arial" w:hAnsi="Arial" w:eastAsia="Arial" w:cs="Arial"/>
      <w:b/>
      <w:bCs/>
      <w:sz w:val="22"/>
      <w:szCs w:val="22"/>
      <w:lang w:val="en-au" w:eastAsia="en-US" w:bidi="ar-SA"/>
    </w:rPr>
  </w:style>
  <w:style w:type="paragraph" w:styleId="TOC2">
    <w:name w:val="toc 2"/>
    <w:basedOn w:val="Normal"/>
    <w:uiPriority w:val="1"/>
    <w:qFormat/>
    <w:pPr>
      <w:spacing w:before="120"/>
      <w:ind w:left="1199" w:hanging="661"/>
    </w:pPr>
    <w:rPr>
      <w:rFonts w:ascii="Arial" w:hAnsi="Arial" w:eastAsia="Arial" w:cs="Arial"/>
      <w:i/>
      <w:sz w:val="22"/>
      <w:szCs w:val="22"/>
      <w:lang w:val="en-au" w:eastAsia="en-US" w:bidi="ar-SA"/>
    </w:rPr>
  </w:style>
  <w:style w:type="paragraph" w:styleId="BodyText">
    <w:name w:val="Body Text"/>
    <w:basedOn w:val="Normal"/>
    <w:uiPriority w:val="1"/>
    <w:qFormat/>
    <w:pPr/>
    <w:rPr>
      <w:rFonts w:ascii="Arial" w:hAnsi="Arial" w:eastAsia="Arial" w:cs="Arial"/>
      <w:sz w:val="24"/>
      <w:szCs w:val="24"/>
      <w:lang w:val="en-au" w:eastAsia="en-US" w:bidi="ar-SA"/>
    </w:rPr>
  </w:style>
  <w:style w:type="paragraph" w:styleId="Heading1">
    <w:name w:val="heading 1"/>
    <w:basedOn w:val="Normal"/>
    <w:uiPriority w:val="1"/>
    <w:qFormat/>
    <w:pPr>
      <w:ind w:left="820" w:hanging="721"/>
      <w:outlineLvl w:val="1"/>
    </w:pPr>
    <w:rPr>
      <w:rFonts w:ascii="Arial" w:hAnsi="Arial" w:eastAsia="Arial" w:cs="Arial"/>
      <w:b/>
      <w:bCs/>
      <w:sz w:val="26"/>
      <w:szCs w:val="26"/>
      <w:lang w:val="en-au" w:eastAsia="en-US" w:bidi="ar-SA"/>
    </w:rPr>
  </w:style>
  <w:style w:type="paragraph" w:styleId="Title">
    <w:name w:val="Title"/>
    <w:basedOn w:val="Normal"/>
    <w:uiPriority w:val="1"/>
    <w:qFormat/>
    <w:pPr>
      <w:ind w:left="1098" w:right="1090"/>
      <w:jc w:val="center"/>
    </w:pPr>
    <w:rPr>
      <w:rFonts w:ascii="Arial" w:hAnsi="Arial" w:eastAsia="Arial" w:cs="Arial"/>
      <w:b/>
      <w:bCs/>
      <w:sz w:val="52"/>
      <w:szCs w:val="52"/>
      <w:lang w:val="en-au" w:eastAsia="en-US" w:bidi="ar-SA"/>
    </w:rPr>
  </w:style>
  <w:style w:type="paragraph" w:styleId="ListParagraph">
    <w:name w:val="List Paragraph"/>
    <w:basedOn w:val="Normal"/>
    <w:uiPriority w:val="1"/>
    <w:qFormat/>
    <w:pPr>
      <w:ind w:left="820" w:hanging="721"/>
    </w:pPr>
    <w:rPr>
      <w:rFonts w:ascii="Arial" w:hAnsi="Arial" w:eastAsia="Arial" w:cs="Arial"/>
      <w:lang w:val="en-au" w:eastAsia="en-US" w:bidi="ar-SA"/>
    </w:rPr>
  </w:style>
  <w:style w:type="paragraph" w:styleId="TableParagraph">
    <w:name w:val="Table Paragraph"/>
    <w:basedOn w:val="Normal"/>
    <w:uiPriority w:val="1"/>
    <w:qFormat/>
    <w:pPr/>
    <w:rPr>
      <w:lang w:val="en-au" w:eastAsia="en-US" w:bidi="ar-SA"/>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theme" Target="theme/theme1.xml" Id="rId3" /><Relationship Type="http://schemas.openxmlformats.org/officeDocument/2006/relationships/numbering" Target="numbering.xml" Id="rId7" /><Relationship Type="http://schemas.openxmlformats.org/officeDocument/2006/relationships/fontTable" Target="fontTable.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 Type="http://schemas.openxmlformats.org/officeDocument/2006/relationships/glossaryDocument" Target="glossary/document.xml" Id="R71dc4d1430be4166" /><Relationship Type="http://schemas.openxmlformats.org/officeDocument/2006/relationships/header" Target="header.xml" Id="Rad72989bed084c7b" /><Relationship Type="http://schemas.openxmlformats.org/officeDocument/2006/relationships/footer" Target="footer2.xml" Id="R7fb60c950dc04c51" /><Relationship Type="http://schemas.openxmlformats.org/officeDocument/2006/relationships/header" Target="header2.xml" Id="R8c5394c29c9e4b24" /><Relationship Type="http://schemas.openxmlformats.org/officeDocument/2006/relationships/header" Target="header3.xml" Id="R079520c42452410f" /><Relationship Type="http://schemas.openxmlformats.org/officeDocument/2006/relationships/header" Target="header4.xml" Id="R04659e7a01024d68" /><Relationship Type="http://schemas.openxmlformats.org/officeDocument/2006/relationships/header" Target="header5.xml" Id="R673369e396924367" /><Relationship Type="http://schemas.openxmlformats.org/officeDocument/2006/relationships/header" Target="header6.xml" Id="R0d2cd7b3c6184be5" /><Relationship Type="http://schemas.openxmlformats.org/officeDocument/2006/relationships/header" Target="header7.xml" Id="R9ae4e6facee149b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831ce51-4d01-4768-8666-d61f3f7f208e}"/>
      </w:docPartPr>
      <w:docPartBody>
        <w:p w14:paraId="3C2935D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E0D8C1F1-84D0-4F34-B616-495A275527A7}"/>
</file>

<file path=customXml/itemProps2.xml><?xml version="1.0" encoding="utf-8"?>
<ds:datastoreItem xmlns:ds="http://schemas.openxmlformats.org/officeDocument/2006/customXml" ds:itemID="{9D7A2677-68C0-4B3A-88C7-26DD56822F38}"/>
</file>

<file path=customXml/itemProps3.xml><?xml version="1.0" encoding="utf-8"?>
<ds:datastoreItem xmlns:ds="http://schemas.openxmlformats.org/officeDocument/2006/customXml" ds:itemID="{D85DD32B-03B5-489E-B7B2-9D36C12F20F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Niall Naghten</dc:creator>
  <dcterms:created xsi:type="dcterms:W3CDTF">2021-10-15T03:14:22.0000000Z</dcterms:created>
  <dcterms:modified xsi:type="dcterms:W3CDTF">2021-12-13T05:26:59.7608610Z</dcterms:modified>
  <lastModifiedBy>Doolan, Brianna</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 2019</vt:lpwstr>
  </property>
  <property fmtid="{D5CDD505-2E9C-101B-9397-08002B2CF9AE}" pid="4" name="LastSaved">
    <vt:filetime>2021-10-15T00:00:00Z</vt:filetime>
  </property>
  <property fmtid="{D5CDD505-2E9C-101B-9397-08002B2CF9AE}" pid="5" name="ContentTypeId">
    <vt:lpwstr>0x010100B532A8D0E94B0C4EB5C9CB8C21A8BC85</vt:lpwstr>
  </property>
</Properties>
</file>