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4D786D" w:rsidRDefault="00DB47F7" w14:paraId="29D6B04F" w14:textId="77777777">
      <w:pPr>
        <w:spacing w:after="1095" w:line="259" w:lineRule="auto"/>
        <w:ind w:left="0" w:firstLine="0"/>
        <w:jc w:val="right"/>
      </w:pPr>
      <w:r>
        <w:rPr>
          <w:sz w:val="24"/>
        </w:rPr>
        <w:t xml:space="preserve"> </w:t>
      </w:r>
    </w:p>
    <w:p w:rsidR="004D786D" w:rsidRDefault="00DB47F7" w14:paraId="0DFAE634" w14:textId="77777777">
      <w:pPr>
        <w:spacing w:after="389" w:line="358" w:lineRule="auto"/>
        <w:ind w:left="18" w:right="47" w:firstLine="0"/>
      </w:pPr>
      <w:r>
        <w:rPr>
          <w:b/>
          <w:color w:val="414142"/>
        </w:rPr>
        <w:t xml:space="preserve"> </w:t>
      </w:r>
      <w:r>
        <w:rPr>
          <w:sz w:val="24"/>
        </w:rPr>
        <w:t xml:space="preserve"> </w:t>
      </w:r>
    </w:p>
    <w:p w:rsidR="004D786D" w:rsidRDefault="00DB47F7" w14:paraId="0A6959E7" w14:textId="77777777">
      <w:pPr>
        <w:spacing w:after="0" w:line="259" w:lineRule="auto"/>
        <w:ind w:left="151" w:right="47" w:firstLine="0"/>
        <w:jc w:val="center"/>
      </w:pPr>
      <w:r>
        <w:rPr>
          <w:b/>
          <w:color w:val="402E7E"/>
          <w:sz w:val="80"/>
        </w:rPr>
        <w:t xml:space="preserve"> </w:t>
      </w:r>
    </w:p>
    <w:p w:rsidR="004D786D" w:rsidRDefault="00DB47F7" w14:paraId="66765DA3" w14:textId="77777777">
      <w:pPr>
        <w:spacing w:after="210" w:line="250" w:lineRule="auto"/>
        <w:ind w:left="13" w:right="47" w:hanging="10"/>
      </w:pPr>
      <w:r>
        <w:rPr>
          <w:noProof/>
        </w:rPr>
        <w:drawing>
          <wp:anchor distT="0" distB="0" distL="114300" distR="114300" simplePos="0" relativeHeight="251658240" behindDoc="0" locked="0" layoutInCell="1" allowOverlap="0" wp14:anchorId="2D3341A1" wp14:editId="07777777">
            <wp:simplePos x="0" y="0"/>
            <wp:positionH relativeFrom="column">
              <wp:posOffset>4059744</wp:posOffset>
            </wp:positionH>
            <wp:positionV relativeFrom="paragraph">
              <wp:posOffset>-1132330</wp:posOffset>
            </wp:positionV>
            <wp:extent cx="1679575" cy="2566391"/>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stretch>
                      <a:fillRect/>
                    </a:stretch>
                  </pic:blipFill>
                  <pic:spPr>
                    <a:xfrm>
                      <a:off x="0" y="0"/>
                      <a:ext cx="1679575" cy="2566391"/>
                    </a:xfrm>
                    <a:prstGeom prst="rect">
                      <a:avLst/>
                    </a:prstGeom>
                  </pic:spPr>
                </pic:pic>
              </a:graphicData>
            </a:graphic>
          </wp:anchor>
        </w:drawing>
      </w:r>
      <w:r>
        <w:rPr>
          <w:b/>
          <w:color w:val="402E7E"/>
          <w:sz w:val="48"/>
        </w:rPr>
        <w:t xml:space="preserve">Submission to the NDIA                  Consultation on Supported                   </w:t>
      </w:r>
    </w:p>
    <w:p w:rsidR="004D786D" w:rsidRDefault="00DB47F7" w14:paraId="7B2EB5E2" w14:textId="77777777">
      <w:pPr>
        <w:spacing w:after="19" w:line="250" w:lineRule="auto"/>
        <w:ind w:left="13" w:right="47" w:hanging="10"/>
      </w:pPr>
      <w:r>
        <w:rPr>
          <w:noProof/>
        </w:rPr>
        <mc:AlternateContent>
          <mc:Choice Requires="wpg">
            <w:drawing>
              <wp:anchor distT="0" distB="0" distL="114300" distR="114300" simplePos="0" relativeHeight="251659264" behindDoc="0" locked="0" layoutInCell="1" allowOverlap="1" wp14:anchorId="618CFCB4" wp14:editId="07777777">
                <wp:simplePos x="0" y="0"/>
                <wp:positionH relativeFrom="page">
                  <wp:posOffset>0</wp:posOffset>
                </wp:positionH>
                <wp:positionV relativeFrom="page">
                  <wp:posOffset>5555539</wp:posOffset>
                </wp:positionV>
                <wp:extent cx="7555993" cy="5138369"/>
                <wp:effectExtent l="0" t="0" r="0" b="0"/>
                <wp:wrapTopAndBottom/>
                <wp:docPr id="2191" name="Group 2191"/>
                <wp:cNvGraphicFramePr/>
                <a:graphic xmlns:a="http://schemas.openxmlformats.org/drawingml/2006/main">
                  <a:graphicData uri="http://schemas.microsoft.com/office/word/2010/wordprocessingGroup">
                    <wpg:wgp>
                      <wpg:cNvGrpSpPr/>
                      <wpg:grpSpPr>
                        <a:xfrm>
                          <a:off x="0" y="0"/>
                          <a:ext cx="7555993" cy="5138369"/>
                          <a:chOff x="0" y="0"/>
                          <a:chExt cx="7555993" cy="5138369"/>
                        </a:xfrm>
                      </wpg:grpSpPr>
                      <wps:wsp>
                        <wps:cNvPr id="28" name="Rectangle 28"/>
                        <wps:cNvSpPr/>
                        <wps:spPr>
                          <a:xfrm>
                            <a:off x="2743127" y="284810"/>
                            <a:ext cx="53596" cy="241550"/>
                          </a:xfrm>
                          <a:prstGeom prst="rect">
                            <a:avLst/>
                          </a:prstGeom>
                          <a:ln>
                            <a:noFill/>
                          </a:ln>
                        </wps:spPr>
                        <wps:txbx>
                          <w:txbxContent>
                            <w:p w:rsidR="004D786D" w:rsidRDefault="00DB47F7" w14:paraId="100C5B58" w14:textId="77777777">
                              <w:pPr>
                                <w:spacing w:after="160" w:line="259" w:lineRule="auto"/>
                                <w:ind w:left="0" w:firstLine="0"/>
                              </w:pPr>
                              <w:r>
                                <w:rPr>
                                  <w:b/>
                                  <w:color w:val="402E7E"/>
                                  <w:sz w:val="28"/>
                                </w:rPr>
                                <w:t xml:space="preserve"> </w:t>
                              </w:r>
                            </w:p>
                          </w:txbxContent>
                        </wps:txbx>
                        <wps:bodyPr horzOverflow="overflow" vert="horz" lIns="0" tIns="0" rIns="0" bIns="0" rtlCol="0">
                          <a:noAutofit/>
                        </wps:bodyPr>
                      </wps:wsp>
                      <pic:pic xmlns:pic="http://schemas.openxmlformats.org/drawingml/2006/picture">
                        <pic:nvPicPr>
                          <pic:cNvPr id="2749" name="Picture 2749"/>
                          <pic:cNvPicPr/>
                        </pic:nvPicPr>
                        <pic:blipFill>
                          <a:blip r:embed="rId11"/>
                          <a:stretch>
                            <a:fillRect/>
                          </a:stretch>
                        </pic:blipFill>
                        <pic:spPr>
                          <a:xfrm>
                            <a:off x="0" y="6045"/>
                            <a:ext cx="7543800" cy="5129784"/>
                          </a:xfrm>
                          <a:prstGeom prst="rect">
                            <a:avLst/>
                          </a:prstGeom>
                        </pic:spPr>
                      </pic:pic>
                    </wpg:wgp>
                  </a:graphicData>
                </a:graphic>
              </wp:anchor>
            </w:drawing>
          </mc:Choice>
          <mc:Fallback xmlns:a="http://schemas.openxmlformats.org/drawingml/2006/main" xmlns:wp14="http://schemas.microsoft.com/office/word/2010/wordml" xmlns:pic="http://schemas.openxmlformats.org/drawingml/2006/picture">
            <w:pict w14:anchorId="6555B0F9">
              <v:group id="Group 2191" style="width:594.96pt;height:404.596pt;position:absolute;mso-position-horizontal-relative:page;mso-position-horizontal:absolute;margin-left:0pt;mso-position-vertical-relative:page;margin-top:437.444pt;" coordsize="75559,51383">
                <v:rect id="Rectangle 28" style="position:absolute;width:535;height:2415;left:27431;top:2848;" filled="f" stroked="f">
                  <v:textbox inset="0,0,0,0">
                    <w:txbxContent>
                      <w:p w14:paraId="12F40E89" wp14:textId="77777777">
                        <w:pPr>
                          <w:spacing w:before="0" w:after="160" w:line="259" w:lineRule="auto"/>
                          <w:ind w:left="0" w:firstLine="0"/>
                        </w:pPr>
                        <w:r>
                          <w:rPr>
                            <w:rFonts w:ascii="Calibri" w:hAnsi="Calibri" w:eastAsia="Calibri" w:cs="Calibri"/>
                            <w:b w:val="1"/>
                            <w:color w:val="402e7e"/>
                            <w:sz w:val="28"/>
                          </w:rPr>
                          <w:t xml:space="preserve"> </w:t>
                        </w:r>
                      </w:p>
                    </w:txbxContent>
                  </v:textbox>
                </v:rect>
                <v:shape id="Picture 2749" style="position:absolute;width:75438;height:51297;left:0;top:60;" filled="f">
                  <v:imagedata r:id="rId12"/>
                </v:shape>
                <w10:wrap type="topAndBottom"/>
              </v:group>
            </w:pict>
          </mc:Fallback>
        </mc:AlternateContent>
      </w:r>
      <w:r>
        <w:rPr>
          <w:b/>
          <w:color w:val="402E7E"/>
          <w:sz w:val="48"/>
        </w:rPr>
        <w:t xml:space="preserve">Decision Making </w:t>
      </w:r>
      <w:r>
        <w:rPr>
          <w:b/>
          <w:color w:val="402E7E"/>
          <w:sz w:val="80"/>
        </w:rPr>
        <w:t xml:space="preserve"> </w:t>
      </w:r>
    </w:p>
    <w:p w:rsidR="004D786D" w:rsidRDefault="00DB47F7" w14:paraId="608DEACE" w14:textId="77777777">
      <w:pPr>
        <w:spacing w:after="117" w:line="259" w:lineRule="auto"/>
        <w:ind w:left="18" w:right="47" w:firstLine="0"/>
      </w:pPr>
      <w:r>
        <w:rPr>
          <w:b/>
          <w:color w:val="402E7E"/>
          <w:sz w:val="28"/>
        </w:rPr>
        <w:t xml:space="preserve"> </w:t>
      </w:r>
    </w:p>
    <w:p w:rsidR="004D786D" w:rsidRDefault="00DB47F7" w14:paraId="55D6377F" w14:textId="77777777">
      <w:pPr>
        <w:spacing w:after="120" w:line="259" w:lineRule="auto"/>
        <w:ind w:left="13" w:right="47" w:hanging="10"/>
      </w:pPr>
      <w:r>
        <w:rPr>
          <w:b/>
          <w:color w:val="402E7E"/>
          <w:sz w:val="28"/>
        </w:rPr>
        <w:t xml:space="preserve">September 2021 </w:t>
      </w:r>
    </w:p>
    <w:p w:rsidR="004D786D" w:rsidRDefault="00DB47F7" w14:paraId="2BAC6FC9" w14:textId="77777777">
      <w:pPr>
        <w:spacing w:after="120" w:line="259" w:lineRule="auto"/>
        <w:ind w:left="18" w:firstLine="0"/>
      </w:pPr>
      <w:r>
        <w:rPr>
          <w:b/>
          <w:color w:val="402E7E"/>
          <w:sz w:val="28"/>
        </w:rPr>
        <w:t xml:space="preserve"> </w:t>
      </w:r>
    </w:p>
    <w:p w:rsidR="004D786D" w:rsidRDefault="00DB47F7" w14:paraId="156A6281" w14:textId="77777777">
      <w:pPr>
        <w:spacing w:after="120" w:line="259" w:lineRule="auto"/>
        <w:ind w:left="18" w:firstLine="0"/>
      </w:pPr>
      <w:r>
        <w:rPr>
          <w:b/>
          <w:color w:val="402E7E"/>
          <w:sz w:val="28"/>
        </w:rPr>
        <w:t xml:space="preserve"> </w:t>
      </w:r>
    </w:p>
    <w:p w:rsidR="004D786D" w:rsidRDefault="00DB47F7" w14:paraId="20876B09" w14:textId="77777777">
      <w:pPr>
        <w:spacing w:after="85" w:line="259" w:lineRule="auto"/>
        <w:ind w:left="18" w:firstLine="0"/>
      </w:pPr>
      <w:r>
        <w:rPr>
          <w:b/>
          <w:color w:val="F2F2F2"/>
          <w:sz w:val="28"/>
        </w:rPr>
        <w:t xml:space="preserve"> </w:t>
      </w:r>
    </w:p>
    <w:p w:rsidR="004D786D" w:rsidRDefault="00DB47F7" w14:paraId="10146664" w14:textId="77777777">
      <w:pPr>
        <w:spacing w:after="0" w:line="259" w:lineRule="auto"/>
        <w:ind w:left="18" w:firstLine="0"/>
      </w:pPr>
      <w:r>
        <w:rPr>
          <w:sz w:val="24"/>
        </w:rPr>
        <w:t xml:space="preserve"> </w:t>
      </w:r>
    </w:p>
    <w:p w:rsidR="004D786D" w:rsidRDefault="00DB47F7" w14:paraId="5B68B9CD" w14:textId="77777777">
      <w:pPr>
        <w:spacing w:after="0" w:line="259" w:lineRule="auto"/>
        <w:ind w:left="18" w:firstLine="0"/>
      </w:pPr>
      <w:r>
        <w:rPr>
          <w:sz w:val="24"/>
        </w:rPr>
        <w:t xml:space="preserve"> </w:t>
      </w:r>
    </w:p>
    <w:p w:rsidR="004D786D" w:rsidRDefault="00DB47F7" w14:paraId="1B7172F4" w14:textId="77777777">
      <w:pPr>
        <w:spacing w:after="0" w:line="259" w:lineRule="auto"/>
        <w:ind w:left="18" w:firstLine="0"/>
      </w:pPr>
      <w:r>
        <w:rPr>
          <w:sz w:val="24"/>
        </w:rPr>
        <w:t xml:space="preserve"> </w:t>
      </w:r>
    </w:p>
    <w:p w:rsidR="004D786D" w:rsidRDefault="00DB47F7" w14:paraId="325CE300" w14:textId="77777777">
      <w:pPr>
        <w:spacing w:after="0" w:line="259" w:lineRule="auto"/>
        <w:ind w:left="18" w:firstLine="0"/>
      </w:pPr>
      <w:r>
        <w:rPr>
          <w:sz w:val="24"/>
        </w:rPr>
        <w:t xml:space="preserve"> </w:t>
      </w:r>
    </w:p>
    <w:p w:rsidR="004D786D" w:rsidRDefault="00DB47F7" w14:paraId="25DD3341" w14:textId="77777777">
      <w:pPr>
        <w:spacing w:after="0" w:line="259" w:lineRule="auto"/>
        <w:ind w:left="18" w:firstLine="0"/>
      </w:pPr>
      <w:r>
        <w:rPr>
          <w:sz w:val="24"/>
        </w:rPr>
        <w:t xml:space="preserve"> </w:t>
      </w:r>
    </w:p>
    <w:p w:rsidR="004D786D" w:rsidRDefault="00DB47F7" w14:paraId="23DD831B" w14:textId="77777777">
      <w:pPr>
        <w:spacing w:after="17" w:line="259" w:lineRule="auto"/>
        <w:ind w:left="18" w:firstLine="0"/>
      </w:pPr>
      <w:r>
        <w:rPr>
          <w:sz w:val="24"/>
        </w:rPr>
        <w:t xml:space="preserve"> </w:t>
      </w:r>
    </w:p>
    <w:p w:rsidR="004D786D" w:rsidRDefault="00DB47F7" w14:paraId="28CE8CB7" w14:textId="77777777">
      <w:pPr>
        <w:spacing w:after="0" w:line="259" w:lineRule="auto"/>
        <w:ind w:left="18" w:firstLine="0"/>
      </w:pPr>
      <w:r>
        <w:rPr>
          <w:b/>
          <w:color w:val="402E7E"/>
          <w:sz w:val="28"/>
        </w:rPr>
        <w:t xml:space="preserve"> </w:t>
      </w:r>
    </w:p>
    <w:p w:rsidR="004D786D" w:rsidRDefault="00DB47F7" w14:paraId="7064C9B8" w14:textId="77777777">
      <w:pPr>
        <w:pStyle w:val="Heading1"/>
        <w:ind w:left="13"/>
      </w:pPr>
      <w:r>
        <w:t xml:space="preserve">About AHPA and the allied health sector  </w:t>
      </w:r>
    </w:p>
    <w:p w:rsidR="004D786D" w:rsidRDefault="00DB47F7" w14:paraId="72F98638" w14:textId="77777777">
      <w:pPr>
        <w:ind w:left="13" w:right="18"/>
      </w:pPr>
      <w:r>
        <w:t xml:space="preserve">AHPA is the recognised national peak association representing Australia’s allied health professions. AHPA’s membership collectively represents some 130,000 allied health professionals and AHPA works on behalf of all Australian allied health practitioners, including the largest rural and remote allied health workforce numbering some 14,000 professionals. AHPA is the only organisation with representation across all disciplines and settings. </w:t>
      </w:r>
    </w:p>
    <w:p w:rsidR="004D786D" w:rsidRDefault="00DB47F7" w14:paraId="7CC4D89B" w14:textId="77777777">
      <w:pPr>
        <w:ind w:left="13" w:right="18"/>
      </w:pPr>
      <w:r>
        <w:t xml:space="preserve">With over 200,000 allied health professionals, allied health is Australia’s second largest health workforce. Allied health professionals work across a diverse range of settings and sectors, providing services including diagnostic and first-contact services, preventive and </w:t>
      </w:r>
      <w:proofErr w:type="spellStart"/>
      <w:r>
        <w:t>maintenancefocused</w:t>
      </w:r>
      <w:proofErr w:type="spellEnd"/>
      <w:r>
        <w:t xml:space="preserve"> interventions for people with chronic and complex physical and mental illnesses, supporting pre- and post-surgical rehabilitation, and enabling participation and independence for people experiencing temporary or long-term functional limitations. Allied health also provides an essential bridge between the medical sector and social support systems such as aged care and disability, where it can represent the key formal health support in a person’s life.    </w:t>
      </w:r>
    </w:p>
    <w:p w:rsidR="004D786D" w:rsidRDefault="00DB47F7" w14:paraId="684E5F3A" w14:textId="77777777">
      <w:pPr>
        <w:ind w:left="13" w:right="18"/>
      </w:pPr>
      <w:r>
        <w:t xml:space="preserve">AHPA provides representation for the allied health sector and supports all Australian governments in the development of policies and programs relating to allied health. AHPA works with a wide range of working groups and experts across the individual allied health professions to consult, gather knowledge and expertise, and to support the implementation of key government initiatives. </w:t>
      </w:r>
    </w:p>
    <w:p w:rsidR="004D786D" w:rsidRDefault="00DB47F7" w14:paraId="1895D3B7" w14:textId="77777777">
      <w:pPr>
        <w:spacing w:after="47" w:line="259" w:lineRule="auto"/>
        <w:ind w:left="0" w:firstLine="0"/>
      </w:pPr>
      <w:r>
        <w:rPr>
          <w:color w:val="404040"/>
          <w:sz w:val="21"/>
        </w:rPr>
        <w:t xml:space="preserve"> </w:t>
      </w:r>
    </w:p>
    <w:p w:rsidR="004D786D" w:rsidRDefault="00DB47F7" w14:paraId="78D71C30" w14:textId="77777777">
      <w:pPr>
        <w:pStyle w:val="Heading1"/>
        <w:ind w:left="13"/>
      </w:pPr>
      <w:r>
        <w:t xml:space="preserve">Response to the Consultation Papers  </w:t>
      </w:r>
    </w:p>
    <w:p w:rsidR="004D786D" w:rsidRDefault="00DB47F7" w14:paraId="7F3482B5" w14:textId="77777777">
      <w:pPr>
        <w:ind w:left="13" w:right="18"/>
      </w:pPr>
      <w:r>
        <w:t xml:space="preserve">AHPA supports the intention of the NDIA to develop a supported decision making policy for NDIS participants, and notes that this is consistent with the expressed wishes of participants and disability advocates. </w:t>
      </w:r>
    </w:p>
    <w:p w:rsidR="004D786D" w:rsidRDefault="00DB47F7" w14:paraId="4F7C962C" w14:textId="77777777">
      <w:pPr>
        <w:spacing w:after="175"/>
        <w:ind w:left="13" w:right="18"/>
      </w:pPr>
      <w:r>
        <w:t>Our comments relate primarily to the ‘Supporting You to make Your Own Decisions’ paper (‘the paper’).</w:t>
      </w:r>
      <w:r>
        <w:rPr>
          <w:sz w:val="20"/>
          <w:vertAlign w:val="superscript"/>
        </w:rPr>
        <w:footnoteReference w:id="1"/>
      </w:r>
      <w:r>
        <w:t xml:space="preserve">  </w:t>
      </w:r>
    </w:p>
    <w:p w:rsidR="004D786D" w:rsidRDefault="00DB47F7" w14:paraId="14C09A63" w14:textId="77777777">
      <w:pPr>
        <w:pStyle w:val="Heading2"/>
        <w:ind w:left="13"/>
      </w:pPr>
      <w:r>
        <w:t xml:space="preserve">The role of the paper in the consultation process </w:t>
      </w:r>
    </w:p>
    <w:p w:rsidR="004D786D" w:rsidRDefault="00DB47F7" w14:paraId="3530BEAF" w14:textId="77777777">
      <w:pPr>
        <w:ind w:left="13" w:right="18"/>
      </w:pPr>
      <w:r>
        <w:t xml:space="preserve">As outlined below, the paper is not a policy document. As a professional peak body regularly engaging in national policy development and implementation, we do not see it as an efficient use of our time and expertise to try to engage in depth with a paper that does not provide clear, even if necessarily open-ended, policy options for analysis and comment. </w:t>
      </w:r>
    </w:p>
    <w:p w:rsidR="004D786D" w:rsidRDefault="00DB47F7" w14:paraId="66A4E47B" w14:textId="77777777">
      <w:pPr>
        <w:spacing w:after="157"/>
        <w:ind w:left="13" w:right="18"/>
      </w:pPr>
      <w:r>
        <w:t xml:space="preserve">We suggest that in future consultations it may be more useful to provide a separate and distinct paper squarely aimed at providers, DROs and those participants who wish to engage with the issues at a detailed and technical level, rather than ‘trying to be all things’ to all audiences. Even then however, as with the recent Home and Living consultation, this paper has been disseminated on the basis that providers should comment, but the questions are aimed at NDIS participants only. </w:t>
      </w:r>
    </w:p>
    <w:p w:rsidR="004D786D" w:rsidRDefault="00DB47F7" w14:paraId="27B8F768" w14:textId="77777777">
      <w:pPr>
        <w:spacing w:after="577" w:line="259" w:lineRule="auto"/>
        <w:ind w:left="18" w:firstLine="0"/>
      </w:pPr>
      <w:r>
        <w:rPr>
          <w:rFonts w:ascii="Arial" w:hAnsi="Arial" w:eastAsia="Arial" w:cs="Arial"/>
          <w:sz w:val="24"/>
        </w:rPr>
        <w:t xml:space="preserve"> </w:t>
      </w:r>
      <w:r>
        <w:rPr>
          <w:rFonts w:ascii="Arial" w:hAnsi="Arial" w:eastAsia="Arial" w:cs="Arial"/>
          <w:sz w:val="24"/>
        </w:rPr>
        <w:tab/>
      </w:r>
      <w:r>
        <w:rPr>
          <w:b/>
          <w:color w:val="6D3492"/>
          <w:sz w:val="24"/>
        </w:rPr>
        <w:t xml:space="preserve"> </w:t>
      </w:r>
    </w:p>
    <w:p w:rsidR="004D786D" w:rsidRDefault="00DB47F7" w14:paraId="7FDE0BDC" w14:textId="77777777">
      <w:pPr>
        <w:spacing w:after="0" w:line="259" w:lineRule="auto"/>
        <w:ind w:left="18" w:firstLine="0"/>
      </w:pPr>
      <w:r>
        <w:rPr>
          <w:noProof/>
        </w:rPr>
        <mc:AlternateContent>
          <mc:Choice Requires="wpg">
            <w:drawing>
              <wp:inline distT="0" distB="0" distL="0" distR="0" wp14:anchorId="0E00D7CA" wp14:editId="07777777">
                <wp:extent cx="1828800" cy="7620"/>
                <wp:effectExtent l="0" t="0" r="0" b="0"/>
                <wp:docPr id="2428" name="Group 2428"/>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2852" name="Shape 285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3E88CD3C">
              <v:group id="Group 2428" style="width:144pt;height:0.600037pt;mso-position-horizontal-relative:char;mso-position-vertical-relative:line" coordsize="18288,76">
                <v:shape id="Shape 2853" style="position:absolute;width:18288;height:91;left:0;top:0;" coordsize="1828800,9144" path="m0,0l1828800,0l1828800,9144l0,9144l0,0">
                  <v:stroke on="false" weight="0pt" color="#000000" opacity="0" miterlimit="10" joinstyle="miter" endcap="flat"/>
                  <v:fill on="true" color="#000000"/>
                </v:shape>
              </v:group>
            </w:pict>
          </mc:Fallback>
        </mc:AlternateContent>
      </w:r>
      <w:r>
        <w:rPr>
          <w:sz w:val="24"/>
        </w:rPr>
        <w:t xml:space="preserve"> </w:t>
      </w:r>
    </w:p>
    <w:p w:rsidR="004D786D" w:rsidRDefault="00DB47F7" w14:paraId="47EF2B29" w14:textId="77777777">
      <w:pPr>
        <w:pStyle w:val="Heading2"/>
        <w:ind w:left="13"/>
      </w:pPr>
      <w:r>
        <w:t xml:space="preserve">The paper does not present a policy  </w:t>
      </w:r>
    </w:p>
    <w:p w:rsidR="004D786D" w:rsidRDefault="00DB47F7" w14:paraId="0643E0A1" w14:textId="77777777">
      <w:pPr>
        <w:ind w:left="13" w:right="18"/>
      </w:pPr>
      <w:r>
        <w:t xml:space="preserve">The paper appears to have been produced in haste and is not clearly structured. It is also unclear how it relates to the Companion Paper, even though the latter is described as ‘complementary’. </w:t>
      </w:r>
    </w:p>
    <w:p w:rsidR="004D786D" w:rsidRDefault="00DB47F7" w14:paraId="74B405E2" w14:textId="77777777">
      <w:pPr>
        <w:ind w:left="13" w:right="18"/>
      </w:pPr>
      <w:r>
        <w:t xml:space="preserve">The paper claims to set out a supported decision making policy, stating, for example, ‘We would like to know what you, your families, advocates and carers think about the suggested Support for Decision Making policy’ (p3; see also pp8-9) and on the same page referring to it as a policy framework. </w:t>
      </w:r>
    </w:p>
    <w:p w:rsidR="004D786D" w:rsidRDefault="00DB47F7" w14:paraId="5B42F151" w14:textId="77777777">
      <w:pPr>
        <w:ind w:left="13" w:right="18"/>
      </w:pPr>
      <w:r>
        <w:t>However, no clear policy is identifiable. The paper outlines Key Principles and Goals, but only in a brief fashion. We note that a more fully developed set of principles has been published as part of work commissioned by the Commonwealth Department of Social Services,</w:t>
      </w:r>
      <w:r>
        <w:rPr>
          <w:sz w:val="20"/>
          <w:vertAlign w:val="superscript"/>
        </w:rPr>
        <w:footnoteReference w:id="2"/>
      </w:r>
      <w:r>
        <w:rPr>
          <w:sz w:val="20"/>
          <w:vertAlign w:val="superscript"/>
        </w:rPr>
        <w:t xml:space="preserve"> </w:t>
      </w:r>
      <w:r>
        <w:t xml:space="preserve">but this is not referenced in the paper. </w:t>
      </w:r>
    </w:p>
    <w:p w:rsidR="004D786D" w:rsidRDefault="00DB47F7" w14:paraId="714994A0" w14:textId="77777777">
      <w:pPr>
        <w:ind w:left="13" w:right="18"/>
      </w:pPr>
      <w:r>
        <w:t xml:space="preserve">Similarly, the Decision Making Capability Framework is more of a general discussion. The paper makes reference to ‘refining the policy’ (p18) and developing a ‘decision making Operational Guideline’ (p23), but it is not clear where or what the platform is for these future elaborations. </w:t>
      </w:r>
    </w:p>
    <w:p w:rsidR="004D786D" w:rsidRDefault="00DB47F7" w14:paraId="7ED52B53" w14:textId="77777777">
      <w:pPr>
        <w:ind w:left="13" w:right="18"/>
      </w:pPr>
      <w:r>
        <w:t xml:space="preserve">A lack of specificity in the paper also makes it difficult for policy advisors to provide meaningful comment. For example, the role of the NDIA includes ‘To avoid reliance on substitute decision making wherever possible’ (Appendix B, p21). How will ‘wherever possible’ be assessed, and by whom?  </w:t>
      </w:r>
    </w:p>
    <w:p w:rsidR="004D786D" w:rsidRDefault="00DB47F7" w14:paraId="77A941C3" w14:textId="77777777">
      <w:pPr>
        <w:ind w:left="13" w:right="18"/>
      </w:pPr>
      <w:r>
        <w:t xml:space="preserve">Similarly, roles of decision making supporters encompass:  </w:t>
      </w:r>
    </w:p>
    <w:p w:rsidR="004D786D" w:rsidRDefault="00DB47F7" w14:paraId="32522987" w14:textId="77777777">
      <w:pPr>
        <w:ind w:left="594" w:right="18"/>
      </w:pPr>
      <w:r>
        <w:t xml:space="preserve">‘To include the participant in decision making. To consider the will and preference of the participant’ (Appendix B, p21) </w:t>
      </w:r>
    </w:p>
    <w:p w:rsidR="004D786D" w:rsidRDefault="00DB47F7" w14:paraId="742F543C" w14:textId="77777777">
      <w:pPr>
        <w:spacing w:after="164"/>
        <w:ind w:left="13" w:right="18"/>
      </w:pPr>
      <w:r>
        <w:t xml:space="preserve">and the role of service providers includes:  </w:t>
      </w:r>
    </w:p>
    <w:p w:rsidR="004D786D" w:rsidRDefault="00DB47F7" w14:paraId="5D97579A" w14:textId="77777777">
      <w:pPr>
        <w:spacing w:after="0"/>
        <w:ind w:left="594" w:right="18"/>
      </w:pPr>
      <w:r>
        <w:rPr>
          <w:sz w:val="24"/>
        </w:rPr>
        <w:t>‘</w:t>
      </w:r>
      <w:r>
        <w:t>To include the participant in decisions. To include their decision supporters in decisions to the extent the participant wants. To consider the participant's preferences in the delivery of their services and supports’ (Appendix B, p22).</w:t>
      </w:r>
      <w:r>
        <w:rPr>
          <w:sz w:val="24"/>
        </w:rPr>
        <w:t xml:space="preserve"> </w:t>
      </w:r>
    </w:p>
    <w:p w:rsidR="004D786D" w:rsidRDefault="00DB47F7" w14:paraId="75F80603" w14:textId="77777777">
      <w:pPr>
        <w:spacing w:after="0" w:line="259" w:lineRule="auto"/>
        <w:ind w:left="18" w:firstLine="0"/>
      </w:pPr>
      <w:r>
        <w:t xml:space="preserve"> </w:t>
      </w:r>
      <w:r>
        <w:rPr>
          <w:sz w:val="24"/>
        </w:rPr>
        <w:t xml:space="preserve"> </w:t>
      </w:r>
    </w:p>
    <w:p w:rsidR="004D786D" w:rsidRDefault="00DB47F7" w14:paraId="738085B2" w14:textId="77777777">
      <w:pPr>
        <w:spacing w:after="1"/>
        <w:ind w:left="13" w:right="18"/>
      </w:pPr>
      <w:r>
        <w:t xml:space="preserve">The devil is in the detail here: what do 'include' and 'consider' mean? </w:t>
      </w:r>
    </w:p>
    <w:p w:rsidR="004D786D" w:rsidRDefault="00DB47F7" w14:paraId="6C1031F9" w14:textId="77777777">
      <w:pPr>
        <w:spacing w:after="0" w:line="259" w:lineRule="auto"/>
        <w:ind w:left="18" w:firstLine="0"/>
      </w:pPr>
      <w:r>
        <w:t xml:space="preserve"> </w:t>
      </w:r>
    </w:p>
    <w:p w:rsidR="004D786D" w:rsidRDefault="00DB47F7" w14:paraId="78337EE7" w14:textId="77777777">
      <w:pPr>
        <w:pStyle w:val="Heading2"/>
        <w:ind w:left="13"/>
      </w:pPr>
      <w:r>
        <w:t xml:space="preserve">Developing a supported decision making policy  </w:t>
      </w:r>
    </w:p>
    <w:p w:rsidR="004D786D" w:rsidRDefault="00DB47F7" w14:paraId="3BF78473" w14:textId="77777777">
      <w:pPr>
        <w:ind w:left="13" w:right="18"/>
      </w:pPr>
      <w:r>
        <w:t xml:space="preserve">The paper refers to an intention to review the current research on support for decision making best practice (p26). Surely this is required as the standard first step in developing any policy on supported decision making. Moreover, reviews have already been undertaken by others, including most recently, as previously noted, for the Commonwealth Department of Social Services. </w:t>
      </w:r>
    </w:p>
    <w:p w:rsidR="004D786D" w:rsidRDefault="00DB47F7" w14:paraId="0F8B1B09" w14:textId="77777777">
      <w:pPr>
        <w:spacing w:after="266"/>
        <w:ind w:left="13" w:right="18"/>
      </w:pPr>
      <w:r>
        <w:t xml:space="preserve">The NDIA should rely more heavily on existing extensive work, such as the Australian Law Reform Commission (ALRC) report </w:t>
      </w:r>
      <w:r>
        <w:rPr>
          <w:sz w:val="23"/>
        </w:rPr>
        <w:t>Equality, Capacity and Disability in Commonwealth Laws</w:t>
      </w:r>
      <w:r>
        <w:rPr>
          <w:sz w:val="20"/>
          <w:vertAlign w:val="superscript"/>
        </w:rPr>
        <w:footnoteReference w:id="3"/>
      </w:r>
      <w:r>
        <w:rPr>
          <w:sz w:val="20"/>
          <w:vertAlign w:val="superscript"/>
        </w:rPr>
        <w:t xml:space="preserve"> </w:t>
      </w:r>
      <w:r>
        <w:t xml:space="preserve">and on the research and knowledge of subject matter experts. The NDIA can also learn from the experience of those state and territory jurisdictions that have proceeded further down the track of recognising a continuum of approaches that includes supported decision making, such as the outcome of </w:t>
      </w:r>
    </w:p>
    <w:p w:rsidR="004D786D" w:rsidRDefault="00DB47F7" w14:paraId="4CE745D7" w14:textId="77777777">
      <w:pPr>
        <w:spacing w:after="0" w:line="259" w:lineRule="auto"/>
        <w:ind w:left="18" w:firstLine="0"/>
      </w:pPr>
      <w:r>
        <w:rPr>
          <w:noProof/>
        </w:rPr>
        <mc:AlternateContent>
          <mc:Choice Requires="wpg">
            <w:drawing>
              <wp:inline distT="0" distB="0" distL="0" distR="0" wp14:anchorId="6207F645" wp14:editId="07777777">
                <wp:extent cx="1828800" cy="7620"/>
                <wp:effectExtent l="0" t="0" r="0" b="0"/>
                <wp:docPr id="2330" name="Group 2330"/>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2854" name="Shape 285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04B52396">
              <v:group id="Group 2330" style="width:144pt;height:0.599976pt;mso-position-horizontal-relative:char;mso-position-vertical-relative:line" coordsize="18288,76">
                <v:shape id="Shape 2855" style="position:absolute;width:18288;height:91;left:0;top:0;" coordsize="1828800,9144" path="m0,0l1828800,0l1828800,9144l0,9144l0,0">
                  <v:stroke on="false" weight="0pt" color="#000000" opacity="0" miterlimit="10" joinstyle="miter" endcap="flat"/>
                  <v:fill on="true" color="#000000"/>
                </v:shape>
              </v:group>
            </w:pict>
          </mc:Fallback>
        </mc:AlternateContent>
      </w:r>
      <w:r>
        <w:rPr>
          <w:sz w:val="24"/>
        </w:rPr>
        <w:t xml:space="preserve"> </w:t>
      </w:r>
    </w:p>
    <w:p w:rsidR="004D786D" w:rsidRDefault="00DB47F7" w14:paraId="65AD1416" w14:textId="77777777">
      <w:pPr>
        <w:ind w:left="13" w:right="18"/>
      </w:pPr>
      <w:r>
        <w:t xml:space="preserve">reforms to the guardianship and administration system in Victoria, which also incorporated extensive public consultation. </w:t>
      </w:r>
    </w:p>
    <w:p w:rsidR="004D786D" w:rsidRDefault="00DB47F7" w14:paraId="4D43C6CC" w14:textId="77777777">
      <w:pPr>
        <w:ind w:left="13" w:right="18"/>
      </w:pPr>
      <w:r>
        <w:t xml:space="preserve">An NDIS supported decision making policy also needs to clarify how in some circumstances, for many participants, participant decision making might necessarily interface with other systems of supported or substitute decision making, such as medical and financial decisions. It is therefore not sufficient to simply dismiss potential insights from state and territory approaches on the basis that they are not uniformly consistent (Companion Paper, p8). </w:t>
      </w:r>
    </w:p>
    <w:p w:rsidR="004D786D" w:rsidRDefault="00DB47F7" w14:paraId="318A82F0" w14:textId="77777777">
      <w:pPr>
        <w:ind w:left="13" w:right="18"/>
      </w:pPr>
      <w:r>
        <w:t xml:space="preserve">Similarly, with respect to Goal 2: Support development of participant capability (Appendix C, p23) and Goal 3: Build capacity of decision supporters (Appendix C, p25), rather than attempting to reinvent the wheel, the NDIA should draw upon the resources of entities such as state and territory Public Advocates or their equivalents.  </w:t>
      </w:r>
    </w:p>
    <w:p w:rsidR="004D786D" w:rsidRDefault="00DB47F7" w14:paraId="40DD2F73" w14:textId="77777777">
      <w:pPr>
        <w:pStyle w:val="Heading2"/>
        <w:ind w:left="13"/>
      </w:pPr>
      <w:r>
        <w:t xml:space="preserve">Other comments </w:t>
      </w:r>
    </w:p>
    <w:p w:rsidR="004D786D" w:rsidRDefault="00DB47F7" w14:paraId="0BBD096B" w14:textId="77777777">
      <w:pPr>
        <w:ind w:left="13" w:right="18"/>
      </w:pPr>
      <w:r>
        <w:t xml:space="preserve">The proposed role of the participant includes  </w:t>
      </w:r>
    </w:p>
    <w:p w:rsidR="004D786D" w:rsidRDefault="00DB47F7" w14:paraId="15561B20" w14:textId="77777777">
      <w:pPr>
        <w:ind w:left="594" w:right="18"/>
      </w:pPr>
      <w:r>
        <w:t xml:space="preserve">‘To work with NDIA staff and partners, who will be able to help identify if they have the support they need to make a decisions about things that affect them’ (Appendix B, p21). </w:t>
      </w:r>
    </w:p>
    <w:p w:rsidR="004D786D" w:rsidRDefault="00DB47F7" w14:paraId="5975F721" w14:textId="77777777">
      <w:pPr>
        <w:ind w:left="13" w:right="18"/>
      </w:pPr>
      <w:r>
        <w:t xml:space="preserve">It is essential that participants have access to an independent source who can assess whether they have the support they need. </w:t>
      </w:r>
    </w:p>
    <w:p w:rsidR="004D786D" w:rsidRDefault="00DB47F7" w14:paraId="3F407CEF" w14:textId="77777777">
      <w:pPr>
        <w:ind w:left="13" w:right="18"/>
      </w:pPr>
      <w:r>
        <w:t xml:space="preserve">AHPA also notes the paper’s reference to using    </w:t>
      </w:r>
    </w:p>
    <w:p w:rsidR="004D786D" w:rsidRDefault="00DB47F7" w14:paraId="7AE0F184" w14:textId="77777777">
      <w:pPr>
        <w:ind w:left="594" w:right="18"/>
      </w:pPr>
      <w:r>
        <w:t xml:space="preserve">‘business intelligence to predict when support for decision making is potentially needed. There will be a specific focus on life stage transitions, i.e. through data driven system alerts’ (Appendix C, p24). </w:t>
      </w:r>
    </w:p>
    <w:p w:rsidR="004D786D" w:rsidRDefault="00DB47F7" w14:paraId="2DE1B087" w14:textId="77777777">
      <w:pPr>
        <w:ind w:left="13" w:right="18"/>
      </w:pPr>
      <w:r>
        <w:t xml:space="preserve">This is alarming, because it appears to reiterate the reliance on algorithms recently abandoned as a key element in budget planning associated with the now jettisoned independent assessments model. Real life decision making is also not simply focused on life stage transitions. </w:t>
      </w:r>
    </w:p>
    <w:p w:rsidR="004D786D" w:rsidRDefault="00DB47F7" w14:paraId="4CDC0DDF" w14:textId="77777777">
      <w:pPr>
        <w:ind w:left="13" w:right="18"/>
      </w:pPr>
      <w:r>
        <w:t xml:space="preserve">For all other aspects of the Supporting You to make Your Own Decisions paper and the Companion paper, AHPA refers to and endorses the submission by Inclusion Australia to this consultation. </w:t>
      </w:r>
    </w:p>
    <w:p w:rsidR="004D786D" w:rsidRDefault="00DB47F7" w14:paraId="7D149327" w14:textId="77777777">
      <w:pPr>
        <w:spacing w:after="129" w:line="259" w:lineRule="auto"/>
        <w:ind w:left="19" w:firstLine="0"/>
      </w:pPr>
      <w:r>
        <w:t xml:space="preserve"> </w:t>
      </w:r>
    </w:p>
    <w:p w:rsidR="004D786D" w:rsidRDefault="00DB47F7" w14:paraId="253B9705" w14:textId="77777777">
      <w:pPr>
        <w:spacing w:after="0" w:line="259" w:lineRule="auto"/>
        <w:ind w:left="19" w:firstLine="0"/>
      </w:pPr>
      <w:r>
        <w:t xml:space="preserve"> </w:t>
      </w:r>
    </w:p>
    <w:p w:rsidR="54B9CD1D" w:rsidP="54B9CD1D" w:rsidRDefault="54B9CD1D" w14:paraId="14D54046" w14:textId="7340D3F5">
      <w:pPr>
        <w:spacing w:after="0" w:line="259" w:lineRule="auto"/>
        <w:ind w:left="19" w:firstLine="0"/>
        <w:rPr>
          <w:color w:val="000000" w:themeColor="text1"/>
        </w:rPr>
      </w:pPr>
    </w:p>
    <w:p w:rsidR="57F09190" w:rsidP="57F09190" w:rsidRDefault="57F09190" w14:noSpellErr="1" w14:paraId="5BCAC5DB" w14:textId="1FB7F960">
      <w:pPr>
        <w:pStyle w:val="Normal"/>
        <w:spacing w:after="0" w:line="259" w:lineRule="auto"/>
        <w:ind w:left="19" w:firstLine="0"/>
        <w:rPr>
          <w:rFonts w:ascii="Calibri" w:hAnsi="Calibri" w:eastAsia="Calibri" w:cs="Calibri"/>
          <w:color w:val="000000" w:themeColor="text1" w:themeTint="FF" w:themeShade="FF"/>
        </w:rPr>
      </w:pPr>
    </w:p>
    <w:p w:rsidR="162B99B2" w:rsidP="54B9CD1D" w:rsidRDefault="162B99B2" w14:paraId="76F7B238" w14:textId="7C6483D9">
      <w:pPr>
        <w:pStyle w:val="Title"/>
        <w:rPr>
          <w:rFonts w:ascii="Arial" w:hAnsi="Arial" w:eastAsia="Arial" w:cs="Arial"/>
          <w:b/>
          <w:bCs/>
          <w:color w:val="000000" w:themeColor="text1"/>
          <w:sz w:val="32"/>
          <w:szCs w:val="32"/>
        </w:rPr>
      </w:pPr>
      <w:r w:rsidRPr="54B9CD1D">
        <w:rPr>
          <w:rFonts w:ascii="Arial" w:hAnsi="Arial" w:eastAsia="Arial" w:cs="Arial"/>
          <w:b/>
          <w:bCs/>
          <w:color w:val="000000" w:themeColor="text1"/>
          <w:sz w:val="32"/>
          <w:szCs w:val="32"/>
        </w:rPr>
        <w:t>Support for Decision Making consultation submission</w:t>
      </w:r>
    </w:p>
    <w:p w:rsidR="54B9CD1D" w:rsidP="54B9CD1D" w:rsidRDefault="54B9CD1D" w14:paraId="28F25D44" w14:textId="0963A2F0">
      <w:pPr>
        <w:spacing w:after="160" w:line="259" w:lineRule="auto"/>
        <w:rPr>
          <w:rFonts w:ascii="Arial" w:hAnsi="Arial" w:eastAsia="Arial" w:cs="Arial"/>
          <w:color w:val="000000" w:themeColor="text1"/>
          <w:sz w:val="24"/>
          <w:szCs w:val="24"/>
        </w:rPr>
      </w:pPr>
    </w:p>
    <w:p w:rsidR="162B99B2" w:rsidP="54B9CD1D" w:rsidRDefault="162B99B2" w14:paraId="47FC635D" w14:textId="359704FD">
      <w:pPr>
        <w:spacing w:after="160" w:line="259" w:lineRule="auto"/>
        <w:rPr>
          <w:rFonts w:ascii="Arial" w:hAnsi="Arial" w:eastAsia="Arial" w:cs="Arial"/>
          <w:color w:val="000000" w:themeColor="text1"/>
        </w:rPr>
      </w:pPr>
      <w:r w:rsidRPr="54B9CD1D">
        <w:rPr>
          <w:rFonts w:ascii="Arial" w:hAnsi="Arial" w:eastAsia="Arial" w:cs="Arial"/>
          <w:b/>
          <w:bCs/>
          <w:color w:val="000000" w:themeColor="text1"/>
        </w:rPr>
        <w:t xml:space="preserve">Name: </w:t>
      </w:r>
      <w:r w:rsidRPr="54B9CD1D">
        <w:rPr>
          <w:rFonts w:ascii="Arial" w:hAnsi="Arial" w:eastAsia="Arial" w:cs="Arial"/>
          <w:color w:val="000000" w:themeColor="text1"/>
        </w:rPr>
        <w:t>Allied Health Professions Australia (National)</w:t>
      </w:r>
    </w:p>
    <w:p w:rsidR="162B99B2" w:rsidP="54B9CD1D" w:rsidRDefault="162B99B2" w14:paraId="71C2686C" w14:textId="2607256A">
      <w:pPr>
        <w:spacing w:after="160" w:line="259" w:lineRule="auto"/>
        <w:rPr>
          <w:rFonts w:ascii="Arial" w:hAnsi="Arial" w:eastAsia="Arial" w:cs="Arial"/>
          <w:color w:val="000000" w:themeColor="text1"/>
        </w:rPr>
      </w:pPr>
      <w:r w:rsidRPr="54B9CD1D">
        <w:rPr>
          <w:rFonts w:ascii="Arial" w:hAnsi="Arial" w:eastAsia="Arial" w:cs="Arial"/>
          <w:b/>
          <w:bCs/>
          <w:color w:val="000000" w:themeColor="text1"/>
        </w:rPr>
        <w:t xml:space="preserve">Date and time submitted: </w:t>
      </w:r>
      <w:r w:rsidRPr="54B9CD1D">
        <w:rPr>
          <w:rFonts w:ascii="Arial" w:hAnsi="Arial" w:eastAsia="Arial" w:cs="Arial"/>
          <w:color w:val="000000" w:themeColor="text1"/>
        </w:rPr>
        <w:t>9/10/2021 6:48:00 AM</w:t>
      </w:r>
    </w:p>
    <w:p w:rsidR="54B9CD1D" w:rsidP="54B9CD1D" w:rsidRDefault="54B9CD1D" w14:paraId="7338048A" w14:textId="24C0EAD1">
      <w:pPr>
        <w:spacing w:after="160" w:line="259" w:lineRule="auto"/>
        <w:rPr>
          <w:rFonts w:ascii="Arial" w:hAnsi="Arial" w:eastAsia="Arial" w:cs="Arial"/>
          <w:color w:val="000000" w:themeColor="text1"/>
        </w:rPr>
      </w:pPr>
    </w:p>
    <w:p w:rsidR="162B99B2" w:rsidP="54B9CD1D" w:rsidRDefault="162B99B2" w14:paraId="244143CE" w14:textId="576809DD">
      <w:pPr>
        <w:pStyle w:val="Heading1"/>
        <w:spacing w:before="240" w:after="0"/>
        <w:rPr>
          <w:rFonts w:ascii="Arial" w:hAnsi="Arial" w:eastAsia="Arial" w:cs="Arial"/>
          <w:bCs/>
          <w:color w:val="000000" w:themeColor="text1"/>
          <w:sz w:val="22"/>
        </w:rPr>
      </w:pPr>
      <w:r w:rsidRPr="54B9CD1D">
        <w:rPr>
          <w:rFonts w:ascii="Arial" w:hAnsi="Arial" w:eastAsia="Arial" w:cs="Arial"/>
          <w:bCs/>
          <w:color w:val="000000" w:themeColor="text1"/>
          <w:sz w:val="22"/>
        </w:rPr>
        <w:t>How can we help people with disability make decisions for themselves?</w:t>
      </w:r>
    </w:p>
    <w:p w:rsidR="162B99B2" w:rsidP="54B9CD1D" w:rsidRDefault="162B99B2" w14:paraId="5A06516D" w14:textId="0839BCF9">
      <w:pPr>
        <w:pStyle w:val="ListParagraph"/>
        <w:numPr>
          <w:ilvl w:val="0"/>
          <w:numId w:val="6"/>
        </w:numPr>
        <w:spacing w:after="160" w:line="259" w:lineRule="auto"/>
        <w:rPr>
          <w:rFonts w:ascii="Arial" w:hAnsi="Arial" w:eastAsia="Arial" w:cs="Arial"/>
          <w:color w:val="000000" w:themeColor="text1"/>
        </w:rPr>
      </w:pPr>
      <w:r w:rsidRPr="54B9CD1D">
        <w:rPr>
          <w:rFonts w:ascii="Arial" w:hAnsi="Arial" w:eastAsia="Arial" w:cs="Arial"/>
          <w:color w:val="000000" w:themeColor="text1"/>
        </w:rPr>
        <w:t>Resources: No</w:t>
      </w:r>
    </w:p>
    <w:p w:rsidR="162B99B2" w:rsidP="54B9CD1D" w:rsidRDefault="162B99B2" w14:paraId="22FD6447" w14:textId="673798CB">
      <w:pPr>
        <w:pStyle w:val="ListParagraph"/>
        <w:numPr>
          <w:ilvl w:val="0"/>
          <w:numId w:val="6"/>
        </w:numPr>
        <w:spacing w:after="160" w:line="259" w:lineRule="auto"/>
        <w:rPr>
          <w:rFonts w:ascii="Arial" w:hAnsi="Arial" w:eastAsia="Arial" w:cs="Arial"/>
          <w:color w:val="000000" w:themeColor="text1"/>
        </w:rPr>
      </w:pPr>
      <w:r w:rsidRPr="54B9CD1D">
        <w:rPr>
          <w:rFonts w:ascii="Arial" w:hAnsi="Arial" w:eastAsia="Arial" w:cs="Arial"/>
          <w:color w:val="000000" w:themeColor="text1"/>
        </w:rPr>
        <w:t>Information: No</w:t>
      </w:r>
    </w:p>
    <w:p w:rsidR="162B99B2" w:rsidP="54B9CD1D" w:rsidRDefault="162B99B2" w14:paraId="51ED9733" w14:textId="2C71B697">
      <w:pPr>
        <w:pStyle w:val="ListParagraph"/>
        <w:numPr>
          <w:ilvl w:val="0"/>
          <w:numId w:val="6"/>
        </w:numPr>
        <w:spacing w:after="160" w:line="259" w:lineRule="auto"/>
        <w:rPr>
          <w:rFonts w:ascii="Arial" w:hAnsi="Arial" w:eastAsia="Arial" w:cs="Arial"/>
          <w:color w:val="000000" w:themeColor="text1"/>
        </w:rPr>
      </w:pPr>
      <w:r w:rsidRPr="54B9CD1D">
        <w:rPr>
          <w:rFonts w:ascii="Arial" w:hAnsi="Arial" w:eastAsia="Arial" w:cs="Arial"/>
          <w:color w:val="000000" w:themeColor="text1"/>
        </w:rPr>
        <w:t>Decision Guides: No</w:t>
      </w:r>
    </w:p>
    <w:p w:rsidR="162B99B2" w:rsidP="54B9CD1D" w:rsidRDefault="162B99B2" w14:paraId="049228CF" w14:textId="14A49AE9">
      <w:pPr>
        <w:pStyle w:val="ListParagraph"/>
        <w:numPr>
          <w:ilvl w:val="0"/>
          <w:numId w:val="6"/>
        </w:numPr>
        <w:spacing w:after="160" w:line="259" w:lineRule="auto"/>
        <w:rPr>
          <w:rFonts w:ascii="Arial" w:hAnsi="Arial" w:eastAsia="Arial" w:cs="Arial"/>
          <w:color w:val="000000" w:themeColor="text1"/>
        </w:rPr>
      </w:pPr>
      <w:r w:rsidRPr="54B9CD1D">
        <w:rPr>
          <w:rFonts w:ascii="Arial" w:hAnsi="Arial" w:eastAsia="Arial" w:cs="Arial"/>
          <w:color w:val="000000" w:themeColor="text1"/>
        </w:rPr>
        <w:t>Having a person help: No</w:t>
      </w:r>
    </w:p>
    <w:p w:rsidR="162B99B2" w:rsidP="54B9CD1D" w:rsidRDefault="162B99B2" w14:paraId="7421E737" w14:textId="753007F0">
      <w:pPr>
        <w:pStyle w:val="ListParagraph"/>
        <w:numPr>
          <w:ilvl w:val="0"/>
          <w:numId w:val="6"/>
        </w:numPr>
        <w:spacing w:after="160" w:line="259" w:lineRule="auto"/>
        <w:rPr>
          <w:rFonts w:ascii="Arial" w:hAnsi="Arial" w:eastAsia="Arial" w:cs="Arial"/>
          <w:color w:val="000000" w:themeColor="text1"/>
        </w:rPr>
      </w:pPr>
      <w:r w:rsidRPr="54B9CD1D">
        <w:rPr>
          <w:rFonts w:ascii="Arial" w:hAnsi="Arial" w:eastAsia="Arial" w:cs="Arial"/>
          <w:color w:val="000000" w:themeColor="text1"/>
        </w:rPr>
        <w:t>Other: No</w:t>
      </w:r>
    </w:p>
    <w:p w:rsidR="54B9CD1D" w:rsidP="54B9CD1D" w:rsidRDefault="54B9CD1D" w14:paraId="0728929F" w14:textId="562ECC58">
      <w:pPr>
        <w:spacing w:after="160" w:line="259" w:lineRule="auto"/>
        <w:rPr>
          <w:rFonts w:ascii="Arial" w:hAnsi="Arial" w:eastAsia="Arial" w:cs="Arial"/>
          <w:color w:val="000000" w:themeColor="text1"/>
        </w:rPr>
      </w:pPr>
    </w:p>
    <w:p w:rsidR="162B99B2" w:rsidP="54B9CD1D" w:rsidRDefault="162B99B2" w14:paraId="338CCCBF" w14:textId="030CE9F1">
      <w:pPr>
        <w:pStyle w:val="Heading1"/>
        <w:spacing w:before="240" w:after="0"/>
        <w:rPr>
          <w:rFonts w:ascii="Arial" w:hAnsi="Arial" w:eastAsia="Arial" w:cs="Arial"/>
          <w:bCs/>
          <w:color w:val="000000" w:themeColor="text1"/>
          <w:sz w:val="22"/>
        </w:rPr>
      </w:pPr>
      <w:r w:rsidRPr="54B9CD1D">
        <w:rPr>
          <w:rFonts w:ascii="Arial" w:hAnsi="Arial" w:eastAsia="Arial" w:cs="Arial"/>
          <w:bCs/>
          <w:color w:val="000000" w:themeColor="text1"/>
          <w:sz w:val="22"/>
        </w:rPr>
        <w:t xml:space="preserve">Who are the best people to help you (or a person with a disability) to make decisions? </w:t>
      </w:r>
    </w:p>
    <w:p w:rsidR="162B99B2" w:rsidP="54B9CD1D" w:rsidRDefault="162B99B2" w14:paraId="39F4FC77" w14:textId="2D0D485E">
      <w:pPr>
        <w:pStyle w:val="ListParagraph"/>
        <w:numPr>
          <w:ilvl w:val="0"/>
          <w:numId w:val="5"/>
        </w:numPr>
        <w:spacing w:after="160" w:line="259" w:lineRule="auto"/>
        <w:rPr>
          <w:rFonts w:ascii="Arial" w:hAnsi="Arial" w:eastAsia="Arial" w:cs="Arial"/>
          <w:color w:val="000000" w:themeColor="text1"/>
        </w:rPr>
      </w:pPr>
      <w:r w:rsidRPr="54B9CD1D">
        <w:rPr>
          <w:rFonts w:ascii="Arial" w:hAnsi="Arial" w:eastAsia="Arial" w:cs="Arial"/>
          <w:color w:val="000000" w:themeColor="text1"/>
        </w:rPr>
        <w:t>Family: No</w:t>
      </w:r>
    </w:p>
    <w:p w:rsidR="162B99B2" w:rsidP="54B9CD1D" w:rsidRDefault="162B99B2" w14:paraId="66DC1418" w14:textId="4F4C8B01">
      <w:pPr>
        <w:pStyle w:val="ListParagraph"/>
        <w:numPr>
          <w:ilvl w:val="0"/>
          <w:numId w:val="5"/>
        </w:numPr>
        <w:spacing w:after="160" w:line="259" w:lineRule="auto"/>
        <w:rPr>
          <w:rFonts w:ascii="Arial" w:hAnsi="Arial" w:eastAsia="Arial" w:cs="Arial"/>
          <w:color w:val="000000" w:themeColor="text1"/>
        </w:rPr>
      </w:pPr>
      <w:r w:rsidRPr="54B9CD1D">
        <w:rPr>
          <w:rFonts w:ascii="Arial" w:hAnsi="Arial" w:eastAsia="Arial" w:cs="Arial"/>
          <w:color w:val="000000" w:themeColor="text1"/>
        </w:rPr>
        <w:t>Friends: No</w:t>
      </w:r>
    </w:p>
    <w:p w:rsidR="162B99B2" w:rsidP="54B9CD1D" w:rsidRDefault="162B99B2" w14:paraId="04E3C650" w14:textId="0630A753">
      <w:pPr>
        <w:pStyle w:val="ListParagraph"/>
        <w:numPr>
          <w:ilvl w:val="0"/>
          <w:numId w:val="5"/>
        </w:numPr>
        <w:spacing w:after="160" w:line="259" w:lineRule="auto"/>
        <w:rPr>
          <w:rFonts w:ascii="Arial" w:hAnsi="Arial" w:eastAsia="Arial" w:cs="Arial"/>
          <w:color w:val="000000" w:themeColor="text1"/>
        </w:rPr>
      </w:pPr>
      <w:r w:rsidRPr="54B9CD1D">
        <w:rPr>
          <w:rFonts w:ascii="Arial" w:hAnsi="Arial" w:eastAsia="Arial" w:cs="Arial"/>
          <w:color w:val="000000" w:themeColor="text1"/>
        </w:rPr>
        <w:t>Peer Support Networks: No</w:t>
      </w:r>
    </w:p>
    <w:p w:rsidR="162B99B2" w:rsidP="54B9CD1D" w:rsidRDefault="162B99B2" w14:paraId="3F1B29E6" w14:textId="549AC0FF">
      <w:pPr>
        <w:pStyle w:val="ListParagraph"/>
        <w:numPr>
          <w:ilvl w:val="0"/>
          <w:numId w:val="5"/>
        </w:numPr>
        <w:spacing w:after="160" w:line="259" w:lineRule="auto"/>
        <w:rPr>
          <w:rFonts w:ascii="Arial" w:hAnsi="Arial" w:eastAsia="Arial" w:cs="Arial"/>
          <w:color w:val="000000" w:themeColor="text1"/>
        </w:rPr>
      </w:pPr>
      <w:r w:rsidRPr="54B9CD1D">
        <w:rPr>
          <w:rFonts w:ascii="Arial" w:hAnsi="Arial" w:eastAsia="Arial" w:cs="Arial"/>
          <w:color w:val="000000" w:themeColor="text1"/>
        </w:rPr>
        <w:t>Mentors: No</w:t>
      </w:r>
    </w:p>
    <w:p w:rsidR="162B99B2" w:rsidP="54B9CD1D" w:rsidRDefault="162B99B2" w14:paraId="29B7B271" w14:textId="4098F63B">
      <w:pPr>
        <w:pStyle w:val="ListParagraph"/>
        <w:numPr>
          <w:ilvl w:val="0"/>
          <w:numId w:val="5"/>
        </w:numPr>
        <w:spacing w:after="160" w:line="259" w:lineRule="auto"/>
        <w:rPr>
          <w:rFonts w:ascii="Arial" w:hAnsi="Arial" w:eastAsia="Arial" w:cs="Arial"/>
          <w:color w:val="000000" w:themeColor="text1"/>
        </w:rPr>
      </w:pPr>
      <w:r w:rsidRPr="54B9CD1D">
        <w:rPr>
          <w:rFonts w:ascii="Arial" w:hAnsi="Arial" w:eastAsia="Arial" w:cs="Arial"/>
          <w:color w:val="000000" w:themeColor="text1"/>
        </w:rPr>
        <w:t>Coordinators: No</w:t>
      </w:r>
    </w:p>
    <w:p w:rsidR="162B99B2" w:rsidP="54B9CD1D" w:rsidRDefault="162B99B2" w14:paraId="5447DDB4" w14:textId="5ABD9930">
      <w:pPr>
        <w:pStyle w:val="ListParagraph"/>
        <w:numPr>
          <w:ilvl w:val="0"/>
          <w:numId w:val="5"/>
        </w:numPr>
        <w:spacing w:after="160" w:line="259" w:lineRule="auto"/>
        <w:rPr>
          <w:rFonts w:ascii="Arial" w:hAnsi="Arial" w:eastAsia="Arial" w:cs="Arial"/>
          <w:color w:val="000000" w:themeColor="text1"/>
        </w:rPr>
      </w:pPr>
      <w:r w:rsidRPr="54B9CD1D">
        <w:rPr>
          <w:rFonts w:ascii="Arial" w:hAnsi="Arial" w:eastAsia="Arial" w:cs="Arial"/>
          <w:color w:val="000000" w:themeColor="text1"/>
        </w:rPr>
        <w:t>LAC: No</w:t>
      </w:r>
    </w:p>
    <w:p w:rsidR="162B99B2" w:rsidP="54B9CD1D" w:rsidRDefault="162B99B2" w14:paraId="03CC75AC" w14:textId="111AA92F">
      <w:pPr>
        <w:pStyle w:val="ListParagraph"/>
        <w:numPr>
          <w:ilvl w:val="0"/>
          <w:numId w:val="5"/>
        </w:numPr>
        <w:spacing w:after="160" w:line="259" w:lineRule="auto"/>
        <w:rPr>
          <w:rFonts w:ascii="Arial" w:hAnsi="Arial" w:eastAsia="Arial" w:cs="Arial"/>
          <w:color w:val="000000" w:themeColor="text1"/>
        </w:rPr>
      </w:pPr>
      <w:r w:rsidRPr="54B9CD1D">
        <w:rPr>
          <w:rFonts w:ascii="Arial" w:hAnsi="Arial" w:eastAsia="Arial" w:cs="Arial"/>
          <w:color w:val="000000" w:themeColor="text1"/>
        </w:rPr>
        <w:t>NDIA Partners: No</w:t>
      </w:r>
    </w:p>
    <w:p w:rsidR="162B99B2" w:rsidP="54B9CD1D" w:rsidRDefault="162B99B2" w14:paraId="3F14E43C" w14:textId="35B4D800">
      <w:pPr>
        <w:pStyle w:val="ListParagraph"/>
        <w:numPr>
          <w:ilvl w:val="0"/>
          <w:numId w:val="5"/>
        </w:numPr>
        <w:spacing w:after="160" w:line="259" w:lineRule="auto"/>
        <w:rPr>
          <w:rFonts w:ascii="Arial" w:hAnsi="Arial" w:eastAsia="Arial" w:cs="Arial"/>
          <w:color w:val="000000" w:themeColor="text1"/>
        </w:rPr>
      </w:pPr>
      <w:r w:rsidRPr="54B9CD1D">
        <w:rPr>
          <w:rFonts w:ascii="Arial" w:hAnsi="Arial" w:eastAsia="Arial" w:cs="Arial"/>
          <w:color w:val="000000" w:themeColor="text1"/>
        </w:rPr>
        <w:t>Advocates: No</w:t>
      </w:r>
    </w:p>
    <w:p w:rsidR="162B99B2" w:rsidP="54B9CD1D" w:rsidRDefault="162B99B2" w14:paraId="548C2FF8" w14:textId="5EF3C720">
      <w:pPr>
        <w:pStyle w:val="ListParagraph"/>
        <w:numPr>
          <w:ilvl w:val="0"/>
          <w:numId w:val="5"/>
        </w:numPr>
        <w:spacing w:after="160" w:line="259" w:lineRule="auto"/>
        <w:rPr>
          <w:rFonts w:ascii="Arial" w:hAnsi="Arial" w:eastAsia="Arial" w:cs="Arial"/>
          <w:color w:val="000000" w:themeColor="text1"/>
        </w:rPr>
      </w:pPr>
      <w:r w:rsidRPr="54B9CD1D">
        <w:rPr>
          <w:rFonts w:ascii="Arial" w:hAnsi="Arial" w:eastAsia="Arial" w:cs="Arial"/>
          <w:color w:val="000000" w:themeColor="text1"/>
        </w:rPr>
        <w:t>Service Providers: No</w:t>
      </w:r>
    </w:p>
    <w:p w:rsidR="162B99B2" w:rsidP="54B9CD1D" w:rsidRDefault="162B99B2" w14:paraId="08017B30" w14:textId="3D79FDBF">
      <w:pPr>
        <w:pStyle w:val="ListParagraph"/>
        <w:numPr>
          <w:ilvl w:val="0"/>
          <w:numId w:val="5"/>
        </w:numPr>
        <w:spacing w:after="160" w:line="259" w:lineRule="auto"/>
        <w:rPr>
          <w:rFonts w:ascii="Arial" w:hAnsi="Arial" w:eastAsia="Arial" w:cs="Arial"/>
          <w:color w:val="000000" w:themeColor="text1"/>
        </w:rPr>
      </w:pPr>
      <w:r w:rsidRPr="54B9CD1D">
        <w:rPr>
          <w:rFonts w:ascii="Arial" w:hAnsi="Arial" w:eastAsia="Arial" w:cs="Arial"/>
          <w:color w:val="000000" w:themeColor="text1"/>
        </w:rPr>
        <w:t>Other: No</w:t>
      </w:r>
    </w:p>
    <w:p w:rsidR="54B9CD1D" w:rsidP="54B9CD1D" w:rsidRDefault="54B9CD1D" w14:paraId="19A6BA17" w14:textId="308E46BB">
      <w:pPr>
        <w:spacing w:after="160" w:line="259" w:lineRule="auto"/>
        <w:rPr>
          <w:rFonts w:ascii="Arial" w:hAnsi="Arial" w:eastAsia="Arial" w:cs="Arial"/>
          <w:color w:val="000000" w:themeColor="text1"/>
        </w:rPr>
      </w:pPr>
    </w:p>
    <w:p w:rsidR="162B99B2" w:rsidP="54B9CD1D" w:rsidRDefault="162B99B2" w14:paraId="262940A1" w14:textId="31CE830F">
      <w:pPr>
        <w:pStyle w:val="Heading1"/>
        <w:spacing w:before="240" w:after="0"/>
        <w:rPr>
          <w:rFonts w:ascii="Arial" w:hAnsi="Arial" w:eastAsia="Arial" w:cs="Arial"/>
          <w:bCs/>
          <w:color w:val="000000" w:themeColor="text1"/>
          <w:sz w:val="22"/>
        </w:rPr>
      </w:pPr>
      <w:r w:rsidRPr="54B9CD1D">
        <w:rPr>
          <w:rFonts w:ascii="Arial" w:hAnsi="Arial" w:eastAsia="Arial" w:cs="Arial"/>
          <w:bCs/>
          <w:color w:val="000000" w:themeColor="text1"/>
          <w:sz w:val="22"/>
        </w:rPr>
        <w:t>What should they do to help with decision-making?</w:t>
      </w:r>
    </w:p>
    <w:p w:rsidR="162B99B2" w:rsidP="54B9CD1D" w:rsidRDefault="162B99B2" w14:paraId="0699059E" w14:textId="1F5B079F">
      <w:pPr>
        <w:spacing w:after="160" w:line="259" w:lineRule="auto"/>
        <w:ind w:firstLine="360"/>
        <w:rPr>
          <w:rFonts w:ascii="Arial" w:hAnsi="Arial" w:eastAsia="Arial" w:cs="Arial"/>
          <w:color w:val="000000" w:themeColor="text1"/>
        </w:rPr>
      </w:pPr>
      <w:r w:rsidRPr="54B9CD1D">
        <w:rPr>
          <w:rFonts w:ascii="Arial" w:hAnsi="Arial" w:eastAsia="Arial" w:cs="Arial"/>
          <w:color w:val="000000" w:themeColor="text1"/>
        </w:rPr>
        <w:t>No answer recorded</w:t>
      </w:r>
    </w:p>
    <w:p w:rsidR="54B9CD1D" w:rsidP="54B9CD1D" w:rsidRDefault="54B9CD1D" w14:paraId="5B187720" w14:textId="7DBE19C2">
      <w:pPr>
        <w:spacing w:after="160" w:line="259" w:lineRule="auto"/>
        <w:rPr>
          <w:rFonts w:ascii="Arial" w:hAnsi="Arial" w:eastAsia="Arial" w:cs="Arial"/>
          <w:color w:val="000000" w:themeColor="text1"/>
        </w:rPr>
      </w:pPr>
    </w:p>
    <w:p w:rsidR="162B99B2" w:rsidP="54B9CD1D" w:rsidRDefault="162B99B2" w14:paraId="09A5FE43" w14:textId="37E748BD">
      <w:pPr>
        <w:pStyle w:val="Heading1"/>
        <w:spacing w:before="240" w:after="0"/>
        <w:rPr>
          <w:rFonts w:ascii="Arial" w:hAnsi="Arial" w:eastAsia="Arial" w:cs="Arial"/>
          <w:bCs/>
          <w:color w:val="000000" w:themeColor="text1"/>
          <w:sz w:val="22"/>
        </w:rPr>
      </w:pPr>
      <w:r w:rsidRPr="54B9CD1D">
        <w:rPr>
          <w:rFonts w:ascii="Arial" w:hAnsi="Arial" w:eastAsia="Arial" w:cs="Arial"/>
          <w:bCs/>
          <w:color w:val="000000" w:themeColor="text1"/>
          <w:sz w:val="22"/>
        </w:rPr>
        <w:t xml:space="preserve">How can they get better at helping? </w:t>
      </w:r>
    </w:p>
    <w:p w:rsidR="162B99B2" w:rsidP="54B9CD1D" w:rsidRDefault="162B99B2" w14:paraId="6E51D270" w14:textId="7950AE60">
      <w:pPr>
        <w:pStyle w:val="ListParagraph"/>
        <w:numPr>
          <w:ilvl w:val="0"/>
          <w:numId w:val="4"/>
        </w:numPr>
        <w:spacing w:after="160" w:line="259" w:lineRule="auto"/>
        <w:rPr>
          <w:rFonts w:ascii="Arial" w:hAnsi="Arial" w:eastAsia="Arial" w:cs="Arial"/>
          <w:color w:val="000000" w:themeColor="text1"/>
        </w:rPr>
      </w:pPr>
      <w:r w:rsidRPr="54B9CD1D">
        <w:rPr>
          <w:rFonts w:ascii="Arial" w:hAnsi="Arial" w:eastAsia="Arial" w:cs="Arial"/>
          <w:color w:val="000000" w:themeColor="text1"/>
        </w:rPr>
        <w:t>Getting to know the participant well: No</w:t>
      </w:r>
    </w:p>
    <w:p w:rsidR="162B99B2" w:rsidP="54B9CD1D" w:rsidRDefault="162B99B2" w14:paraId="452122A0" w14:textId="40F29403">
      <w:pPr>
        <w:pStyle w:val="ListParagraph"/>
        <w:numPr>
          <w:ilvl w:val="0"/>
          <w:numId w:val="4"/>
        </w:numPr>
        <w:spacing w:after="160" w:line="259" w:lineRule="auto"/>
        <w:rPr>
          <w:rFonts w:ascii="Arial" w:hAnsi="Arial" w:eastAsia="Arial" w:cs="Arial"/>
          <w:color w:val="000000" w:themeColor="text1"/>
        </w:rPr>
      </w:pPr>
      <w:r w:rsidRPr="54B9CD1D">
        <w:rPr>
          <w:rFonts w:ascii="Arial" w:hAnsi="Arial" w:eastAsia="Arial" w:cs="Arial"/>
          <w:color w:val="000000" w:themeColor="text1"/>
        </w:rPr>
        <w:t>Doing some training on decision support: No</w:t>
      </w:r>
    </w:p>
    <w:p w:rsidR="162B99B2" w:rsidP="54B9CD1D" w:rsidRDefault="162B99B2" w14:paraId="0C6B6785" w14:textId="46B1E8F9">
      <w:pPr>
        <w:pStyle w:val="ListParagraph"/>
        <w:numPr>
          <w:ilvl w:val="0"/>
          <w:numId w:val="4"/>
        </w:numPr>
        <w:spacing w:after="160" w:line="259" w:lineRule="auto"/>
        <w:rPr>
          <w:rFonts w:ascii="Arial" w:hAnsi="Arial" w:eastAsia="Arial" w:cs="Arial"/>
          <w:color w:val="000000" w:themeColor="text1"/>
        </w:rPr>
      </w:pPr>
      <w:r w:rsidRPr="54B9CD1D">
        <w:rPr>
          <w:rFonts w:ascii="Arial" w:hAnsi="Arial" w:eastAsia="Arial" w:cs="Arial"/>
          <w:color w:val="000000" w:themeColor="text1"/>
        </w:rPr>
        <w:t>By having resources and information about providing decision support: No</w:t>
      </w:r>
    </w:p>
    <w:p w:rsidR="162B99B2" w:rsidP="54B9CD1D" w:rsidRDefault="162B99B2" w14:paraId="7B2930EA" w14:textId="3EE4866D">
      <w:pPr>
        <w:pStyle w:val="ListParagraph"/>
        <w:numPr>
          <w:ilvl w:val="0"/>
          <w:numId w:val="4"/>
        </w:numPr>
        <w:spacing w:after="160" w:line="259" w:lineRule="auto"/>
        <w:rPr>
          <w:rFonts w:ascii="Arial" w:hAnsi="Arial" w:eastAsia="Arial" w:cs="Arial"/>
          <w:color w:val="000000" w:themeColor="text1"/>
        </w:rPr>
      </w:pPr>
      <w:r w:rsidRPr="54B9CD1D">
        <w:rPr>
          <w:rFonts w:ascii="Arial" w:hAnsi="Arial" w:eastAsia="Arial" w:cs="Arial"/>
          <w:color w:val="000000" w:themeColor="text1"/>
        </w:rPr>
        <w:t>Other: No</w:t>
      </w:r>
    </w:p>
    <w:p w:rsidR="54B9CD1D" w:rsidP="54B9CD1D" w:rsidRDefault="54B9CD1D" w14:paraId="0C90066C" w14:textId="12B56CB6">
      <w:pPr>
        <w:spacing w:after="80" w:line="240" w:lineRule="auto"/>
        <w:ind w:left="720"/>
        <w:rPr>
          <w:rFonts w:ascii="Arial" w:hAnsi="Arial" w:eastAsia="Arial" w:cs="Arial"/>
          <w:color w:val="000000" w:themeColor="text1"/>
        </w:rPr>
      </w:pPr>
    </w:p>
    <w:p w:rsidR="162B99B2" w:rsidP="54B9CD1D" w:rsidRDefault="162B99B2" w14:paraId="1519985B" w14:textId="04BE1FC6">
      <w:pPr>
        <w:pStyle w:val="Heading1"/>
        <w:spacing w:before="240" w:after="0"/>
        <w:rPr>
          <w:rFonts w:ascii="Arial" w:hAnsi="Arial" w:eastAsia="Arial" w:cs="Arial"/>
          <w:bCs/>
          <w:color w:val="000000" w:themeColor="text1"/>
          <w:sz w:val="22"/>
        </w:rPr>
      </w:pPr>
      <w:r w:rsidRPr="54B9CD1D">
        <w:rPr>
          <w:rFonts w:ascii="Arial" w:hAnsi="Arial" w:eastAsia="Arial" w:cs="Arial"/>
          <w:bCs/>
          <w:color w:val="000000" w:themeColor="text1"/>
          <w:sz w:val="22"/>
        </w:rPr>
        <w:t xml:space="preserve">How can we make sure the right people are helping? </w:t>
      </w:r>
    </w:p>
    <w:p w:rsidR="162B99B2" w:rsidP="54B9CD1D" w:rsidRDefault="162B99B2" w14:paraId="4DB991C1" w14:textId="2CD31FB1">
      <w:pPr>
        <w:pStyle w:val="ListParagraph"/>
        <w:numPr>
          <w:ilvl w:val="0"/>
          <w:numId w:val="3"/>
        </w:numPr>
        <w:spacing w:after="160" w:line="259" w:lineRule="auto"/>
        <w:rPr>
          <w:rFonts w:ascii="Arial" w:hAnsi="Arial" w:eastAsia="Arial" w:cs="Arial"/>
          <w:color w:val="000000" w:themeColor="text1"/>
        </w:rPr>
      </w:pPr>
      <w:r w:rsidRPr="54B9CD1D">
        <w:rPr>
          <w:rFonts w:ascii="Arial" w:hAnsi="Arial" w:eastAsia="Arial" w:cs="Arial"/>
          <w:color w:val="000000" w:themeColor="text1"/>
        </w:rPr>
        <w:t>They are chosen by the NDIS Participant as a decision supporter: No</w:t>
      </w:r>
    </w:p>
    <w:p w:rsidR="162B99B2" w:rsidP="54B9CD1D" w:rsidRDefault="162B99B2" w14:paraId="59C4FBE4" w14:textId="5CE3E61B">
      <w:pPr>
        <w:pStyle w:val="ListParagraph"/>
        <w:numPr>
          <w:ilvl w:val="0"/>
          <w:numId w:val="3"/>
        </w:numPr>
        <w:spacing w:after="160" w:line="259" w:lineRule="auto"/>
        <w:rPr>
          <w:rFonts w:ascii="Arial" w:hAnsi="Arial" w:eastAsia="Arial" w:cs="Arial"/>
          <w:color w:val="000000" w:themeColor="text1"/>
        </w:rPr>
      </w:pPr>
      <w:r w:rsidRPr="54B9CD1D">
        <w:rPr>
          <w:rFonts w:ascii="Arial" w:hAnsi="Arial" w:eastAsia="Arial" w:cs="Arial"/>
          <w:color w:val="000000" w:themeColor="text1"/>
        </w:rPr>
        <w:t>They value the rights of people to make decisions with support: No</w:t>
      </w:r>
      <w:r>
        <w:tab/>
      </w:r>
    </w:p>
    <w:p w:rsidR="162B99B2" w:rsidP="54B9CD1D" w:rsidRDefault="162B99B2" w14:paraId="335B0C52" w14:textId="6E418DAF">
      <w:pPr>
        <w:pStyle w:val="ListParagraph"/>
        <w:numPr>
          <w:ilvl w:val="0"/>
          <w:numId w:val="3"/>
        </w:numPr>
        <w:spacing w:after="160" w:line="259" w:lineRule="auto"/>
        <w:rPr>
          <w:rFonts w:ascii="Arial" w:hAnsi="Arial" w:eastAsia="Arial" w:cs="Arial"/>
          <w:color w:val="000000" w:themeColor="text1"/>
        </w:rPr>
      </w:pPr>
      <w:r w:rsidRPr="54B9CD1D">
        <w:rPr>
          <w:rFonts w:ascii="Arial" w:hAnsi="Arial" w:eastAsia="Arial" w:cs="Arial"/>
          <w:color w:val="000000" w:themeColor="text1"/>
        </w:rPr>
        <w:t>They are a registered provider: No</w:t>
      </w:r>
    </w:p>
    <w:p w:rsidR="162B99B2" w:rsidP="54B9CD1D" w:rsidRDefault="162B99B2" w14:paraId="0EE9ED90" w14:textId="7C08652F">
      <w:pPr>
        <w:pStyle w:val="ListParagraph"/>
        <w:numPr>
          <w:ilvl w:val="0"/>
          <w:numId w:val="3"/>
        </w:numPr>
        <w:spacing w:after="160" w:line="259" w:lineRule="auto"/>
        <w:rPr>
          <w:rFonts w:ascii="Arial" w:hAnsi="Arial" w:eastAsia="Arial" w:cs="Arial"/>
          <w:color w:val="000000" w:themeColor="text1"/>
        </w:rPr>
      </w:pPr>
      <w:r w:rsidRPr="54B9CD1D">
        <w:rPr>
          <w:rFonts w:ascii="Arial" w:hAnsi="Arial" w:eastAsia="Arial" w:cs="Arial"/>
          <w:color w:val="000000" w:themeColor="text1"/>
        </w:rPr>
        <w:t>They enable the participant to take risks: No</w:t>
      </w:r>
    </w:p>
    <w:p w:rsidR="162B99B2" w:rsidP="54B9CD1D" w:rsidRDefault="162B99B2" w14:paraId="26C2C65B" w14:textId="09330868">
      <w:pPr>
        <w:pStyle w:val="ListParagraph"/>
        <w:numPr>
          <w:ilvl w:val="0"/>
          <w:numId w:val="3"/>
        </w:numPr>
        <w:spacing w:after="160" w:line="259" w:lineRule="auto"/>
        <w:rPr>
          <w:rFonts w:ascii="Arial" w:hAnsi="Arial" w:eastAsia="Arial" w:cs="Arial"/>
          <w:color w:val="000000" w:themeColor="text1"/>
        </w:rPr>
      </w:pPr>
      <w:r w:rsidRPr="54B9CD1D">
        <w:rPr>
          <w:rFonts w:ascii="Arial" w:hAnsi="Arial" w:eastAsia="Arial" w:cs="Arial"/>
          <w:color w:val="000000" w:themeColor="text1"/>
        </w:rPr>
        <w:t>Other: No</w:t>
      </w:r>
    </w:p>
    <w:p w:rsidR="54B9CD1D" w:rsidP="54B9CD1D" w:rsidRDefault="54B9CD1D" w14:paraId="54609C9E" w14:textId="6C0408B1">
      <w:pPr>
        <w:spacing w:after="160" w:line="259" w:lineRule="auto"/>
        <w:rPr>
          <w:rFonts w:ascii="Arial" w:hAnsi="Arial" w:eastAsia="Arial" w:cs="Arial"/>
          <w:color w:val="000000" w:themeColor="text1"/>
        </w:rPr>
      </w:pPr>
    </w:p>
    <w:p w:rsidR="162B99B2" w:rsidP="54B9CD1D" w:rsidRDefault="162B99B2" w14:paraId="576976A3" w14:textId="46FF7AB7">
      <w:pPr>
        <w:pStyle w:val="Heading1"/>
        <w:spacing w:before="240" w:after="0"/>
        <w:rPr>
          <w:rFonts w:ascii="Arial" w:hAnsi="Arial" w:eastAsia="Arial" w:cs="Arial"/>
          <w:bCs/>
          <w:color w:val="000000" w:themeColor="text1"/>
          <w:sz w:val="22"/>
        </w:rPr>
      </w:pPr>
      <w:r w:rsidRPr="54B9CD1D">
        <w:rPr>
          <w:rFonts w:ascii="Arial" w:hAnsi="Arial" w:eastAsia="Arial" w:cs="Arial"/>
          <w:bCs/>
          <w:color w:val="000000" w:themeColor="text1"/>
          <w:sz w:val="22"/>
        </w:rPr>
        <w:t>What should decision supporters know about so they can better help people with disability make decisions?</w:t>
      </w:r>
    </w:p>
    <w:p w:rsidR="162B99B2" w:rsidP="54B9CD1D" w:rsidRDefault="162B99B2" w14:paraId="1711D029" w14:textId="467647DA">
      <w:pPr>
        <w:pStyle w:val="ListParagraph"/>
        <w:numPr>
          <w:ilvl w:val="0"/>
          <w:numId w:val="2"/>
        </w:numPr>
        <w:spacing w:after="160" w:line="259" w:lineRule="auto"/>
        <w:rPr>
          <w:rFonts w:ascii="Arial" w:hAnsi="Arial" w:eastAsia="Arial" w:cs="Arial"/>
          <w:color w:val="000000" w:themeColor="text1"/>
        </w:rPr>
      </w:pPr>
      <w:r w:rsidRPr="54B9CD1D">
        <w:rPr>
          <w:rFonts w:ascii="Arial" w:hAnsi="Arial" w:eastAsia="Arial" w:cs="Arial"/>
          <w:color w:val="000000" w:themeColor="text1"/>
        </w:rPr>
        <w:t>Guidelines for decision supporters: No</w:t>
      </w:r>
    </w:p>
    <w:p w:rsidR="162B99B2" w:rsidP="54B9CD1D" w:rsidRDefault="162B99B2" w14:paraId="3845BD79" w14:textId="22C5E1A5">
      <w:pPr>
        <w:pStyle w:val="ListParagraph"/>
        <w:numPr>
          <w:ilvl w:val="0"/>
          <w:numId w:val="2"/>
        </w:numPr>
        <w:spacing w:after="160" w:line="259" w:lineRule="auto"/>
        <w:rPr>
          <w:rFonts w:ascii="Arial" w:hAnsi="Arial" w:eastAsia="Arial" w:cs="Arial"/>
          <w:color w:val="000000" w:themeColor="text1"/>
        </w:rPr>
      </w:pPr>
      <w:r w:rsidRPr="54B9CD1D">
        <w:rPr>
          <w:rFonts w:ascii="Arial" w:hAnsi="Arial" w:eastAsia="Arial" w:cs="Arial"/>
          <w:color w:val="000000" w:themeColor="text1"/>
        </w:rPr>
        <w:t>Scenarios or Examples: No</w:t>
      </w:r>
    </w:p>
    <w:p w:rsidR="162B99B2" w:rsidP="54B9CD1D" w:rsidRDefault="162B99B2" w14:paraId="3C84C2C5" w14:textId="187BE805">
      <w:pPr>
        <w:pStyle w:val="ListParagraph"/>
        <w:numPr>
          <w:ilvl w:val="0"/>
          <w:numId w:val="2"/>
        </w:numPr>
        <w:spacing w:after="160" w:line="259" w:lineRule="auto"/>
        <w:rPr>
          <w:rFonts w:ascii="Arial" w:hAnsi="Arial" w:eastAsia="Arial" w:cs="Arial"/>
          <w:color w:val="000000" w:themeColor="text1"/>
        </w:rPr>
      </w:pPr>
      <w:r w:rsidRPr="54B9CD1D">
        <w:rPr>
          <w:rFonts w:ascii="Arial" w:hAnsi="Arial" w:eastAsia="Arial" w:cs="Arial"/>
          <w:color w:val="000000" w:themeColor="text1"/>
        </w:rPr>
        <w:t>Information Sessions: No</w:t>
      </w:r>
    </w:p>
    <w:p w:rsidR="162B99B2" w:rsidP="54B9CD1D" w:rsidRDefault="162B99B2" w14:paraId="73E016E4" w14:textId="17834984">
      <w:pPr>
        <w:pStyle w:val="ListParagraph"/>
        <w:numPr>
          <w:ilvl w:val="0"/>
          <w:numId w:val="2"/>
        </w:numPr>
        <w:spacing w:after="160" w:line="259" w:lineRule="auto"/>
        <w:rPr>
          <w:rFonts w:ascii="Arial" w:hAnsi="Arial" w:eastAsia="Arial" w:cs="Arial"/>
          <w:color w:val="000000" w:themeColor="text1"/>
        </w:rPr>
      </w:pPr>
      <w:r w:rsidRPr="54B9CD1D">
        <w:rPr>
          <w:rFonts w:ascii="Arial" w:hAnsi="Arial" w:eastAsia="Arial" w:cs="Arial"/>
          <w:color w:val="000000" w:themeColor="text1"/>
        </w:rPr>
        <w:t>Support Networks: No</w:t>
      </w:r>
    </w:p>
    <w:p w:rsidR="162B99B2" w:rsidP="54B9CD1D" w:rsidRDefault="162B99B2" w14:paraId="7512D9EB" w14:textId="73FF02D6">
      <w:pPr>
        <w:pStyle w:val="ListParagraph"/>
        <w:numPr>
          <w:ilvl w:val="0"/>
          <w:numId w:val="2"/>
        </w:numPr>
        <w:spacing w:after="160" w:line="259" w:lineRule="auto"/>
        <w:rPr>
          <w:rFonts w:ascii="Arial" w:hAnsi="Arial" w:eastAsia="Arial" w:cs="Arial"/>
          <w:color w:val="000000" w:themeColor="text1"/>
        </w:rPr>
      </w:pPr>
      <w:r w:rsidRPr="54B9CD1D">
        <w:rPr>
          <w:rFonts w:ascii="Arial" w:hAnsi="Arial" w:eastAsia="Arial" w:cs="Arial"/>
          <w:color w:val="000000" w:themeColor="text1"/>
        </w:rPr>
        <w:t>Other: No</w:t>
      </w:r>
    </w:p>
    <w:p w:rsidR="54B9CD1D" w:rsidP="54B9CD1D" w:rsidRDefault="54B9CD1D" w14:paraId="012EE19D" w14:textId="13C9307B">
      <w:pPr>
        <w:spacing w:after="160" w:line="259" w:lineRule="auto"/>
        <w:rPr>
          <w:rFonts w:ascii="Arial" w:hAnsi="Arial" w:eastAsia="Arial" w:cs="Arial"/>
          <w:color w:val="000000" w:themeColor="text1"/>
        </w:rPr>
      </w:pPr>
    </w:p>
    <w:p w:rsidR="162B99B2" w:rsidP="54B9CD1D" w:rsidRDefault="162B99B2" w14:paraId="2983F089" w14:textId="73B6215A">
      <w:pPr>
        <w:pStyle w:val="Heading1"/>
        <w:spacing w:before="240" w:after="0"/>
        <w:rPr>
          <w:rFonts w:ascii="Arial" w:hAnsi="Arial" w:eastAsia="Arial" w:cs="Arial"/>
          <w:bCs/>
          <w:color w:val="000000" w:themeColor="text1"/>
          <w:sz w:val="22"/>
        </w:rPr>
      </w:pPr>
      <w:r w:rsidRPr="54B9CD1D">
        <w:rPr>
          <w:rFonts w:ascii="Arial" w:hAnsi="Arial" w:eastAsia="Arial" w:cs="Arial"/>
          <w:bCs/>
          <w:color w:val="000000" w:themeColor="text1"/>
          <w:sz w:val="22"/>
        </w:rPr>
        <w:t xml:space="preserve">Can you tell us about a time when someone helped you (or a person with disability) to make a big decision? </w:t>
      </w:r>
    </w:p>
    <w:p w:rsidR="162B99B2" w:rsidP="54B9CD1D" w:rsidRDefault="162B99B2" w14:paraId="09C0B548" w14:textId="128E79C0">
      <w:pPr>
        <w:spacing w:after="160" w:line="259" w:lineRule="auto"/>
        <w:ind w:left="284"/>
        <w:rPr>
          <w:rFonts w:ascii="Arial" w:hAnsi="Arial" w:eastAsia="Arial" w:cs="Arial"/>
          <w:color w:val="000000" w:themeColor="text1"/>
        </w:rPr>
      </w:pPr>
      <w:r w:rsidRPr="54B9CD1D">
        <w:rPr>
          <w:rFonts w:ascii="Arial" w:hAnsi="Arial" w:eastAsia="Arial" w:cs="Arial"/>
          <w:color w:val="000000" w:themeColor="text1"/>
        </w:rPr>
        <w:t>No answer recorded</w:t>
      </w:r>
    </w:p>
    <w:p w:rsidR="162B99B2" w:rsidP="54B9CD1D" w:rsidRDefault="162B99B2" w14:paraId="2D8D5789" w14:textId="248C57BB">
      <w:pPr>
        <w:pStyle w:val="Heading2"/>
        <w:spacing w:before="40" w:after="0"/>
        <w:ind w:firstLine="284"/>
        <w:rPr>
          <w:rFonts w:ascii="Arial" w:hAnsi="Arial" w:eastAsia="Arial" w:cs="Arial"/>
          <w:bCs/>
          <w:color w:val="000000" w:themeColor="text1"/>
          <w:sz w:val="22"/>
        </w:rPr>
      </w:pPr>
      <w:r w:rsidRPr="54B9CD1D">
        <w:rPr>
          <w:rFonts w:ascii="Arial" w:hAnsi="Arial" w:eastAsia="Arial" w:cs="Arial"/>
          <w:bCs/>
          <w:color w:val="000000" w:themeColor="text1"/>
          <w:sz w:val="22"/>
        </w:rPr>
        <w:t xml:space="preserve">What worked well? </w:t>
      </w:r>
    </w:p>
    <w:p w:rsidR="162B99B2" w:rsidP="54B9CD1D" w:rsidRDefault="162B99B2" w14:paraId="3FF068D7" w14:textId="441B91FC">
      <w:pPr>
        <w:spacing w:after="160" w:line="259" w:lineRule="auto"/>
        <w:ind w:left="284"/>
        <w:rPr>
          <w:rFonts w:ascii="Arial" w:hAnsi="Arial" w:eastAsia="Arial" w:cs="Arial"/>
          <w:color w:val="000000" w:themeColor="text1"/>
        </w:rPr>
      </w:pPr>
      <w:r w:rsidRPr="54B9CD1D">
        <w:rPr>
          <w:rFonts w:ascii="Arial" w:hAnsi="Arial" w:eastAsia="Arial" w:cs="Arial"/>
          <w:color w:val="000000" w:themeColor="text1"/>
        </w:rPr>
        <w:t>No answer recorded</w:t>
      </w:r>
    </w:p>
    <w:p w:rsidR="162B99B2" w:rsidP="54B9CD1D" w:rsidRDefault="162B99B2" w14:paraId="45930AC5" w14:textId="7DDE5262">
      <w:pPr>
        <w:pStyle w:val="Heading2"/>
        <w:spacing w:before="40" w:after="0"/>
        <w:ind w:firstLine="284"/>
        <w:rPr>
          <w:rFonts w:ascii="Arial" w:hAnsi="Arial" w:eastAsia="Arial" w:cs="Arial"/>
          <w:bCs/>
          <w:color w:val="000000" w:themeColor="text1"/>
          <w:sz w:val="22"/>
        </w:rPr>
      </w:pPr>
      <w:r w:rsidRPr="54B9CD1D">
        <w:rPr>
          <w:rFonts w:ascii="Arial" w:hAnsi="Arial" w:eastAsia="Arial" w:cs="Arial"/>
          <w:bCs/>
          <w:color w:val="000000" w:themeColor="text1"/>
          <w:sz w:val="22"/>
        </w:rPr>
        <w:t xml:space="preserve">What could have been better? </w:t>
      </w:r>
    </w:p>
    <w:p w:rsidR="162B99B2" w:rsidP="54B9CD1D" w:rsidRDefault="162B99B2" w14:paraId="00B1D960" w14:textId="5B02753C">
      <w:pPr>
        <w:spacing w:after="160" w:line="259" w:lineRule="auto"/>
        <w:ind w:left="284"/>
        <w:rPr>
          <w:rFonts w:ascii="Arial" w:hAnsi="Arial" w:eastAsia="Arial" w:cs="Arial"/>
          <w:color w:val="000000" w:themeColor="text1"/>
        </w:rPr>
      </w:pPr>
      <w:r w:rsidRPr="54B9CD1D">
        <w:rPr>
          <w:rFonts w:ascii="Arial" w:hAnsi="Arial" w:eastAsia="Arial" w:cs="Arial"/>
          <w:color w:val="000000" w:themeColor="text1"/>
        </w:rPr>
        <w:t>No answer recorded</w:t>
      </w:r>
    </w:p>
    <w:p w:rsidR="54B9CD1D" w:rsidP="54B9CD1D" w:rsidRDefault="54B9CD1D" w14:paraId="721FFF2D" w14:textId="5154BF65">
      <w:pPr>
        <w:spacing w:after="160" w:line="259" w:lineRule="auto"/>
        <w:rPr>
          <w:rFonts w:ascii="Arial" w:hAnsi="Arial" w:eastAsia="Arial" w:cs="Arial"/>
          <w:color w:val="000000" w:themeColor="text1"/>
        </w:rPr>
      </w:pPr>
    </w:p>
    <w:p w:rsidR="162B99B2" w:rsidP="54B9CD1D" w:rsidRDefault="162B99B2" w14:paraId="29431610" w14:textId="4466C5AA">
      <w:pPr>
        <w:pStyle w:val="Heading1"/>
        <w:spacing w:before="240" w:after="0"/>
        <w:rPr>
          <w:rFonts w:ascii="Arial" w:hAnsi="Arial" w:eastAsia="Arial" w:cs="Arial"/>
          <w:bCs/>
          <w:color w:val="000000" w:themeColor="text1"/>
          <w:sz w:val="22"/>
        </w:rPr>
      </w:pPr>
      <w:r w:rsidRPr="54B9CD1D">
        <w:rPr>
          <w:rFonts w:ascii="Arial" w:hAnsi="Arial" w:eastAsia="Arial" w:cs="Arial"/>
          <w:bCs/>
          <w:color w:val="000000" w:themeColor="text1"/>
          <w:sz w:val="22"/>
        </w:rPr>
        <w:t>What is the best way to support people with disability to make decisions about their NDIS plan?</w:t>
      </w:r>
    </w:p>
    <w:p w:rsidR="162B99B2" w:rsidP="54B9CD1D" w:rsidRDefault="162B99B2" w14:paraId="6E76FE2E" w14:textId="1461EE0D">
      <w:pPr>
        <w:pStyle w:val="ListParagraph"/>
        <w:numPr>
          <w:ilvl w:val="0"/>
          <w:numId w:val="1"/>
        </w:numPr>
        <w:spacing w:after="160" w:line="259" w:lineRule="auto"/>
        <w:rPr>
          <w:rFonts w:ascii="Arial" w:hAnsi="Arial" w:eastAsia="Arial" w:cs="Arial"/>
          <w:color w:val="000000" w:themeColor="text1"/>
        </w:rPr>
      </w:pPr>
      <w:r w:rsidRPr="54B9CD1D">
        <w:rPr>
          <w:rFonts w:ascii="Arial" w:hAnsi="Arial" w:eastAsia="Arial" w:cs="Arial"/>
          <w:color w:val="000000" w:themeColor="text1"/>
        </w:rPr>
        <w:t>Practice: No</w:t>
      </w:r>
    </w:p>
    <w:p w:rsidR="162B99B2" w:rsidP="54B9CD1D" w:rsidRDefault="162B99B2" w14:paraId="4FF93CEB" w14:textId="253D9790">
      <w:pPr>
        <w:pStyle w:val="ListParagraph"/>
        <w:numPr>
          <w:ilvl w:val="0"/>
          <w:numId w:val="1"/>
        </w:numPr>
        <w:spacing w:after="160" w:line="259" w:lineRule="auto"/>
        <w:rPr>
          <w:rFonts w:ascii="Arial" w:hAnsi="Arial" w:eastAsia="Arial" w:cs="Arial"/>
          <w:color w:val="000000" w:themeColor="text1"/>
        </w:rPr>
      </w:pPr>
      <w:r w:rsidRPr="54B9CD1D">
        <w:rPr>
          <w:rFonts w:ascii="Arial" w:hAnsi="Arial" w:eastAsia="Arial" w:cs="Arial"/>
          <w:color w:val="000000" w:themeColor="text1"/>
        </w:rPr>
        <w:t>Peer Support Networks: No</w:t>
      </w:r>
    </w:p>
    <w:p w:rsidR="162B99B2" w:rsidP="54B9CD1D" w:rsidRDefault="162B99B2" w14:paraId="74159E82" w14:textId="678364ED">
      <w:pPr>
        <w:pStyle w:val="ListParagraph"/>
        <w:numPr>
          <w:ilvl w:val="0"/>
          <w:numId w:val="1"/>
        </w:numPr>
        <w:spacing w:after="160" w:line="259" w:lineRule="auto"/>
        <w:rPr>
          <w:rFonts w:ascii="Arial" w:hAnsi="Arial" w:eastAsia="Arial" w:cs="Arial"/>
          <w:color w:val="000000" w:themeColor="text1"/>
        </w:rPr>
      </w:pPr>
      <w:r w:rsidRPr="54B9CD1D">
        <w:rPr>
          <w:rFonts w:ascii="Arial" w:hAnsi="Arial" w:eastAsia="Arial" w:cs="Arial"/>
          <w:color w:val="000000" w:themeColor="text1"/>
        </w:rPr>
        <w:t>Information and Resources: No</w:t>
      </w:r>
    </w:p>
    <w:p w:rsidR="162B99B2" w:rsidP="54B9CD1D" w:rsidRDefault="162B99B2" w14:paraId="06F70DB4" w14:textId="7BA6A849">
      <w:pPr>
        <w:pStyle w:val="ListParagraph"/>
        <w:numPr>
          <w:ilvl w:val="0"/>
          <w:numId w:val="1"/>
        </w:numPr>
        <w:spacing w:after="160" w:line="259" w:lineRule="auto"/>
        <w:rPr>
          <w:rFonts w:ascii="Arial" w:hAnsi="Arial" w:eastAsia="Arial" w:cs="Arial"/>
          <w:color w:val="000000" w:themeColor="text1"/>
        </w:rPr>
      </w:pPr>
      <w:r w:rsidRPr="54B9CD1D">
        <w:rPr>
          <w:rFonts w:ascii="Arial" w:hAnsi="Arial" w:eastAsia="Arial" w:cs="Arial"/>
          <w:color w:val="000000" w:themeColor="text1"/>
        </w:rPr>
        <w:t>Guidance Tools: No</w:t>
      </w:r>
    </w:p>
    <w:p w:rsidR="162B99B2" w:rsidP="54B9CD1D" w:rsidRDefault="162B99B2" w14:paraId="5F8DA79B" w14:textId="047F834B">
      <w:pPr>
        <w:pStyle w:val="ListParagraph"/>
        <w:numPr>
          <w:ilvl w:val="0"/>
          <w:numId w:val="1"/>
        </w:numPr>
        <w:spacing w:after="160" w:line="259" w:lineRule="auto"/>
        <w:rPr>
          <w:rFonts w:ascii="Arial" w:hAnsi="Arial" w:eastAsia="Arial" w:cs="Arial"/>
          <w:color w:val="000000" w:themeColor="text1"/>
        </w:rPr>
      </w:pPr>
      <w:r w:rsidRPr="54B9CD1D">
        <w:rPr>
          <w:rFonts w:ascii="Arial" w:hAnsi="Arial" w:eastAsia="Arial" w:cs="Arial"/>
          <w:color w:val="000000" w:themeColor="text1"/>
        </w:rPr>
        <w:t>Not Sure: No</w:t>
      </w:r>
    </w:p>
    <w:p w:rsidR="162B99B2" w:rsidP="54B9CD1D" w:rsidRDefault="162B99B2" w14:paraId="1CF85455" w14:textId="36FA2E14">
      <w:pPr>
        <w:pStyle w:val="ListParagraph"/>
        <w:numPr>
          <w:ilvl w:val="0"/>
          <w:numId w:val="1"/>
        </w:numPr>
        <w:spacing w:after="160" w:line="259" w:lineRule="auto"/>
        <w:rPr>
          <w:rFonts w:ascii="Arial" w:hAnsi="Arial" w:eastAsia="Arial" w:cs="Arial"/>
          <w:color w:val="000000" w:themeColor="text1"/>
        </w:rPr>
      </w:pPr>
      <w:r w:rsidRPr="54B9CD1D">
        <w:rPr>
          <w:rFonts w:ascii="Arial" w:hAnsi="Arial" w:eastAsia="Arial" w:cs="Arial"/>
          <w:color w:val="000000" w:themeColor="text1"/>
        </w:rPr>
        <w:t>Other: No</w:t>
      </w:r>
    </w:p>
    <w:p w:rsidR="54B9CD1D" w:rsidP="54B9CD1D" w:rsidRDefault="54B9CD1D" w14:paraId="6DDFBFA1" w14:textId="5C7DF2A7">
      <w:pPr>
        <w:spacing w:after="80" w:line="240" w:lineRule="auto"/>
        <w:ind w:left="1080"/>
        <w:rPr>
          <w:rFonts w:ascii="Arial" w:hAnsi="Arial" w:eastAsia="Arial" w:cs="Arial"/>
          <w:color w:val="000000" w:themeColor="text1"/>
        </w:rPr>
      </w:pPr>
    </w:p>
    <w:p w:rsidR="162B99B2" w:rsidP="54B9CD1D" w:rsidRDefault="162B99B2" w14:paraId="4A0B4AEE" w14:textId="170DB195">
      <w:pPr>
        <w:pStyle w:val="Heading1"/>
        <w:spacing w:before="240" w:after="0"/>
        <w:rPr>
          <w:rFonts w:ascii="Arial" w:hAnsi="Arial" w:eastAsia="Arial" w:cs="Arial"/>
          <w:bCs/>
          <w:color w:val="000000" w:themeColor="text1"/>
          <w:sz w:val="22"/>
        </w:rPr>
      </w:pPr>
      <w:r w:rsidRPr="54B9CD1D">
        <w:rPr>
          <w:rFonts w:ascii="Arial" w:hAnsi="Arial" w:eastAsia="Arial" w:cs="Arial"/>
          <w:bCs/>
          <w:color w:val="000000" w:themeColor="text1"/>
          <w:sz w:val="22"/>
        </w:rPr>
        <w:t>Are there different things to consider for people with different disabilities or cultural backgrounds?</w:t>
      </w:r>
    </w:p>
    <w:p w:rsidR="162B99B2" w:rsidP="54B9CD1D" w:rsidRDefault="162B99B2" w14:paraId="41C49ED8" w14:textId="176574D0">
      <w:pPr>
        <w:spacing w:after="160" w:line="259" w:lineRule="auto"/>
        <w:ind w:left="426"/>
        <w:rPr>
          <w:rFonts w:ascii="Arial" w:hAnsi="Arial" w:eastAsia="Arial" w:cs="Arial"/>
          <w:color w:val="000000" w:themeColor="text1"/>
        </w:rPr>
      </w:pPr>
      <w:r w:rsidRPr="54B9CD1D">
        <w:rPr>
          <w:rFonts w:ascii="Arial" w:hAnsi="Arial" w:eastAsia="Arial" w:cs="Arial"/>
          <w:b/>
          <w:bCs/>
          <w:color w:val="000000" w:themeColor="text1"/>
        </w:rPr>
        <w:t>An intellectual disability:</w:t>
      </w:r>
      <w:r w:rsidRPr="54B9CD1D">
        <w:rPr>
          <w:rFonts w:ascii="Arial" w:hAnsi="Arial" w:eastAsia="Arial" w:cs="Arial"/>
          <w:color w:val="000000" w:themeColor="text1"/>
        </w:rPr>
        <w:t xml:space="preserve"> No </w:t>
      </w:r>
    </w:p>
    <w:p w:rsidR="162B99B2" w:rsidP="54B9CD1D" w:rsidRDefault="162B99B2" w14:paraId="3167DC30" w14:textId="0FAA0DF7">
      <w:pPr>
        <w:spacing w:after="160" w:line="259" w:lineRule="auto"/>
        <w:ind w:left="426"/>
        <w:rPr>
          <w:rFonts w:ascii="Arial" w:hAnsi="Arial" w:eastAsia="Arial" w:cs="Arial"/>
          <w:color w:val="000000" w:themeColor="text1"/>
        </w:rPr>
      </w:pPr>
      <w:r w:rsidRPr="54B9CD1D">
        <w:rPr>
          <w:rFonts w:ascii="Arial" w:hAnsi="Arial" w:eastAsia="Arial" w:cs="Arial"/>
          <w:b/>
          <w:bCs/>
          <w:color w:val="000000" w:themeColor="text1"/>
        </w:rPr>
        <w:t xml:space="preserve">A disability that impacts how they think, a cognitive impairment: </w:t>
      </w:r>
      <w:r w:rsidRPr="54B9CD1D">
        <w:rPr>
          <w:rFonts w:ascii="Arial" w:hAnsi="Arial" w:eastAsia="Arial" w:cs="Arial"/>
          <w:color w:val="000000" w:themeColor="text1"/>
        </w:rPr>
        <w:t xml:space="preserve">No </w:t>
      </w:r>
    </w:p>
    <w:p w:rsidR="162B99B2" w:rsidP="54B9CD1D" w:rsidRDefault="162B99B2" w14:paraId="026264A6" w14:textId="641DD560">
      <w:pPr>
        <w:spacing w:after="160" w:line="259" w:lineRule="auto"/>
        <w:ind w:left="426"/>
        <w:rPr>
          <w:rFonts w:ascii="Arial" w:hAnsi="Arial" w:eastAsia="Arial" w:cs="Arial"/>
          <w:color w:val="000000" w:themeColor="text1"/>
        </w:rPr>
      </w:pPr>
      <w:r w:rsidRPr="54B9CD1D">
        <w:rPr>
          <w:rFonts w:ascii="Arial" w:hAnsi="Arial" w:eastAsia="Arial" w:cs="Arial"/>
          <w:b/>
          <w:bCs/>
          <w:color w:val="000000" w:themeColor="text1"/>
        </w:rPr>
        <w:t xml:space="preserve">A psychosocial disability: </w:t>
      </w:r>
      <w:r w:rsidRPr="54B9CD1D">
        <w:rPr>
          <w:rFonts w:ascii="Arial" w:hAnsi="Arial" w:eastAsia="Arial" w:cs="Arial"/>
          <w:color w:val="000000" w:themeColor="text1"/>
        </w:rPr>
        <w:t xml:space="preserve">No </w:t>
      </w:r>
    </w:p>
    <w:p w:rsidR="162B99B2" w:rsidP="54B9CD1D" w:rsidRDefault="162B99B2" w14:paraId="4AA97988" w14:textId="14CF20A2">
      <w:pPr>
        <w:spacing w:after="160" w:line="259" w:lineRule="auto"/>
        <w:ind w:left="426"/>
        <w:rPr>
          <w:rFonts w:ascii="Arial" w:hAnsi="Arial" w:eastAsia="Arial" w:cs="Arial"/>
          <w:color w:val="000000" w:themeColor="text1"/>
        </w:rPr>
      </w:pPr>
      <w:r w:rsidRPr="54B9CD1D">
        <w:rPr>
          <w:rFonts w:ascii="Arial" w:hAnsi="Arial" w:eastAsia="Arial" w:cs="Arial"/>
          <w:b/>
          <w:bCs/>
          <w:color w:val="000000" w:themeColor="text1"/>
        </w:rPr>
        <w:t xml:space="preserve">A disability that impacts their ability to communicate: </w:t>
      </w:r>
      <w:r w:rsidRPr="54B9CD1D">
        <w:rPr>
          <w:rFonts w:ascii="Arial" w:hAnsi="Arial" w:eastAsia="Arial" w:cs="Arial"/>
          <w:color w:val="000000" w:themeColor="text1"/>
        </w:rPr>
        <w:t xml:space="preserve">No </w:t>
      </w:r>
    </w:p>
    <w:p w:rsidR="162B99B2" w:rsidP="54B9CD1D" w:rsidRDefault="162B99B2" w14:paraId="4635B2F5" w14:textId="569A02F1">
      <w:pPr>
        <w:spacing w:after="160" w:line="259" w:lineRule="auto"/>
        <w:ind w:left="426"/>
        <w:rPr>
          <w:rFonts w:ascii="Arial" w:hAnsi="Arial" w:eastAsia="Arial" w:cs="Arial"/>
          <w:color w:val="000000" w:themeColor="text1"/>
        </w:rPr>
      </w:pPr>
      <w:r w:rsidRPr="54B9CD1D">
        <w:rPr>
          <w:rFonts w:ascii="Arial" w:hAnsi="Arial" w:eastAsia="Arial" w:cs="Arial"/>
          <w:b/>
          <w:bCs/>
          <w:color w:val="000000" w:themeColor="text1"/>
        </w:rPr>
        <w:t>From a CALD community:</w:t>
      </w:r>
      <w:r w:rsidRPr="54B9CD1D">
        <w:rPr>
          <w:rFonts w:ascii="Arial" w:hAnsi="Arial" w:eastAsia="Arial" w:cs="Arial"/>
          <w:color w:val="000000" w:themeColor="text1"/>
        </w:rPr>
        <w:t xml:space="preserve"> No </w:t>
      </w:r>
    </w:p>
    <w:p w:rsidR="162B99B2" w:rsidP="54B9CD1D" w:rsidRDefault="162B99B2" w14:paraId="03E296B3" w14:textId="4AE23C91">
      <w:pPr>
        <w:spacing w:after="160" w:line="259" w:lineRule="auto"/>
        <w:ind w:left="426"/>
        <w:rPr>
          <w:rFonts w:ascii="Arial" w:hAnsi="Arial" w:eastAsia="Arial" w:cs="Arial"/>
          <w:color w:val="000000" w:themeColor="text1"/>
        </w:rPr>
      </w:pPr>
      <w:r w:rsidRPr="54B9CD1D">
        <w:rPr>
          <w:rFonts w:ascii="Arial" w:hAnsi="Arial" w:eastAsia="Arial" w:cs="Arial"/>
          <w:b/>
          <w:bCs/>
          <w:color w:val="000000" w:themeColor="text1"/>
        </w:rPr>
        <w:t>From an Aboriginal or Torres Strait Islander Community:</w:t>
      </w:r>
      <w:r w:rsidRPr="54B9CD1D">
        <w:rPr>
          <w:rFonts w:ascii="Arial" w:hAnsi="Arial" w:eastAsia="Arial" w:cs="Arial"/>
          <w:color w:val="000000" w:themeColor="text1"/>
        </w:rPr>
        <w:t xml:space="preserve"> No </w:t>
      </w:r>
    </w:p>
    <w:p w:rsidR="162B99B2" w:rsidP="54B9CD1D" w:rsidRDefault="162B99B2" w14:paraId="45BEA936" w14:textId="16ACF020">
      <w:pPr>
        <w:spacing w:after="160" w:line="259" w:lineRule="auto"/>
        <w:ind w:left="426"/>
        <w:rPr>
          <w:rFonts w:ascii="Arial" w:hAnsi="Arial" w:eastAsia="Arial" w:cs="Arial"/>
          <w:color w:val="000000" w:themeColor="text1"/>
        </w:rPr>
      </w:pPr>
      <w:r w:rsidRPr="54B9CD1D">
        <w:rPr>
          <w:rFonts w:ascii="Arial" w:hAnsi="Arial" w:eastAsia="Arial" w:cs="Arial"/>
          <w:b/>
          <w:bCs/>
          <w:color w:val="000000" w:themeColor="text1"/>
        </w:rPr>
        <w:t xml:space="preserve">From the LGBTIQA community: </w:t>
      </w:r>
      <w:r w:rsidRPr="54B9CD1D">
        <w:rPr>
          <w:rFonts w:ascii="Arial" w:hAnsi="Arial" w:eastAsia="Arial" w:cs="Arial"/>
          <w:color w:val="000000" w:themeColor="text1"/>
        </w:rPr>
        <w:t xml:space="preserve">No </w:t>
      </w:r>
    </w:p>
    <w:p w:rsidR="54B9CD1D" w:rsidP="54B9CD1D" w:rsidRDefault="54B9CD1D" w14:paraId="2686852C" w14:textId="44CD468A">
      <w:pPr>
        <w:spacing w:after="160" w:line="259" w:lineRule="auto"/>
        <w:rPr>
          <w:rFonts w:ascii="Arial" w:hAnsi="Arial" w:eastAsia="Arial" w:cs="Arial"/>
          <w:color w:val="000000" w:themeColor="text1"/>
        </w:rPr>
      </w:pPr>
    </w:p>
    <w:p w:rsidR="162B99B2" w:rsidP="54B9CD1D" w:rsidRDefault="162B99B2" w14:paraId="60C93AA5" w14:textId="6B13A0E1">
      <w:pPr>
        <w:pStyle w:val="Heading1"/>
        <w:spacing w:before="240" w:after="0"/>
        <w:rPr>
          <w:rFonts w:ascii="Arial" w:hAnsi="Arial" w:eastAsia="Arial" w:cs="Arial"/>
          <w:bCs/>
          <w:color w:val="000000" w:themeColor="text1"/>
          <w:sz w:val="22"/>
        </w:rPr>
      </w:pPr>
      <w:r w:rsidRPr="54B9CD1D">
        <w:rPr>
          <w:rFonts w:ascii="Arial" w:hAnsi="Arial" w:eastAsia="Arial" w:cs="Arial"/>
          <w:bCs/>
          <w:color w:val="000000" w:themeColor="text1"/>
          <w:sz w:val="22"/>
        </w:rPr>
        <w:t xml:space="preserve">How can we help reduce conflict of interest? </w:t>
      </w:r>
    </w:p>
    <w:p w:rsidR="162B99B2" w:rsidP="54B9CD1D" w:rsidRDefault="162B99B2" w14:paraId="6A9A1D96" w14:textId="4E78E6AE">
      <w:pPr>
        <w:spacing w:after="160" w:line="259" w:lineRule="auto"/>
        <w:ind w:left="284"/>
        <w:rPr>
          <w:rFonts w:ascii="Arial" w:hAnsi="Arial" w:eastAsia="Arial" w:cs="Arial"/>
          <w:color w:val="000000" w:themeColor="text1"/>
        </w:rPr>
      </w:pPr>
      <w:r w:rsidRPr="54B9CD1D">
        <w:rPr>
          <w:rFonts w:ascii="Arial" w:hAnsi="Arial" w:eastAsia="Arial" w:cs="Arial"/>
          <w:color w:val="000000" w:themeColor="text1"/>
        </w:rPr>
        <w:t>No response recorded</w:t>
      </w:r>
    </w:p>
    <w:p w:rsidR="54B9CD1D" w:rsidP="54B9CD1D" w:rsidRDefault="54B9CD1D" w14:paraId="35A03B36" w14:textId="76FC7A5C">
      <w:pPr>
        <w:spacing w:after="160" w:line="259" w:lineRule="auto"/>
        <w:rPr>
          <w:rFonts w:ascii="Arial" w:hAnsi="Arial" w:eastAsia="Arial" w:cs="Arial"/>
          <w:color w:val="000000" w:themeColor="text1"/>
        </w:rPr>
      </w:pPr>
    </w:p>
    <w:p w:rsidR="162B99B2" w:rsidP="54B9CD1D" w:rsidRDefault="162B99B2" w14:paraId="1BDB2301" w14:textId="51A73D33">
      <w:pPr>
        <w:pStyle w:val="Heading1"/>
        <w:spacing w:before="240" w:after="0"/>
        <w:rPr>
          <w:rFonts w:ascii="Arial" w:hAnsi="Arial" w:eastAsia="Arial" w:cs="Arial"/>
          <w:bCs/>
          <w:color w:val="000000" w:themeColor="text1"/>
          <w:sz w:val="22"/>
        </w:rPr>
      </w:pPr>
      <w:r w:rsidRPr="54B9CD1D">
        <w:rPr>
          <w:rFonts w:ascii="Arial" w:hAnsi="Arial" w:eastAsia="Arial" w:cs="Arial"/>
          <w:bCs/>
          <w:color w:val="000000" w:themeColor="text1"/>
          <w:sz w:val="22"/>
        </w:rPr>
        <w:t xml:space="preserve">How can we help reduce undue influence? </w:t>
      </w:r>
    </w:p>
    <w:p w:rsidR="162B99B2" w:rsidP="54B9CD1D" w:rsidRDefault="162B99B2" w14:paraId="53F62B96" w14:textId="5F21ACF3">
      <w:pPr>
        <w:spacing w:after="160" w:line="259" w:lineRule="auto"/>
        <w:ind w:left="284"/>
        <w:rPr>
          <w:rFonts w:ascii="Arial" w:hAnsi="Arial" w:eastAsia="Arial" w:cs="Arial"/>
          <w:color w:val="000000" w:themeColor="text1"/>
        </w:rPr>
      </w:pPr>
      <w:r w:rsidRPr="54B9CD1D">
        <w:rPr>
          <w:rFonts w:ascii="Arial" w:hAnsi="Arial" w:eastAsia="Arial" w:cs="Arial"/>
          <w:color w:val="000000" w:themeColor="text1"/>
        </w:rPr>
        <w:t>No response recorded</w:t>
      </w:r>
    </w:p>
    <w:p w:rsidR="54B9CD1D" w:rsidP="54B9CD1D" w:rsidRDefault="54B9CD1D" w14:paraId="2CC08ADD" w14:textId="46FEA516">
      <w:pPr>
        <w:spacing w:after="160" w:line="259" w:lineRule="auto"/>
        <w:rPr>
          <w:rFonts w:ascii="Arial" w:hAnsi="Arial" w:eastAsia="Arial" w:cs="Arial"/>
          <w:color w:val="000000" w:themeColor="text1"/>
        </w:rPr>
      </w:pPr>
    </w:p>
    <w:p w:rsidR="162B99B2" w:rsidP="54B9CD1D" w:rsidRDefault="162B99B2" w14:paraId="6FCB32F6" w14:textId="71ECEEAD">
      <w:pPr>
        <w:pStyle w:val="Heading1"/>
        <w:spacing w:before="240" w:after="0"/>
        <w:rPr>
          <w:rFonts w:ascii="Arial" w:hAnsi="Arial" w:eastAsia="Arial" w:cs="Arial"/>
          <w:bCs/>
          <w:color w:val="000000" w:themeColor="text1"/>
          <w:sz w:val="22"/>
        </w:rPr>
      </w:pPr>
      <w:r w:rsidRPr="54B9CD1D">
        <w:rPr>
          <w:rFonts w:ascii="Arial" w:hAnsi="Arial" w:eastAsia="Arial" w:cs="Arial"/>
          <w:bCs/>
          <w:color w:val="000000" w:themeColor="text1"/>
          <w:sz w:val="22"/>
        </w:rPr>
        <w:t xml:space="preserve">What are your concerns (if any) around people with disability being more involved in making decisions for themselves? </w:t>
      </w:r>
    </w:p>
    <w:p w:rsidR="162B99B2" w:rsidP="54B9CD1D" w:rsidRDefault="162B99B2" w14:paraId="390ED0C2" w14:textId="2B019119">
      <w:pPr>
        <w:spacing w:after="160" w:line="259" w:lineRule="auto"/>
        <w:ind w:left="284"/>
        <w:rPr>
          <w:rFonts w:ascii="Arial" w:hAnsi="Arial" w:eastAsia="Arial" w:cs="Arial"/>
          <w:color w:val="000000" w:themeColor="text1"/>
        </w:rPr>
      </w:pPr>
      <w:r w:rsidRPr="54B9CD1D">
        <w:rPr>
          <w:rFonts w:ascii="Arial" w:hAnsi="Arial" w:eastAsia="Arial" w:cs="Arial"/>
          <w:color w:val="000000" w:themeColor="text1"/>
        </w:rPr>
        <w:t>No response recorded</w:t>
      </w:r>
    </w:p>
    <w:p w:rsidR="54B9CD1D" w:rsidP="54B9CD1D" w:rsidRDefault="54B9CD1D" w14:paraId="23DA184D" w14:textId="015D9A95">
      <w:pPr>
        <w:spacing w:after="160" w:line="259" w:lineRule="auto"/>
        <w:rPr>
          <w:rFonts w:ascii="Arial" w:hAnsi="Arial" w:eastAsia="Arial" w:cs="Arial"/>
          <w:color w:val="000000" w:themeColor="text1"/>
        </w:rPr>
      </w:pPr>
    </w:p>
    <w:p w:rsidR="162B99B2" w:rsidP="54B9CD1D" w:rsidRDefault="162B99B2" w14:paraId="3694CF61" w14:textId="7A7F0B10">
      <w:pPr>
        <w:pStyle w:val="Heading1"/>
        <w:spacing w:before="240" w:after="0"/>
        <w:rPr>
          <w:rFonts w:ascii="Arial" w:hAnsi="Arial" w:eastAsia="Arial" w:cs="Arial"/>
          <w:bCs/>
          <w:color w:val="000000" w:themeColor="text1"/>
          <w:sz w:val="22"/>
        </w:rPr>
      </w:pPr>
      <w:r w:rsidRPr="54B9CD1D">
        <w:rPr>
          <w:rFonts w:ascii="Arial" w:hAnsi="Arial" w:eastAsia="Arial" w:cs="Arial"/>
          <w:bCs/>
          <w:color w:val="000000" w:themeColor="text1"/>
          <w:sz w:val="22"/>
        </w:rPr>
        <w:t xml:space="preserve">What else could we do to help people with disability to make decisions for themselves? Is there anything missing? </w:t>
      </w:r>
    </w:p>
    <w:p w:rsidR="162B99B2" w:rsidP="54B9CD1D" w:rsidRDefault="162B99B2" w14:paraId="489E1135" w14:textId="202E787F">
      <w:pPr>
        <w:spacing w:after="160" w:line="259" w:lineRule="auto"/>
        <w:ind w:left="284"/>
        <w:rPr>
          <w:rFonts w:ascii="Arial" w:hAnsi="Arial" w:eastAsia="Arial" w:cs="Arial"/>
          <w:color w:val="000000" w:themeColor="text1"/>
        </w:rPr>
      </w:pPr>
      <w:r w:rsidRPr="54B9CD1D">
        <w:rPr>
          <w:rFonts w:ascii="Arial" w:hAnsi="Arial" w:eastAsia="Arial" w:cs="Arial"/>
          <w:color w:val="000000" w:themeColor="text1"/>
        </w:rPr>
        <w:t>No response recorded</w:t>
      </w:r>
    </w:p>
    <w:p w:rsidR="54B9CD1D" w:rsidP="54B9CD1D" w:rsidRDefault="54B9CD1D" w14:paraId="1B2E882A" w14:textId="2C194219">
      <w:pPr>
        <w:spacing w:after="160" w:line="259" w:lineRule="auto"/>
        <w:rPr>
          <w:rFonts w:ascii="Arial" w:hAnsi="Arial" w:eastAsia="Arial" w:cs="Arial"/>
          <w:color w:val="000000" w:themeColor="text1"/>
        </w:rPr>
      </w:pPr>
    </w:p>
    <w:p w:rsidR="162B99B2" w:rsidP="54B9CD1D" w:rsidRDefault="162B99B2" w14:paraId="23B8B3EB" w14:textId="1C0298B9">
      <w:pPr>
        <w:pStyle w:val="Heading1"/>
        <w:spacing w:before="240" w:after="0"/>
        <w:rPr>
          <w:rFonts w:ascii="Arial" w:hAnsi="Arial" w:eastAsia="Arial" w:cs="Arial"/>
          <w:bCs/>
          <w:color w:val="000000" w:themeColor="text1"/>
          <w:sz w:val="22"/>
        </w:rPr>
      </w:pPr>
      <w:r w:rsidRPr="54B9CD1D">
        <w:rPr>
          <w:rFonts w:ascii="Arial" w:hAnsi="Arial" w:eastAsia="Arial" w:cs="Arial"/>
          <w:bCs/>
          <w:color w:val="000000" w:themeColor="text1"/>
          <w:sz w:val="22"/>
        </w:rPr>
        <w:t>Do you have any feedback on our proposed actions in Appendix C of the paper?</w:t>
      </w:r>
    </w:p>
    <w:p w:rsidR="162B99B2" w:rsidP="54B9CD1D" w:rsidRDefault="162B99B2" w14:paraId="10B94E55" w14:textId="642BA982">
      <w:pPr>
        <w:spacing w:after="160" w:line="259" w:lineRule="auto"/>
        <w:rPr>
          <w:rFonts w:ascii="Arial" w:hAnsi="Arial" w:eastAsia="Arial" w:cs="Arial"/>
          <w:color w:val="000000" w:themeColor="text1"/>
        </w:rPr>
      </w:pPr>
      <w:r w:rsidRPr="54B9CD1D">
        <w:rPr>
          <w:rFonts w:ascii="Arial" w:hAnsi="Arial" w:eastAsia="Arial" w:cs="Arial"/>
          <w:color w:val="000000" w:themeColor="text1"/>
        </w:rPr>
        <w:t>No response recorded</w:t>
      </w:r>
    </w:p>
    <w:p w:rsidR="54B9CD1D" w:rsidP="54B9CD1D" w:rsidRDefault="54B9CD1D" w14:paraId="7341330B" w14:textId="4B9BFE45">
      <w:pPr>
        <w:spacing w:after="0" w:line="259" w:lineRule="auto"/>
        <w:ind w:left="19" w:firstLine="0"/>
        <w:rPr>
          <w:rFonts w:ascii="Arial" w:hAnsi="Arial" w:eastAsia="Arial" w:cs="Arial"/>
          <w:color w:val="000000" w:themeColor="text1"/>
        </w:rPr>
      </w:pPr>
    </w:p>
    <w:sectPr w:rsidR="54B9CD1D">
      <w:footerReference w:type="even" r:id="rId13"/>
      <w:footerReference w:type="default" r:id="rId14"/>
      <w:footerReference w:type="first" r:id="rId15"/>
      <w:pgSz w:w="11899" w:h="16841" w:orient="portrait"/>
      <w:pgMar w:top="58" w:right="1392" w:bottom="1427" w:left="142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47F7" w:rsidRDefault="00DB47F7" w14:paraId="0A37501D" w14:textId="77777777">
      <w:pPr>
        <w:spacing w:after="0" w:line="240" w:lineRule="auto"/>
      </w:pPr>
      <w:r>
        <w:separator/>
      </w:r>
    </w:p>
  </w:endnote>
  <w:endnote w:type="continuationSeparator" w:id="0">
    <w:p w:rsidR="00DB47F7" w:rsidRDefault="00DB47F7" w14:paraId="5DAB6C7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86D" w:rsidRDefault="00DB47F7" w14:paraId="29552842" w14:textId="77777777">
    <w:pPr>
      <w:spacing w:after="0" w:line="259" w:lineRule="auto"/>
      <w:ind w:left="0" w:right="47" w:firstLine="0"/>
      <w:jc w:val="right"/>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4D786D" w:rsidRDefault="00DB47F7" w14:paraId="56051E44" w14:textId="77777777">
    <w:pPr>
      <w:spacing w:after="0" w:line="259" w:lineRule="auto"/>
      <w:ind w:left="18" w:firstLine="0"/>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86D" w:rsidRDefault="00DB47F7" w14:paraId="1FE1EED4" w14:textId="77777777">
    <w:pPr>
      <w:spacing w:after="0" w:line="259" w:lineRule="auto"/>
      <w:ind w:left="0" w:right="47" w:firstLine="0"/>
      <w:jc w:val="right"/>
    </w:pPr>
    <w:r>
      <w:fldChar w:fldCharType="begin"/>
    </w:r>
    <w:r>
      <w:instrText xml:space="preserve"> PAGE   \* MERGEFORMAT </w:instrText>
    </w:r>
    <w:r>
      <w:fldChar w:fldCharType="separate"/>
    </w:r>
    <w:r w:rsidRPr="0001075C" w:rsidR="0001075C">
      <w:rPr>
        <w:noProof/>
        <w:sz w:val="18"/>
      </w:rPr>
      <w:t>4</w:t>
    </w:r>
    <w:r>
      <w:rPr>
        <w:sz w:val="18"/>
      </w:rPr>
      <w:fldChar w:fldCharType="end"/>
    </w:r>
    <w:r>
      <w:rPr>
        <w:sz w:val="18"/>
      </w:rPr>
      <w:t xml:space="preserve"> </w:t>
    </w:r>
  </w:p>
  <w:p w:rsidR="004D786D" w:rsidRDefault="00DB47F7" w14:paraId="752553BD" w14:textId="77777777">
    <w:pPr>
      <w:spacing w:after="0" w:line="259" w:lineRule="auto"/>
      <w:ind w:left="18" w:firstLine="0"/>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86D" w:rsidRDefault="004D786D" w14:paraId="672A6659" w14:textId="7777777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47F7" w:rsidRDefault="00DB47F7" w14:paraId="02EB378F" w14:textId="77777777">
      <w:pPr>
        <w:spacing w:after="0" w:line="259" w:lineRule="auto"/>
        <w:ind w:left="18" w:firstLine="0"/>
      </w:pPr>
      <w:r>
        <w:separator/>
      </w:r>
    </w:p>
  </w:footnote>
  <w:footnote w:type="continuationSeparator" w:id="0">
    <w:p w:rsidR="00DB47F7" w:rsidRDefault="00DB47F7" w14:paraId="6A05A809" w14:textId="77777777">
      <w:pPr>
        <w:spacing w:after="0" w:line="259" w:lineRule="auto"/>
        <w:ind w:left="18" w:firstLine="0"/>
      </w:pPr>
      <w:r>
        <w:continuationSeparator/>
      </w:r>
    </w:p>
  </w:footnote>
  <w:footnote w:id="1">
    <w:p w:rsidR="004D786D" w:rsidRDefault="00DB47F7" w14:paraId="58FF2B19" w14:textId="77777777">
      <w:pPr>
        <w:pStyle w:val="footnotedescription"/>
      </w:pPr>
      <w:r>
        <w:rPr>
          <w:rStyle w:val="footnotemark"/>
        </w:rPr>
        <w:footnoteRef/>
      </w:r>
      <w:r>
        <w:t xml:space="preserve"> Unless otherwise specified, all page references are to this document. </w:t>
      </w:r>
    </w:p>
  </w:footnote>
  <w:footnote w:id="2">
    <w:p w:rsidR="004D786D" w:rsidRDefault="00DB47F7" w14:paraId="3C479FBF" w14:textId="77777777">
      <w:pPr>
        <w:pStyle w:val="footnotedescription"/>
        <w:spacing w:after="75" w:line="216" w:lineRule="auto"/>
        <w:ind w:left="0" w:firstLine="18"/>
      </w:pPr>
      <w:r>
        <w:rPr>
          <w:rStyle w:val="footnotemark"/>
        </w:rPr>
        <w:footnoteRef/>
      </w:r>
      <w:r>
        <w:t xml:space="preserve"> UNSW Social Policy Research Centre, </w:t>
      </w:r>
      <w:r>
        <w:rPr>
          <w:sz w:val="21"/>
        </w:rPr>
        <w:t>Good Practice in Supported Decision-making for People with Disability – Final Report</w:t>
      </w:r>
      <w:r>
        <w:t xml:space="preserve">, Prepared for Australian Government, Department of Social Services (2021), 29-36. </w:t>
      </w:r>
    </w:p>
  </w:footnote>
  <w:footnote w:id="3">
    <w:p w:rsidR="004D786D" w:rsidRDefault="00DB47F7" w14:paraId="21CD05EE" w14:textId="77777777">
      <w:pPr>
        <w:pStyle w:val="footnotedescription"/>
      </w:pPr>
      <w:r>
        <w:rPr>
          <w:rStyle w:val="footnotemark"/>
        </w:rPr>
        <w:footnoteRef/>
      </w:r>
      <w:r>
        <w:t xml:space="preserve"> ALRC Final Report 124, </w:t>
      </w:r>
      <w:r>
        <w:rPr>
          <w:sz w:val="21"/>
        </w:rPr>
        <w:t>Equality, Capacity and Disability in Commonwealth Laws</w:t>
      </w:r>
      <w:r>
        <w:t xml:space="preserve"> (August 2014).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129"/>
    <w:multiLevelType w:val="hybridMultilevel"/>
    <w:tmpl w:val="FFFFFFFF"/>
    <w:lvl w:ilvl="0" w:tplc="8566359E">
      <w:start w:val="1"/>
      <w:numFmt w:val="bullet"/>
      <w:lvlText w:val=""/>
      <w:lvlJc w:val="left"/>
      <w:pPr>
        <w:ind w:left="720" w:hanging="360"/>
      </w:pPr>
      <w:rPr>
        <w:rFonts w:hint="default" w:ascii="Symbol" w:hAnsi="Symbol"/>
      </w:rPr>
    </w:lvl>
    <w:lvl w:ilvl="1" w:tplc="6B808032">
      <w:start w:val="1"/>
      <w:numFmt w:val="bullet"/>
      <w:lvlText w:val="o"/>
      <w:lvlJc w:val="left"/>
      <w:pPr>
        <w:ind w:left="1440" w:hanging="360"/>
      </w:pPr>
      <w:rPr>
        <w:rFonts w:hint="default" w:ascii="Courier New" w:hAnsi="Courier New"/>
      </w:rPr>
    </w:lvl>
    <w:lvl w:ilvl="2" w:tplc="9FFE55B0">
      <w:start w:val="1"/>
      <w:numFmt w:val="bullet"/>
      <w:lvlText w:val=""/>
      <w:lvlJc w:val="left"/>
      <w:pPr>
        <w:ind w:left="2160" w:hanging="360"/>
      </w:pPr>
      <w:rPr>
        <w:rFonts w:hint="default" w:ascii="Wingdings" w:hAnsi="Wingdings"/>
      </w:rPr>
    </w:lvl>
    <w:lvl w:ilvl="3" w:tplc="BBD4308C">
      <w:start w:val="1"/>
      <w:numFmt w:val="bullet"/>
      <w:lvlText w:val=""/>
      <w:lvlJc w:val="left"/>
      <w:pPr>
        <w:ind w:left="2880" w:hanging="360"/>
      </w:pPr>
      <w:rPr>
        <w:rFonts w:hint="default" w:ascii="Symbol" w:hAnsi="Symbol"/>
      </w:rPr>
    </w:lvl>
    <w:lvl w:ilvl="4" w:tplc="F8629142">
      <w:start w:val="1"/>
      <w:numFmt w:val="bullet"/>
      <w:lvlText w:val="o"/>
      <w:lvlJc w:val="left"/>
      <w:pPr>
        <w:ind w:left="3600" w:hanging="360"/>
      </w:pPr>
      <w:rPr>
        <w:rFonts w:hint="default" w:ascii="Courier New" w:hAnsi="Courier New"/>
      </w:rPr>
    </w:lvl>
    <w:lvl w:ilvl="5" w:tplc="F9641928">
      <w:start w:val="1"/>
      <w:numFmt w:val="bullet"/>
      <w:lvlText w:val=""/>
      <w:lvlJc w:val="left"/>
      <w:pPr>
        <w:ind w:left="4320" w:hanging="360"/>
      </w:pPr>
      <w:rPr>
        <w:rFonts w:hint="default" w:ascii="Wingdings" w:hAnsi="Wingdings"/>
      </w:rPr>
    </w:lvl>
    <w:lvl w:ilvl="6" w:tplc="7B166F64">
      <w:start w:val="1"/>
      <w:numFmt w:val="bullet"/>
      <w:lvlText w:val=""/>
      <w:lvlJc w:val="left"/>
      <w:pPr>
        <w:ind w:left="5040" w:hanging="360"/>
      </w:pPr>
      <w:rPr>
        <w:rFonts w:hint="default" w:ascii="Symbol" w:hAnsi="Symbol"/>
      </w:rPr>
    </w:lvl>
    <w:lvl w:ilvl="7" w:tplc="DE7E3C46">
      <w:start w:val="1"/>
      <w:numFmt w:val="bullet"/>
      <w:lvlText w:val="o"/>
      <w:lvlJc w:val="left"/>
      <w:pPr>
        <w:ind w:left="5760" w:hanging="360"/>
      </w:pPr>
      <w:rPr>
        <w:rFonts w:hint="default" w:ascii="Courier New" w:hAnsi="Courier New"/>
      </w:rPr>
    </w:lvl>
    <w:lvl w:ilvl="8" w:tplc="B3241150">
      <w:start w:val="1"/>
      <w:numFmt w:val="bullet"/>
      <w:lvlText w:val=""/>
      <w:lvlJc w:val="left"/>
      <w:pPr>
        <w:ind w:left="6480" w:hanging="360"/>
      </w:pPr>
      <w:rPr>
        <w:rFonts w:hint="default" w:ascii="Wingdings" w:hAnsi="Wingdings"/>
      </w:rPr>
    </w:lvl>
  </w:abstractNum>
  <w:abstractNum w:abstractNumId="1" w15:restartNumberingAfterBreak="0">
    <w:nsid w:val="2EFA6156"/>
    <w:multiLevelType w:val="hybridMultilevel"/>
    <w:tmpl w:val="FFFFFFFF"/>
    <w:lvl w:ilvl="0" w:tplc="E9202EB8">
      <w:start w:val="1"/>
      <w:numFmt w:val="bullet"/>
      <w:lvlText w:val=""/>
      <w:lvlJc w:val="left"/>
      <w:pPr>
        <w:ind w:left="720" w:hanging="360"/>
      </w:pPr>
      <w:rPr>
        <w:rFonts w:hint="default" w:ascii="Symbol" w:hAnsi="Symbol"/>
      </w:rPr>
    </w:lvl>
    <w:lvl w:ilvl="1" w:tplc="C1043774">
      <w:start w:val="1"/>
      <w:numFmt w:val="bullet"/>
      <w:lvlText w:val="o"/>
      <w:lvlJc w:val="left"/>
      <w:pPr>
        <w:ind w:left="1440" w:hanging="360"/>
      </w:pPr>
      <w:rPr>
        <w:rFonts w:hint="default" w:ascii="Courier New" w:hAnsi="Courier New"/>
      </w:rPr>
    </w:lvl>
    <w:lvl w:ilvl="2" w:tplc="DB027234">
      <w:start w:val="1"/>
      <w:numFmt w:val="bullet"/>
      <w:lvlText w:val=""/>
      <w:lvlJc w:val="left"/>
      <w:pPr>
        <w:ind w:left="2160" w:hanging="360"/>
      </w:pPr>
      <w:rPr>
        <w:rFonts w:hint="default" w:ascii="Wingdings" w:hAnsi="Wingdings"/>
      </w:rPr>
    </w:lvl>
    <w:lvl w:ilvl="3" w:tplc="B402443E">
      <w:start w:val="1"/>
      <w:numFmt w:val="bullet"/>
      <w:lvlText w:val=""/>
      <w:lvlJc w:val="left"/>
      <w:pPr>
        <w:ind w:left="2880" w:hanging="360"/>
      </w:pPr>
      <w:rPr>
        <w:rFonts w:hint="default" w:ascii="Symbol" w:hAnsi="Symbol"/>
      </w:rPr>
    </w:lvl>
    <w:lvl w:ilvl="4" w:tplc="502E6F3C">
      <w:start w:val="1"/>
      <w:numFmt w:val="bullet"/>
      <w:lvlText w:val="o"/>
      <w:lvlJc w:val="left"/>
      <w:pPr>
        <w:ind w:left="3600" w:hanging="360"/>
      </w:pPr>
      <w:rPr>
        <w:rFonts w:hint="default" w:ascii="Courier New" w:hAnsi="Courier New"/>
      </w:rPr>
    </w:lvl>
    <w:lvl w:ilvl="5" w:tplc="E5E07204">
      <w:start w:val="1"/>
      <w:numFmt w:val="bullet"/>
      <w:lvlText w:val=""/>
      <w:lvlJc w:val="left"/>
      <w:pPr>
        <w:ind w:left="4320" w:hanging="360"/>
      </w:pPr>
      <w:rPr>
        <w:rFonts w:hint="default" w:ascii="Wingdings" w:hAnsi="Wingdings"/>
      </w:rPr>
    </w:lvl>
    <w:lvl w:ilvl="6" w:tplc="5C5C9D1A">
      <w:start w:val="1"/>
      <w:numFmt w:val="bullet"/>
      <w:lvlText w:val=""/>
      <w:lvlJc w:val="left"/>
      <w:pPr>
        <w:ind w:left="5040" w:hanging="360"/>
      </w:pPr>
      <w:rPr>
        <w:rFonts w:hint="default" w:ascii="Symbol" w:hAnsi="Symbol"/>
      </w:rPr>
    </w:lvl>
    <w:lvl w:ilvl="7" w:tplc="7FB6ED86">
      <w:start w:val="1"/>
      <w:numFmt w:val="bullet"/>
      <w:lvlText w:val="o"/>
      <w:lvlJc w:val="left"/>
      <w:pPr>
        <w:ind w:left="5760" w:hanging="360"/>
      </w:pPr>
      <w:rPr>
        <w:rFonts w:hint="default" w:ascii="Courier New" w:hAnsi="Courier New"/>
      </w:rPr>
    </w:lvl>
    <w:lvl w:ilvl="8" w:tplc="AD9270C6">
      <w:start w:val="1"/>
      <w:numFmt w:val="bullet"/>
      <w:lvlText w:val=""/>
      <w:lvlJc w:val="left"/>
      <w:pPr>
        <w:ind w:left="6480" w:hanging="360"/>
      </w:pPr>
      <w:rPr>
        <w:rFonts w:hint="default" w:ascii="Wingdings" w:hAnsi="Wingdings"/>
      </w:rPr>
    </w:lvl>
  </w:abstractNum>
  <w:abstractNum w:abstractNumId="2" w15:restartNumberingAfterBreak="0">
    <w:nsid w:val="37491EC0"/>
    <w:multiLevelType w:val="hybridMultilevel"/>
    <w:tmpl w:val="FFFFFFFF"/>
    <w:lvl w:ilvl="0" w:tplc="B6FEBC44">
      <w:start w:val="1"/>
      <w:numFmt w:val="bullet"/>
      <w:lvlText w:val=""/>
      <w:lvlJc w:val="left"/>
      <w:pPr>
        <w:ind w:left="720" w:hanging="360"/>
      </w:pPr>
      <w:rPr>
        <w:rFonts w:hint="default" w:ascii="Symbol" w:hAnsi="Symbol"/>
      </w:rPr>
    </w:lvl>
    <w:lvl w:ilvl="1" w:tplc="F1201F9C">
      <w:start w:val="1"/>
      <w:numFmt w:val="bullet"/>
      <w:lvlText w:val="o"/>
      <w:lvlJc w:val="left"/>
      <w:pPr>
        <w:ind w:left="1440" w:hanging="360"/>
      </w:pPr>
      <w:rPr>
        <w:rFonts w:hint="default" w:ascii="Courier New" w:hAnsi="Courier New"/>
      </w:rPr>
    </w:lvl>
    <w:lvl w:ilvl="2" w:tplc="F3C68E46">
      <w:start w:val="1"/>
      <w:numFmt w:val="bullet"/>
      <w:lvlText w:val=""/>
      <w:lvlJc w:val="left"/>
      <w:pPr>
        <w:ind w:left="2160" w:hanging="360"/>
      </w:pPr>
      <w:rPr>
        <w:rFonts w:hint="default" w:ascii="Wingdings" w:hAnsi="Wingdings"/>
      </w:rPr>
    </w:lvl>
    <w:lvl w:ilvl="3" w:tplc="A7585A50">
      <w:start w:val="1"/>
      <w:numFmt w:val="bullet"/>
      <w:lvlText w:val=""/>
      <w:lvlJc w:val="left"/>
      <w:pPr>
        <w:ind w:left="2880" w:hanging="360"/>
      </w:pPr>
      <w:rPr>
        <w:rFonts w:hint="default" w:ascii="Symbol" w:hAnsi="Symbol"/>
      </w:rPr>
    </w:lvl>
    <w:lvl w:ilvl="4" w:tplc="1BE693B4">
      <w:start w:val="1"/>
      <w:numFmt w:val="bullet"/>
      <w:lvlText w:val="o"/>
      <w:lvlJc w:val="left"/>
      <w:pPr>
        <w:ind w:left="3600" w:hanging="360"/>
      </w:pPr>
      <w:rPr>
        <w:rFonts w:hint="default" w:ascii="Courier New" w:hAnsi="Courier New"/>
      </w:rPr>
    </w:lvl>
    <w:lvl w:ilvl="5" w:tplc="E4D41EDC">
      <w:start w:val="1"/>
      <w:numFmt w:val="bullet"/>
      <w:lvlText w:val=""/>
      <w:lvlJc w:val="left"/>
      <w:pPr>
        <w:ind w:left="4320" w:hanging="360"/>
      </w:pPr>
      <w:rPr>
        <w:rFonts w:hint="default" w:ascii="Wingdings" w:hAnsi="Wingdings"/>
      </w:rPr>
    </w:lvl>
    <w:lvl w:ilvl="6" w:tplc="2846659E">
      <w:start w:val="1"/>
      <w:numFmt w:val="bullet"/>
      <w:lvlText w:val=""/>
      <w:lvlJc w:val="left"/>
      <w:pPr>
        <w:ind w:left="5040" w:hanging="360"/>
      </w:pPr>
      <w:rPr>
        <w:rFonts w:hint="default" w:ascii="Symbol" w:hAnsi="Symbol"/>
      </w:rPr>
    </w:lvl>
    <w:lvl w:ilvl="7" w:tplc="FED6F9EC">
      <w:start w:val="1"/>
      <w:numFmt w:val="bullet"/>
      <w:lvlText w:val="o"/>
      <w:lvlJc w:val="left"/>
      <w:pPr>
        <w:ind w:left="5760" w:hanging="360"/>
      </w:pPr>
      <w:rPr>
        <w:rFonts w:hint="default" w:ascii="Courier New" w:hAnsi="Courier New"/>
      </w:rPr>
    </w:lvl>
    <w:lvl w:ilvl="8" w:tplc="9B4E70CA">
      <w:start w:val="1"/>
      <w:numFmt w:val="bullet"/>
      <w:lvlText w:val=""/>
      <w:lvlJc w:val="left"/>
      <w:pPr>
        <w:ind w:left="6480" w:hanging="360"/>
      </w:pPr>
      <w:rPr>
        <w:rFonts w:hint="default" w:ascii="Wingdings" w:hAnsi="Wingdings"/>
      </w:rPr>
    </w:lvl>
  </w:abstractNum>
  <w:abstractNum w:abstractNumId="3" w15:restartNumberingAfterBreak="0">
    <w:nsid w:val="48496B47"/>
    <w:multiLevelType w:val="hybridMultilevel"/>
    <w:tmpl w:val="FFFFFFFF"/>
    <w:lvl w:ilvl="0" w:tplc="B4C0971A">
      <w:start w:val="1"/>
      <w:numFmt w:val="bullet"/>
      <w:lvlText w:val=""/>
      <w:lvlJc w:val="left"/>
      <w:pPr>
        <w:ind w:left="720" w:hanging="360"/>
      </w:pPr>
      <w:rPr>
        <w:rFonts w:hint="default" w:ascii="Symbol" w:hAnsi="Symbol"/>
      </w:rPr>
    </w:lvl>
    <w:lvl w:ilvl="1" w:tplc="5440B278">
      <w:start w:val="1"/>
      <w:numFmt w:val="bullet"/>
      <w:lvlText w:val="o"/>
      <w:lvlJc w:val="left"/>
      <w:pPr>
        <w:ind w:left="1440" w:hanging="360"/>
      </w:pPr>
      <w:rPr>
        <w:rFonts w:hint="default" w:ascii="Courier New" w:hAnsi="Courier New"/>
      </w:rPr>
    </w:lvl>
    <w:lvl w:ilvl="2" w:tplc="4C1A0338">
      <w:start w:val="1"/>
      <w:numFmt w:val="bullet"/>
      <w:lvlText w:val=""/>
      <w:lvlJc w:val="left"/>
      <w:pPr>
        <w:ind w:left="2160" w:hanging="360"/>
      </w:pPr>
      <w:rPr>
        <w:rFonts w:hint="default" w:ascii="Wingdings" w:hAnsi="Wingdings"/>
      </w:rPr>
    </w:lvl>
    <w:lvl w:ilvl="3" w:tplc="E474B704">
      <w:start w:val="1"/>
      <w:numFmt w:val="bullet"/>
      <w:lvlText w:val=""/>
      <w:lvlJc w:val="left"/>
      <w:pPr>
        <w:ind w:left="2880" w:hanging="360"/>
      </w:pPr>
      <w:rPr>
        <w:rFonts w:hint="default" w:ascii="Symbol" w:hAnsi="Symbol"/>
      </w:rPr>
    </w:lvl>
    <w:lvl w:ilvl="4" w:tplc="99C0C0D4">
      <w:start w:val="1"/>
      <w:numFmt w:val="bullet"/>
      <w:lvlText w:val="o"/>
      <w:lvlJc w:val="left"/>
      <w:pPr>
        <w:ind w:left="3600" w:hanging="360"/>
      </w:pPr>
      <w:rPr>
        <w:rFonts w:hint="default" w:ascii="Courier New" w:hAnsi="Courier New"/>
      </w:rPr>
    </w:lvl>
    <w:lvl w:ilvl="5" w:tplc="3752A96C">
      <w:start w:val="1"/>
      <w:numFmt w:val="bullet"/>
      <w:lvlText w:val=""/>
      <w:lvlJc w:val="left"/>
      <w:pPr>
        <w:ind w:left="4320" w:hanging="360"/>
      </w:pPr>
      <w:rPr>
        <w:rFonts w:hint="default" w:ascii="Wingdings" w:hAnsi="Wingdings"/>
      </w:rPr>
    </w:lvl>
    <w:lvl w:ilvl="6" w:tplc="12A49398">
      <w:start w:val="1"/>
      <w:numFmt w:val="bullet"/>
      <w:lvlText w:val=""/>
      <w:lvlJc w:val="left"/>
      <w:pPr>
        <w:ind w:left="5040" w:hanging="360"/>
      </w:pPr>
      <w:rPr>
        <w:rFonts w:hint="default" w:ascii="Symbol" w:hAnsi="Symbol"/>
      </w:rPr>
    </w:lvl>
    <w:lvl w:ilvl="7" w:tplc="B7D028C2">
      <w:start w:val="1"/>
      <w:numFmt w:val="bullet"/>
      <w:lvlText w:val="o"/>
      <w:lvlJc w:val="left"/>
      <w:pPr>
        <w:ind w:left="5760" w:hanging="360"/>
      </w:pPr>
      <w:rPr>
        <w:rFonts w:hint="default" w:ascii="Courier New" w:hAnsi="Courier New"/>
      </w:rPr>
    </w:lvl>
    <w:lvl w:ilvl="8" w:tplc="18A0F578">
      <w:start w:val="1"/>
      <w:numFmt w:val="bullet"/>
      <w:lvlText w:val=""/>
      <w:lvlJc w:val="left"/>
      <w:pPr>
        <w:ind w:left="6480" w:hanging="360"/>
      </w:pPr>
      <w:rPr>
        <w:rFonts w:hint="default" w:ascii="Wingdings" w:hAnsi="Wingdings"/>
      </w:rPr>
    </w:lvl>
  </w:abstractNum>
  <w:abstractNum w:abstractNumId="4" w15:restartNumberingAfterBreak="0">
    <w:nsid w:val="52C17AB0"/>
    <w:multiLevelType w:val="hybridMultilevel"/>
    <w:tmpl w:val="FFFFFFFF"/>
    <w:lvl w:ilvl="0" w:tplc="FDB241DC">
      <w:start w:val="1"/>
      <w:numFmt w:val="bullet"/>
      <w:lvlText w:val=""/>
      <w:lvlJc w:val="left"/>
      <w:pPr>
        <w:ind w:left="720" w:hanging="360"/>
      </w:pPr>
      <w:rPr>
        <w:rFonts w:hint="default" w:ascii="Symbol" w:hAnsi="Symbol"/>
      </w:rPr>
    </w:lvl>
    <w:lvl w:ilvl="1" w:tplc="EFA8B43C">
      <w:start w:val="1"/>
      <w:numFmt w:val="bullet"/>
      <w:lvlText w:val="o"/>
      <w:lvlJc w:val="left"/>
      <w:pPr>
        <w:ind w:left="1440" w:hanging="360"/>
      </w:pPr>
      <w:rPr>
        <w:rFonts w:hint="default" w:ascii="Courier New" w:hAnsi="Courier New"/>
      </w:rPr>
    </w:lvl>
    <w:lvl w:ilvl="2" w:tplc="EB0E2732">
      <w:start w:val="1"/>
      <w:numFmt w:val="bullet"/>
      <w:lvlText w:val=""/>
      <w:lvlJc w:val="left"/>
      <w:pPr>
        <w:ind w:left="2160" w:hanging="360"/>
      </w:pPr>
      <w:rPr>
        <w:rFonts w:hint="default" w:ascii="Wingdings" w:hAnsi="Wingdings"/>
      </w:rPr>
    </w:lvl>
    <w:lvl w:ilvl="3" w:tplc="FDAEAE08">
      <w:start w:val="1"/>
      <w:numFmt w:val="bullet"/>
      <w:lvlText w:val=""/>
      <w:lvlJc w:val="left"/>
      <w:pPr>
        <w:ind w:left="2880" w:hanging="360"/>
      </w:pPr>
      <w:rPr>
        <w:rFonts w:hint="default" w:ascii="Symbol" w:hAnsi="Symbol"/>
      </w:rPr>
    </w:lvl>
    <w:lvl w:ilvl="4" w:tplc="EE0499E2">
      <w:start w:val="1"/>
      <w:numFmt w:val="bullet"/>
      <w:lvlText w:val="o"/>
      <w:lvlJc w:val="left"/>
      <w:pPr>
        <w:ind w:left="3600" w:hanging="360"/>
      </w:pPr>
      <w:rPr>
        <w:rFonts w:hint="default" w:ascii="Courier New" w:hAnsi="Courier New"/>
      </w:rPr>
    </w:lvl>
    <w:lvl w:ilvl="5" w:tplc="E0D4D55E">
      <w:start w:val="1"/>
      <w:numFmt w:val="bullet"/>
      <w:lvlText w:val=""/>
      <w:lvlJc w:val="left"/>
      <w:pPr>
        <w:ind w:left="4320" w:hanging="360"/>
      </w:pPr>
      <w:rPr>
        <w:rFonts w:hint="default" w:ascii="Wingdings" w:hAnsi="Wingdings"/>
      </w:rPr>
    </w:lvl>
    <w:lvl w:ilvl="6" w:tplc="0F26674A">
      <w:start w:val="1"/>
      <w:numFmt w:val="bullet"/>
      <w:lvlText w:val=""/>
      <w:lvlJc w:val="left"/>
      <w:pPr>
        <w:ind w:left="5040" w:hanging="360"/>
      </w:pPr>
      <w:rPr>
        <w:rFonts w:hint="default" w:ascii="Symbol" w:hAnsi="Symbol"/>
      </w:rPr>
    </w:lvl>
    <w:lvl w:ilvl="7" w:tplc="FC06F558">
      <w:start w:val="1"/>
      <w:numFmt w:val="bullet"/>
      <w:lvlText w:val="o"/>
      <w:lvlJc w:val="left"/>
      <w:pPr>
        <w:ind w:left="5760" w:hanging="360"/>
      </w:pPr>
      <w:rPr>
        <w:rFonts w:hint="default" w:ascii="Courier New" w:hAnsi="Courier New"/>
      </w:rPr>
    </w:lvl>
    <w:lvl w:ilvl="8" w:tplc="FB964D3A">
      <w:start w:val="1"/>
      <w:numFmt w:val="bullet"/>
      <w:lvlText w:val=""/>
      <w:lvlJc w:val="left"/>
      <w:pPr>
        <w:ind w:left="6480" w:hanging="360"/>
      </w:pPr>
      <w:rPr>
        <w:rFonts w:hint="default" w:ascii="Wingdings" w:hAnsi="Wingdings"/>
      </w:rPr>
    </w:lvl>
  </w:abstractNum>
  <w:abstractNum w:abstractNumId="5" w15:restartNumberingAfterBreak="0">
    <w:nsid w:val="5A053D6E"/>
    <w:multiLevelType w:val="hybridMultilevel"/>
    <w:tmpl w:val="FFFFFFFF"/>
    <w:lvl w:ilvl="0" w:tplc="D4647ACA">
      <w:start w:val="1"/>
      <w:numFmt w:val="decimal"/>
      <w:lvlText w:val="%1."/>
      <w:lvlJc w:val="left"/>
      <w:pPr>
        <w:ind w:left="720" w:hanging="360"/>
      </w:pPr>
    </w:lvl>
    <w:lvl w:ilvl="1" w:tplc="3AEC0146">
      <w:start w:val="1"/>
      <w:numFmt w:val="lowerLetter"/>
      <w:lvlText w:val="%2."/>
      <w:lvlJc w:val="left"/>
      <w:pPr>
        <w:ind w:left="1440" w:hanging="360"/>
      </w:pPr>
    </w:lvl>
    <w:lvl w:ilvl="2" w:tplc="58869E62">
      <w:start w:val="1"/>
      <w:numFmt w:val="lowerRoman"/>
      <w:lvlText w:val="%3."/>
      <w:lvlJc w:val="right"/>
      <w:pPr>
        <w:ind w:left="2160" w:hanging="180"/>
      </w:pPr>
    </w:lvl>
    <w:lvl w:ilvl="3" w:tplc="B598098C">
      <w:start w:val="1"/>
      <w:numFmt w:val="decimal"/>
      <w:lvlText w:val="%4."/>
      <w:lvlJc w:val="left"/>
      <w:pPr>
        <w:ind w:left="2880" w:hanging="360"/>
      </w:pPr>
    </w:lvl>
    <w:lvl w:ilvl="4" w:tplc="ACFE19E8">
      <w:start w:val="1"/>
      <w:numFmt w:val="lowerLetter"/>
      <w:lvlText w:val="%5."/>
      <w:lvlJc w:val="left"/>
      <w:pPr>
        <w:ind w:left="3600" w:hanging="360"/>
      </w:pPr>
    </w:lvl>
    <w:lvl w:ilvl="5" w:tplc="213E9374">
      <w:start w:val="1"/>
      <w:numFmt w:val="lowerRoman"/>
      <w:lvlText w:val="%6."/>
      <w:lvlJc w:val="right"/>
      <w:pPr>
        <w:ind w:left="4320" w:hanging="180"/>
      </w:pPr>
    </w:lvl>
    <w:lvl w:ilvl="6" w:tplc="3882444C">
      <w:start w:val="1"/>
      <w:numFmt w:val="decimal"/>
      <w:lvlText w:val="%7."/>
      <w:lvlJc w:val="left"/>
      <w:pPr>
        <w:ind w:left="5040" w:hanging="360"/>
      </w:pPr>
    </w:lvl>
    <w:lvl w:ilvl="7" w:tplc="868650C8">
      <w:start w:val="1"/>
      <w:numFmt w:val="lowerLetter"/>
      <w:lvlText w:val="%8."/>
      <w:lvlJc w:val="left"/>
      <w:pPr>
        <w:ind w:left="5760" w:hanging="360"/>
      </w:pPr>
    </w:lvl>
    <w:lvl w:ilvl="8" w:tplc="8746F7B4">
      <w:start w:val="1"/>
      <w:numFmt w:val="lowerRoman"/>
      <w:lvlText w:val="%9."/>
      <w:lvlJc w:val="right"/>
      <w:pPr>
        <w:ind w:left="6480" w:hanging="180"/>
      </w:pPr>
    </w:lvl>
  </w:abstractNum>
  <w:abstractNum w:abstractNumId="6" w15:restartNumberingAfterBreak="0">
    <w:nsid w:val="76CD596A"/>
    <w:multiLevelType w:val="hybridMultilevel"/>
    <w:tmpl w:val="FFFFFFFF"/>
    <w:lvl w:ilvl="0" w:tplc="F5D0E3D2">
      <w:start w:val="1"/>
      <w:numFmt w:val="bullet"/>
      <w:lvlText w:val=""/>
      <w:lvlJc w:val="left"/>
      <w:pPr>
        <w:ind w:left="720" w:hanging="360"/>
      </w:pPr>
      <w:rPr>
        <w:rFonts w:hint="default" w:ascii="Symbol" w:hAnsi="Symbol"/>
      </w:rPr>
    </w:lvl>
    <w:lvl w:ilvl="1" w:tplc="7DBE7F5C">
      <w:start w:val="1"/>
      <w:numFmt w:val="bullet"/>
      <w:lvlText w:val="o"/>
      <w:lvlJc w:val="left"/>
      <w:pPr>
        <w:ind w:left="1440" w:hanging="360"/>
      </w:pPr>
      <w:rPr>
        <w:rFonts w:hint="default" w:ascii="Courier New" w:hAnsi="Courier New"/>
      </w:rPr>
    </w:lvl>
    <w:lvl w:ilvl="2" w:tplc="6FFC9E98">
      <w:start w:val="1"/>
      <w:numFmt w:val="bullet"/>
      <w:lvlText w:val=""/>
      <w:lvlJc w:val="left"/>
      <w:pPr>
        <w:ind w:left="2160" w:hanging="360"/>
      </w:pPr>
      <w:rPr>
        <w:rFonts w:hint="default" w:ascii="Wingdings" w:hAnsi="Wingdings"/>
      </w:rPr>
    </w:lvl>
    <w:lvl w:ilvl="3" w:tplc="954029CA">
      <w:start w:val="1"/>
      <w:numFmt w:val="bullet"/>
      <w:lvlText w:val=""/>
      <w:lvlJc w:val="left"/>
      <w:pPr>
        <w:ind w:left="2880" w:hanging="360"/>
      </w:pPr>
      <w:rPr>
        <w:rFonts w:hint="default" w:ascii="Symbol" w:hAnsi="Symbol"/>
      </w:rPr>
    </w:lvl>
    <w:lvl w:ilvl="4" w:tplc="78A0FDB8">
      <w:start w:val="1"/>
      <w:numFmt w:val="bullet"/>
      <w:lvlText w:val="o"/>
      <w:lvlJc w:val="left"/>
      <w:pPr>
        <w:ind w:left="3600" w:hanging="360"/>
      </w:pPr>
      <w:rPr>
        <w:rFonts w:hint="default" w:ascii="Courier New" w:hAnsi="Courier New"/>
      </w:rPr>
    </w:lvl>
    <w:lvl w:ilvl="5" w:tplc="350C6BA2">
      <w:start w:val="1"/>
      <w:numFmt w:val="bullet"/>
      <w:lvlText w:val=""/>
      <w:lvlJc w:val="left"/>
      <w:pPr>
        <w:ind w:left="4320" w:hanging="360"/>
      </w:pPr>
      <w:rPr>
        <w:rFonts w:hint="default" w:ascii="Wingdings" w:hAnsi="Wingdings"/>
      </w:rPr>
    </w:lvl>
    <w:lvl w:ilvl="6" w:tplc="B4B04A7E">
      <w:start w:val="1"/>
      <w:numFmt w:val="bullet"/>
      <w:lvlText w:val=""/>
      <w:lvlJc w:val="left"/>
      <w:pPr>
        <w:ind w:left="5040" w:hanging="360"/>
      </w:pPr>
      <w:rPr>
        <w:rFonts w:hint="default" w:ascii="Symbol" w:hAnsi="Symbol"/>
      </w:rPr>
    </w:lvl>
    <w:lvl w:ilvl="7" w:tplc="4C34D388">
      <w:start w:val="1"/>
      <w:numFmt w:val="bullet"/>
      <w:lvlText w:val="o"/>
      <w:lvlJc w:val="left"/>
      <w:pPr>
        <w:ind w:left="5760" w:hanging="360"/>
      </w:pPr>
      <w:rPr>
        <w:rFonts w:hint="default" w:ascii="Courier New" w:hAnsi="Courier New"/>
      </w:rPr>
    </w:lvl>
    <w:lvl w:ilvl="8" w:tplc="C2A01ACE">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dirty"/>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86D"/>
    <w:rsid w:val="0001075C"/>
    <w:rsid w:val="004D786D"/>
    <w:rsid w:val="00DB47F7"/>
    <w:rsid w:val="162B99B2"/>
    <w:rsid w:val="4ACCE4C8"/>
    <w:rsid w:val="4B8E2D94"/>
    <w:rsid w:val="511199AB"/>
    <w:rsid w:val="54B9CD1D"/>
    <w:rsid w:val="57F0919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11E6"/>
  <w15:docId w15:val="{2E550214-0C3E-459A-A80A-AD156973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28" w:line="258" w:lineRule="auto"/>
      <w:ind w:left="27" w:hanging="9"/>
    </w:pPr>
    <w:rPr>
      <w:rFonts w:ascii="Calibri" w:hAnsi="Calibri" w:eastAsia="Calibri" w:cs="Calibri"/>
      <w:color w:val="000000"/>
    </w:rPr>
  </w:style>
  <w:style w:type="paragraph" w:styleId="Heading1">
    <w:name w:val="heading 1"/>
    <w:next w:val="Normal"/>
    <w:link w:val="Heading1Char"/>
    <w:uiPriority w:val="9"/>
    <w:unhideWhenUsed/>
    <w:qFormat/>
    <w:pPr>
      <w:keepNext/>
      <w:keepLines/>
      <w:spacing w:after="185"/>
      <w:ind w:left="28" w:right="47" w:hanging="10"/>
      <w:outlineLvl w:val="0"/>
    </w:pPr>
    <w:rPr>
      <w:rFonts w:ascii="Calibri" w:hAnsi="Calibri" w:eastAsia="Calibri" w:cs="Calibri"/>
      <w:b/>
      <w:color w:val="402E7E"/>
      <w:sz w:val="28"/>
    </w:rPr>
  </w:style>
  <w:style w:type="paragraph" w:styleId="Heading2">
    <w:name w:val="heading 2"/>
    <w:next w:val="Normal"/>
    <w:link w:val="Heading2Char"/>
    <w:uiPriority w:val="9"/>
    <w:unhideWhenUsed/>
    <w:qFormat/>
    <w:pPr>
      <w:keepNext/>
      <w:keepLines/>
      <w:spacing w:after="108"/>
      <w:ind w:left="28" w:hanging="10"/>
      <w:outlineLvl w:val="1"/>
    </w:pPr>
    <w:rPr>
      <w:rFonts w:ascii="Calibri" w:hAnsi="Calibri" w:eastAsia="Calibri" w:cs="Calibri"/>
      <w:b/>
      <w:color w:val="6D3492"/>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Calibri" w:hAnsi="Calibri" w:eastAsia="Calibri" w:cs="Calibri"/>
      <w:b/>
      <w:color w:val="6D3492"/>
      <w:sz w:val="24"/>
    </w:rPr>
  </w:style>
  <w:style w:type="character" w:styleId="Heading1Char" w:customStyle="1">
    <w:name w:val="Heading 1 Char"/>
    <w:link w:val="Heading1"/>
    <w:rPr>
      <w:rFonts w:ascii="Calibri" w:hAnsi="Calibri" w:eastAsia="Calibri" w:cs="Calibri"/>
      <w:b/>
      <w:color w:val="402E7E"/>
      <w:sz w:val="28"/>
    </w:rPr>
  </w:style>
  <w:style w:type="paragraph" w:styleId="footnotedescription" w:customStyle="1">
    <w:name w:val="footnote description"/>
    <w:next w:val="Normal"/>
    <w:link w:val="footnotedescriptionChar"/>
    <w:hidden/>
    <w:pPr>
      <w:spacing w:after="0"/>
      <w:ind w:left="18"/>
    </w:pPr>
    <w:rPr>
      <w:rFonts w:ascii="Calibri" w:hAnsi="Calibri" w:eastAsia="Calibri" w:cs="Calibri"/>
      <w:color w:val="000000"/>
      <w:sz w:val="20"/>
    </w:rPr>
  </w:style>
  <w:style w:type="character" w:styleId="footnotedescriptionChar" w:customStyle="1">
    <w:name w:val="footnote description Char"/>
    <w:link w:val="footnotedescription"/>
    <w:rPr>
      <w:rFonts w:ascii="Calibri" w:hAnsi="Calibri" w:eastAsia="Calibri" w:cs="Calibri"/>
      <w:color w:val="000000"/>
      <w:sz w:val="20"/>
    </w:rPr>
  </w:style>
  <w:style w:type="character" w:styleId="footnotemark" w:customStyle="1">
    <w:name w:val="footnote mark"/>
    <w:hidden/>
    <w:rPr>
      <w:rFonts w:ascii="Calibri" w:hAnsi="Calibri" w:eastAsia="Calibri" w:cs="Calibri"/>
      <w:color w:val="000000"/>
      <w:sz w:val="18"/>
      <w:vertAlign w:val="superscript"/>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0.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BAFD48D3-9C93-4F3D-A33C-26D7D945D636}">
  <ds:schemaRefs>
    <ds:schemaRef ds:uri="http://schemas.microsoft.com/sharepoint/v3/contenttype/forms"/>
  </ds:schemaRefs>
</ds:datastoreItem>
</file>

<file path=customXml/itemProps2.xml><?xml version="1.0" encoding="utf-8"?>
<ds:datastoreItem xmlns:ds="http://schemas.openxmlformats.org/officeDocument/2006/customXml" ds:itemID="{5FF2CE36-D09E-4546-A97C-55B7E232D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DC9B9-57C5-4F21-A916-B80F33107604}">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Philipp Herrmann</dc:creator>
  <keywords/>
  <lastModifiedBy>Doolan, Brianna</lastModifiedBy>
  <revision>5</revision>
  <dcterms:created xsi:type="dcterms:W3CDTF">2022-03-28T22:43:00.0000000Z</dcterms:created>
  <dcterms:modified xsi:type="dcterms:W3CDTF">2022-03-28T22:44:37.7314153Z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2022-03-28T22:43:50Z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a6bf2cf9-4382-4680-aabf-9d48246abbb9</vt:lpwstr>
  </property>
  <property fmtid="{D5CDD505-2E9C-101B-9397-08002B2CF9AE}" pid="9" name="MSIP_Label_2b83f8d7-e91f-4eee-a336-52a8061c0503_ContentBits">
    <vt:lpwstr>0</vt:lpwstr>
  </property>
</Properties>
</file>