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BD40" w14:textId="77777777" w:rsidR="000339FE" w:rsidRPr="003A5E56" w:rsidRDefault="00FA71C3" w:rsidP="003A5E56">
      <w:pPr>
        <w:pStyle w:val="Title"/>
        <w:rPr>
          <w:rFonts w:ascii="Arial" w:hAnsi="Arial" w:cs="Arial"/>
          <w:color w:val="2E74B5"/>
        </w:rPr>
      </w:pPr>
      <w:bookmarkStart w:id="0" w:name="_GoBack"/>
      <w:bookmarkEnd w:id="0"/>
      <w:r w:rsidRPr="003A5E56">
        <w:rPr>
          <w:rFonts w:ascii="Arial" w:hAnsi="Arial" w:cs="Arial"/>
          <w:color w:val="2E74B5"/>
        </w:rPr>
        <w:t>Transfer Plan</w:t>
      </w:r>
    </w:p>
    <w:p w14:paraId="1A09A4BE" w14:textId="77777777" w:rsidR="007F7E73" w:rsidRDefault="000339FE" w:rsidP="003A5E56">
      <w:pPr>
        <w:pStyle w:val="Heading1"/>
        <w:rPr>
          <w:color w:val="2E74B5"/>
        </w:rPr>
      </w:pPr>
      <w:r w:rsidRPr="00FA71C3">
        <w:t xml:space="preserve">Transferring </w:t>
      </w:r>
      <w:r w:rsidRPr="003A5E56">
        <w:rPr>
          <w:color w:val="2E74B5"/>
        </w:rPr>
        <w:t>Western Australian</w:t>
      </w:r>
      <w:r w:rsidR="009416A0" w:rsidRPr="003A5E56">
        <w:rPr>
          <w:color w:val="2E74B5"/>
        </w:rPr>
        <w:t xml:space="preserve"> </w:t>
      </w:r>
      <w:r w:rsidRPr="003A5E56">
        <w:rPr>
          <w:color w:val="2E74B5"/>
        </w:rPr>
        <w:t>NDIS participants</w:t>
      </w:r>
      <w:r w:rsidR="003A5E56" w:rsidRPr="003A5E56">
        <w:rPr>
          <w:color w:val="2E74B5"/>
        </w:rPr>
        <w:t xml:space="preserve"> </w:t>
      </w:r>
      <w:r w:rsidRPr="003A5E56">
        <w:rPr>
          <w:color w:val="2E74B5"/>
        </w:rPr>
        <w:t>into the</w:t>
      </w:r>
      <w:r w:rsidR="009416A0" w:rsidRPr="003A5E56">
        <w:rPr>
          <w:color w:val="2E74B5"/>
        </w:rPr>
        <w:t xml:space="preserve"> </w:t>
      </w:r>
      <w:r w:rsidRPr="003A5E56">
        <w:rPr>
          <w:color w:val="2E74B5"/>
        </w:rPr>
        <w:t>nationally-delivered NDIS</w:t>
      </w:r>
      <w:r w:rsidR="009416A0" w:rsidRPr="003A5E56">
        <w:rPr>
          <w:color w:val="2E74B5"/>
        </w:rPr>
        <w:t>.</w:t>
      </w:r>
    </w:p>
    <w:p w14:paraId="747B8C27" w14:textId="575604F9" w:rsidR="000339FE" w:rsidRDefault="000339FE" w:rsidP="003A5E56">
      <w:pPr>
        <w:pStyle w:val="Heading1"/>
        <w:rPr>
          <w:rFonts w:eastAsiaTheme="minorEastAsia"/>
          <w:spacing w:val="15"/>
          <w:sz w:val="28"/>
          <w:szCs w:val="28"/>
        </w:rPr>
      </w:pPr>
      <w:r w:rsidRPr="003A5E56">
        <w:rPr>
          <w:rFonts w:eastAsiaTheme="minorEastAsia"/>
          <w:color w:val="2E74B5"/>
          <w:spacing w:val="15"/>
          <w:sz w:val="28"/>
          <w:szCs w:val="28"/>
        </w:rPr>
        <w:t>Transfer</w:t>
      </w:r>
      <w:r w:rsidRPr="00FA71C3">
        <w:rPr>
          <w:rFonts w:eastAsiaTheme="minorEastAsia"/>
          <w:spacing w:val="15"/>
          <w:sz w:val="28"/>
          <w:szCs w:val="28"/>
        </w:rPr>
        <w:t xml:space="preserve"> Plan for WA NDIS participants moving to the NDIA</w:t>
      </w:r>
      <w:r w:rsidR="00FA71C3">
        <w:rPr>
          <w:rFonts w:eastAsiaTheme="minorEastAsia"/>
          <w:spacing w:val="15"/>
          <w:sz w:val="28"/>
          <w:szCs w:val="28"/>
        </w:rPr>
        <w:t>.</w:t>
      </w:r>
    </w:p>
    <w:p w14:paraId="42BCA695" w14:textId="77777777" w:rsidR="00FA71C3" w:rsidRPr="00FA71C3" w:rsidRDefault="00FA71C3" w:rsidP="00FA71C3">
      <w:pPr>
        <w:jc w:val="center"/>
        <w:rPr>
          <w:rFonts w:ascii="Arial" w:eastAsiaTheme="minorEastAsia" w:hAnsi="Arial" w:cs="Arial"/>
          <w:spacing w:val="15"/>
          <w:sz w:val="20"/>
          <w:szCs w:val="20"/>
        </w:rPr>
      </w:pPr>
    </w:p>
    <w:p w14:paraId="5A4F8A0E" w14:textId="77777777" w:rsidR="000339FE" w:rsidRPr="007B7FA1" w:rsidRDefault="000339FE" w:rsidP="003A5E56">
      <w:pPr>
        <w:pStyle w:val="Heading2"/>
      </w:pPr>
      <w:r w:rsidRPr="007B7FA1">
        <w:t xml:space="preserve">1. Background </w:t>
      </w:r>
    </w:p>
    <w:p w14:paraId="38701274"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 xml:space="preserve">This Transfer Plan (the Plan) sets out the key deliverables agreed between the National Disability Insurance Agency (NDIA), the Western Australian Government and the Commonwealth Government to support the </w:t>
      </w:r>
      <w:r w:rsidR="00C8090C" w:rsidRPr="00FA71C3">
        <w:rPr>
          <w:rFonts w:ascii="Arial" w:hAnsi="Arial" w:cs="Arial"/>
          <w:color w:val="auto"/>
        </w:rPr>
        <w:t>t</w:t>
      </w:r>
      <w:r w:rsidRPr="00FA71C3">
        <w:rPr>
          <w:rFonts w:ascii="Arial" w:hAnsi="Arial" w:cs="Arial"/>
          <w:color w:val="auto"/>
        </w:rPr>
        <w:t xml:space="preserve">ransfer of Western Australian National Disability Insurance Scheme (WA NDIS) participants into the </w:t>
      </w:r>
      <w:r w:rsidR="00846D05" w:rsidRPr="00FA71C3">
        <w:rPr>
          <w:rFonts w:ascii="Arial" w:hAnsi="Arial" w:cs="Arial"/>
          <w:color w:val="auto"/>
        </w:rPr>
        <w:t xml:space="preserve">nationally-delivered </w:t>
      </w:r>
      <w:r w:rsidRPr="00FA71C3">
        <w:rPr>
          <w:rFonts w:ascii="Arial" w:hAnsi="Arial" w:cs="Arial"/>
          <w:color w:val="auto"/>
        </w:rPr>
        <w:t xml:space="preserve">NDIS in WA </w:t>
      </w:r>
      <w:r w:rsidR="009C081D">
        <w:rPr>
          <w:rFonts w:ascii="Arial" w:hAnsi="Arial" w:cs="Arial"/>
          <w:color w:val="auto"/>
        </w:rPr>
        <w:t>between 1 April</w:t>
      </w:r>
      <w:r w:rsidR="0063126E">
        <w:rPr>
          <w:rFonts w:ascii="Arial" w:hAnsi="Arial" w:cs="Arial"/>
          <w:color w:val="auto"/>
        </w:rPr>
        <w:t xml:space="preserve"> </w:t>
      </w:r>
      <w:r w:rsidRPr="00FA71C3">
        <w:rPr>
          <w:rFonts w:ascii="Arial" w:hAnsi="Arial" w:cs="Arial"/>
          <w:color w:val="auto"/>
        </w:rPr>
        <w:t>–</w:t>
      </w:r>
      <w:r w:rsidR="0063126E">
        <w:rPr>
          <w:rFonts w:ascii="Arial" w:hAnsi="Arial" w:cs="Arial"/>
          <w:color w:val="auto"/>
        </w:rPr>
        <w:t xml:space="preserve"> </w:t>
      </w:r>
      <w:r w:rsidRPr="00FA71C3">
        <w:rPr>
          <w:rFonts w:ascii="Arial" w:hAnsi="Arial" w:cs="Arial"/>
          <w:color w:val="auto"/>
        </w:rPr>
        <w:t xml:space="preserve">31 December 2018. </w:t>
      </w:r>
    </w:p>
    <w:p w14:paraId="3E80BE0A"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The Transfer Plan support</w:t>
      </w:r>
      <w:r w:rsidR="00044368" w:rsidRPr="00FA71C3">
        <w:rPr>
          <w:rFonts w:ascii="Arial" w:hAnsi="Arial" w:cs="Arial"/>
          <w:color w:val="auto"/>
        </w:rPr>
        <w:t>s</w:t>
      </w:r>
      <w:r w:rsidRPr="00FA71C3">
        <w:rPr>
          <w:rFonts w:ascii="Arial" w:hAnsi="Arial" w:cs="Arial"/>
          <w:color w:val="auto"/>
        </w:rPr>
        <w:t xml:space="preserve"> the Operational Plan which will be developed to operationalise the Bilateral Agreement between the Commonwealth and Western Australia – Transition to a National Disability Insurance Scheme in Western Australia</w:t>
      </w:r>
      <w:r w:rsidR="00846D05" w:rsidRPr="00FA71C3">
        <w:rPr>
          <w:rFonts w:ascii="Arial" w:hAnsi="Arial" w:cs="Arial"/>
          <w:color w:val="auto"/>
        </w:rPr>
        <w:t xml:space="preserve"> from</w:t>
      </w:r>
      <w:r w:rsidRPr="00FA71C3">
        <w:rPr>
          <w:rFonts w:ascii="Arial" w:hAnsi="Arial" w:cs="Arial"/>
          <w:color w:val="auto"/>
        </w:rPr>
        <w:t xml:space="preserve"> 1 January</w:t>
      </w:r>
      <w:r w:rsidR="00044368" w:rsidRPr="00FA71C3">
        <w:rPr>
          <w:rFonts w:ascii="Arial" w:hAnsi="Arial" w:cs="Arial"/>
          <w:color w:val="auto"/>
        </w:rPr>
        <w:t xml:space="preserve"> 2018</w:t>
      </w:r>
      <w:r w:rsidRPr="00FA71C3">
        <w:rPr>
          <w:rFonts w:ascii="Arial" w:hAnsi="Arial" w:cs="Arial"/>
          <w:color w:val="auto"/>
        </w:rPr>
        <w:t xml:space="preserve"> </w:t>
      </w:r>
      <w:r w:rsidR="00044368" w:rsidRPr="00FA71C3">
        <w:rPr>
          <w:rFonts w:ascii="Arial" w:hAnsi="Arial" w:cs="Arial"/>
          <w:color w:val="auto"/>
        </w:rPr>
        <w:t>to</w:t>
      </w:r>
      <w:r w:rsidRPr="00FA71C3">
        <w:rPr>
          <w:rFonts w:ascii="Arial" w:hAnsi="Arial" w:cs="Arial"/>
          <w:color w:val="auto"/>
        </w:rPr>
        <w:t xml:space="preserve"> 30 June 2023. Together</w:t>
      </w:r>
      <w:r w:rsidR="00C8090C" w:rsidRPr="00FA71C3">
        <w:rPr>
          <w:rFonts w:ascii="Arial" w:hAnsi="Arial" w:cs="Arial"/>
          <w:color w:val="auto"/>
        </w:rPr>
        <w:t>,</w:t>
      </w:r>
      <w:r w:rsidRPr="00FA71C3">
        <w:rPr>
          <w:rFonts w:ascii="Arial" w:hAnsi="Arial" w:cs="Arial"/>
          <w:color w:val="auto"/>
        </w:rPr>
        <w:t xml:space="preserve"> the Bilateral Agreement, Operational Plan and Transfer Plan detail the arrangements and deliverables for the transfer and transition to the NDIS in Western Australia. </w:t>
      </w:r>
    </w:p>
    <w:p w14:paraId="6C074D90" w14:textId="77777777" w:rsidR="000339FE" w:rsidRPr="007B7FA1" w:rsidRDefault="000339FE" w:rsidP="003A5E56">
      <w:pPr>
        <w:pStyle w:val="Heading2"/>
      </w:pPr>
      <w:r w:rsidRPr="007B7FA1">
        <w:t xml:space="preserve">2. Purpose </w:t>
      </w:r>
    </w:p>
    <w:p w14:paraId="6F377589"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 xml:space="preserve">The Western Australian and Commonwealth Governments and the NDIA acknowledge that the transfer of people in the WA NDIS to the </w:t>
      </w:r>
      <w:r w:rsidR="00846D05" w:rsidRPr="00FA71C3">
        <w:rPr>
          <w:rFonts w:ascii="Arial" w:hAnsi="Arial" w:cs="Arial"/>
          <w:color w:val="auto"/>
        </w:rPr>
        <w:t xml:space="preserve">nationally-delivered </w:t>
      </w:r>
      <w:r w:rsidRPr="00FA71C3">
        <w:rPr>
          <w:rFonts w:ascii="Arial" w:hAnsi="Arial" w:cs="Arial"/>
          <w:color w:val="auto"/>
        </w:rPr>
        <w:t xml:space="preserve">NDIS is a shared responsibility and requires a considered approach. </w:t>
      </w:r>
    </w:p>
    <w:p w14:paraId="3DA4FC16"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 xml:space="preserve">The Transfer Plan identifies key streams of work required to transfer WA NDIS participants to the NDIS, including the respective roles and responsibilities of the Western Australian and Commonwealth Governments and the NDIA in achieving the outcomes </w:t>
      </w:r>
      <w:r w:rsidR="00846D05" w:rsidRPr="00FA71C3">
        <w:rPr>
          <w:rFonts w:ascii="Arial" w:hAnsi="Arial" w:cs="Arial"/>
          <w:color w:val="auto"/>
        </w:rPr>
        <w:t xml:space="preserve">set </w:t>
      </w:r>
      <w:r w:rsidRPr="00FA71C3">
        <w:rPr>
          <w:rFonts w:ascii="Arial" w:hAnsi="Arial" w:cs="Arial"/>
          <w:color w:val="auto"/>
        </w:rPr>
        <w:t xml:space="preserve">in the Transfer Plan. The agreed arrangements to deliver on the Transfer Plan must support the sustainable and effective implementation of the NDIS, including cost effectiveness and strong insurance principles. </w:t>
      </w:r>
    </w:p>
    <w:p w14:paraId="7D67A072"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 xml:space="preserve">The parties acknowledge actions agreed in the Transfer Plan are to be implemented consistent with policies and frameworks agreed by the COAG Disability Reform Council and Council of Australian Governments. </w:t>
      </w:r>
    </w:p>
    <w:p w14:paraId="0B83280F"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lastRenderedPageBreak/>
        <w:t xml:space="preserve">As the transfer process has not been attempted previously, it is </w:t>
      </w:r>
      <w:r w:rsidR="0082432B" w:rsidRPr="00FA71C3">
        <w:rPr>
          <w:rFonts w:ascii="Arial" w:hAnsi="Arial" w:cs="Arial"/>
          <w:color w:val="auto"/>
        </w:rPr>
        <w:t xml:space="preserve">expected </w:t>
      </w:r>
      <w:r w:rsidRPr="00FA71C3">
        <w:rPr>
          <w:rFonts w:ascii="Arial" w:hAnsi="Arial" w:cs="Arial"/>
          <w:color w:val="auto"/>
        </w:rPr>
        <w:t xml:space="preserve">that the Transfer Plan development will be iterative as actions are undertaken and processes refined. Changes to the Transfer Plan shall be by agreement of the signatories. </w:t>
      </w:r>
    </w:p>
    <w:p w14:paraId="41A477A1" w14:textId="77777777" w:rsidR="00E95283" w:rsidRPr="00FA71C3" w:rsidRDefault="00E95283" w:rsidP="0063126E">
      <w:pPr>
        <w:pStyle w:val="Default"/>
        <w:spacing w:after="240" w:line="276" w:lineRule="auto"/>
        <w:rPr>
          <w:rFonts w:ascii="Arial" w:hAnsi="Arial" w:cs="Arial"/>
          <w:color w:val="auto"/>
        </w:rPr>
      </w:pPr>
      <w:r w:rsidRPr="00FA71C3">
        <w:rPr>
          <w:rFonts w:ascii="Arial" w:hAnsi="Arial" w:cs="Arial"/>
          <w:color w:val="auto"/>
        </w:rPr>
        <w:t xml:space="preserve">The </w:t>
      </w:r>
      <w:r w:rsidR="00C8090C" w:rsidRPr="00FA71C3">
        <w:rPr>
          <w:rFonts w:ascii="Arial" w:hAnsi="Arial" w:cs="Arial"/>
          <w:color w:val="auto"/>
        </w:rPr>
        <w:t>t</w:t>
      </w:r>
      <w:r w:rsidRPr="00FA71C3">
        <w:rPr>
          <w:rFonts w:ascii="Arial" w:hAnsi="Arial" w:cs="Arial"/>
          <w:color w:val="auto"/>
        </w:rPr>
        <w:t xml:space="preserve">ransfer </w:t>
      </w:r>
      <w:r w:rsidR="00C8090C" w:rsidRPr="00FA71C3">
        <w:rPr>
          <w:rFonts w:ascii="Arial" w:hAnsi="Arial" w:cs="Arial"/>
          <w:color w:val="auto"/>
        </w:rPr>
        <w:t>s</w:t>
      </w:r>
      <w:r w:rsidRPr="00FA71C3">
        <w:rPr>
          <w:rFonts w:ascii="Arial" w:hAnsi="Arial" w:cs="Arial"/>
          <w:color w:val="auto"/>
        </w:rPr>
        <w:t>chedule is set out in the below table:</w:t>
      </w:r>
    </w:p>
    <w:tbl>
      <w:tblPr>
        <w:tblStyle w:val="TableGrid"/>
        <w:tblW w:w="7650" w:type="dxa"/>
        <w:tblLayout w:type="fixed"/>
        <w:tblLook w:val="04A0" w:firstRow="1" w:lastRow="0" w:firstColumn="1" w:lastColumn="0" w:noHBand="0" w:noVBand="1"/>
        <w:tblCaption w:val="WA Transfer Schedule"/>
        <w:tblDescription w:val="The table depicts which quarter different geographic locations in WA will commence Transfer of WA NDIS participants to the national NDIS. North East Metro and the Wheatbelt will commence their transfer from 1 April 2018. South Metro, Central Metro, and the Lower South will commence transfer from 1 July 2018. The Kimberly-Pilbara are scheduled to commence from 1 October 2018. All area transfers are due to be completed by 31 December 2018."/>
      </w:tblPr>
      <w:tblGrid>
        <w:gridCol w:w="2972"/>
        <w:gridCol w:w="2268"/>
        <w:gridCol w:w="2410"/>
      </w:tblGrid>
      <w:tr w:rsidR="00070967" w:rsidRPr="003A5E56" w14:paraId="4D8D00F3" w14:textId="77777777" w:rsidTr="007F7E73">
        <w:trPr>
          <w:trHeight w:val="588"/>
          <w:tblHeader/>
        </w:trPr>
        <w:tc>
          <w:tcPr>
            <w:tcW w:w="2972" w:type="dxa"/>
            <w:shd w:val="clear" w:color="auto" w:fill="D9D9D9" w:themeFill="background1" w:themeFillShade="D9"/>
            <w:vAlign w:val="center"/>
          </w:tcPr>
          <w:p w14:paraId="5D8E2D75" w14:textId="77777777" w:rsidR="00070967" w:rsidRPr="003A5E56" w:rsidRDefault="00070967" w:rsidP="003A5E56">
            <w:pPr>
              <w:pStyle w:val="Tableheader"/>
            </w:pPr>
            <w:bookmarkStart w:id="1" w:name="ColumnTitle_1"/>
            <w:r w:rsidRPr="003A5E56">
              <w:t>Client Transfer Cohort</w:t>
            </w:r>
          </w:p>
        </w:tc>
        <w:tc>
          <w:tcPr>
            <w:tcW w:w="2268" w:type="dxa"/>
            <w:shd w:val="clear" w:color="auto" w:fill="D9D9D9" w:themeFill="background1" w:themeFillShade="D9"/>
            <w:vAlign w:val="center"/>
          </w:tcPr>
          <w:p w14:paraId="3272D6C5" w14:textId="77777777" w:rsidR="00070967" w:rsidRPr="003A5E56" w:rsidRDefault="00070967" w:rsidP="003A5E56">
            <w:pPr>
              <w:pStyle w:val="Tableheader"/>
            </w:pPr>
            <w:r w:rsidRPr="003A5E56">
              <w:t>Commences</w:t>
            </w:r>
          </w:p>
        </w:tc>
        <w:tc>
          <w:tcPr>
            <w:tcW w:w="2410" w:type="dxa"/>
            <w:shd w:val="clear" w:color="auto" w:fill="D9D9D9" w:themeFill="background1" w:themeFillShade="D9"/>
            <w:vAlign w:val="center"/>
          </w:tcPr>
          <w:p w14:paraId="7AA6014E" w14:textId="77777777" w:rsidR="00070967" w:rsidRPr="003A5E56" w:rsidRDefault="00070967" w:rsidP="003A5E56">
            <w:pPr>
              <w:pStyle w:val="Tableheader"/>
            </w:pPr>
            <w:r w:rsidRPr="003A5E56">
              <w:t>Ends</w:t>
            </w:r>
          </w:p>
        </w:tc>
      </w:tr>
      <w:bookmarkEnd w:id="1"/>
      <w:tr w:rsidR="00070967" w:rsidRPr="00FA71C3" w14:paraId="40EDDC93" w14:textId="77777777" w:rsidTr="007F7E73">
        <w:trPr>
          <w:trHeight w:val="428"/>
        </w:trPr>
        <w:tc>
          <w:tcPr>
            <w:tcW w:w="2972" w:type="dxa"/>
            <w:vAlign w:val="center"/>
          </w:tcPr>
          <w:p w14:paraId="356A4E9B" w14:textId="77777777" w:rsidR="00070967" w:rsidRPr="00FA71C3" w:rsidRDefault="00070967" w:rsidP="00A268BD">
            <w:pPr>
              <w:pStyle w:val="Tablecontent"/>
            </w:pPr>
            <w:r w:rsidRPr="00FA71C3">
              <w:t>North East Metro</w:t>
            </w:r>
          </w:p>
        </w:tc>
        <w:tc>
          <w:tcPr>
            <w:tcW w:w="2268" w:type="dxa"/>
            <w:vAlign w:val="center"/>
          </w:tcPr>
          <w:p w14:paraId="4A567277" w14:textId="77777777" w:rsidR="00070967" w:rsidRPr="00FA71C3" w:rsidRDefault="003258A2" w:rsidP="00A268BD">
            <w:pPr>
              <w:pStyle w:val="Tablecontent"/>
            </w:pPr>
            <w:r w:rsidRPr="00FA71C3">
              <w:t xml:space="preserve">1 </w:t>
            </w:r>
            <w:r w:rsidR="00070967" w:rsidRPr="00FA71C3">
              <w:t>April 2018</w:t>
            </w:r>
          </w:p>
        </w:tc>
        <w:tc>
          <w:tcPr>
            <w:tcW w:w="2410" w:type="dxa"/>
            <w:vAlign w:val="center"/>
          </w:tcPr>
          <w:p w14:paraId="7172171E" w14:textId="77777777" w:rsidR="00070967" w:rsidRPr="00FA71C3" w:rsidRDefault="003258A2" w:rsidP="00A268BD">
            <w:pPr>
              <w:pStyle w:val="Tablecontent"/>
            </w:pPr>
            <w:r w:rsidRPr="00FA71C3">
              <w:t xml:space="preserve">30 June </w:t>
            </w:r>
            <w:r w:rsidR="00070967" w:rsidRPr="00FA71C3">
              <w:t>2018</w:t>
            </w:r>
          </w:p>
        </w:tc>
      </w:tr>
      <w:tr w:rsidR="00070967" w:rsidRPr="00FA71C3" w14:paraId="703FA57C" w14:textId="77777777" w:rsidTr="007F7E73">
        <w:trPr>
          <w:trHeight w:val="407"/>
        </w:trPr>
        <w:tc>
          <w:tcPr>
            <w:tcW w:w="2972" w:type="dxa"/>
            <w:vAlign w:val="center"/>
          </w:tcPr>
          <w:p w14:paraId="0033C4DB" w14:textId="77777777" w:rsidR="00070967" w:rsidRPr="00FA71C3" w:rsidRDefault="00070967" w:rsidP="00A268BD">
            <w:pPr>
              <w:pStyle w:val="Tablecontent"/>
            </w:pPr>
            <w:r w:rsidRPr="00FA71C3">
              <w:t>Wheatbelt</w:t>
            </w:r>
          </w:p>
        </w:tc>
        <w:tc>
          <w:tcPr>
            <w:tcW w:w="2268" w:type="dxa"/>
            <w:vAlign w:val="center"/>
          </w:tcPr>
          <w:p w14:paraId="5D13A3AE" w14:textId="77777777" w:rsidR="00070967" w:rsidRPr="00FA71C3" w:rsidRDefault="003258A2" w:rsidP="00A268BD">
            <w:pPr>
              <w:pStyle w:val="Tablecontent"/>
            </w:pPr>
            <w:r w:rsidRPr="00FA71C3">
              <w:t xml:space="preserve">1 </w:t>
            </w:r>
            <w:r w:rsidR="00070967" w:rsidRPr="00FA71C3">
              <w:t>April 2018</w:t>
            </w:r>
          </w:p>
        </w:tc>
        <w:tc>
          <w:tcPr>
            <w:tcW w:w="2410" w:type="dxa"/>
            <w:vAlign w:val="center"/>
          </w:tcPr>
          <w:p w14:paraId="557B24CD" w14:textId="77777777" w:rsidR="00070967" w:rsidRPr="00FA71C3" w:rsidRDefault="003258A2" w:rsidP="00A268BD">
            <w:pPr>
              <w:pStyle w:val="Tablecontent"/>
            </w:pPr>
            <w:r w:rsidRPr="00FA71C3">
              <w:t xml:space="preserve">30 June </w:t>
            </w:r>
            <w:r w:rsidR="00070967" w:rsidRPr="00FA71C3">
              <w:t>2018</w:t>
            </w:r>
          </w:p>
        </w:tc>
      </w:tr>
      <w:tr w:rsidR="00070967" w:rsidRPr="00FA71C3" w14:paraId="77926ED7" w14:textId="77777777" w:rsidTr="007F7E73">
        <w:trPr>
          <w:trHeight w:val="413"/>
        </w:trPr>
        <w:tc>
          <w:tcPr>
            <w:tcW w:w="2972" w:type="dxa"/>
            <w:vAlign w:val="center"/>
          </w:tcPr>
          <w:p w14:paraId="54BC7E28" w14:textId="77777777" w:rsidR="00070967" w:rsidRPr="00FA71C3" w:rsidRDefault="00070967" w:rsidP="00A268BD">
            <w:pPr>
              <w:pStyle w:val="Tablecontent"/>
            </w:pPr>
            <w:r w:rsidRPr="00FA71C3">
              <w:t>South Metro</w:t>
            </w:r>
          </w:p>
        </w:tc>
        <w:tc>
          <w:tcPr>
            <w:tcW w:w="2268" w:type="dxa"/>
            <w:vAlign w:val="center"/>
          </w:tcPr>
          <w:p w14:paraId="5E40A4F6" w14:textId="77777777" w:rsidR="00070967" w:rsidRPr="00FA71C3" w:rsidRDefault="003258A2" w:rsidP="00A268BD">
            <w:pPr>
              <w:pStyle w:val="Tablecontent"/>
            </w:pPr>
            <w:r w:rsidRPr="00FA71C3">
              <w:t xml:space="preserve">1 </w:t>
            </w:r>
            <w:r w:rsidR="00070967" w:rsidRPr="00FA71C3">
              <w:t>July 2018</w:t>
            </w:r>
          </w:p>
        </w:tc>
        <w:tc>
          <w:tcPr>
            <w:tcW w:w="2410" w:type="dxa"/>
            <w:vAlign w:val="center"/>
          </w:tcPr>
          <w:p w14:paraId="710568CD" w14:textId="77777777" w:rsidR="00070967" w:rsidRPr="00FA71C3" w:rsidRDefault="003258A2" w:rsidP="00A268BD">
            <w:pPr>
              <w:pStyle w:val="Tablecontent"/>
            </w:pPr>
            <w:r w:rsidRPr="00FA71C3">
              <w:t xml:space="preserve">30 November </w:t>
            </w:r>
            <w:r w:rsidR="00070967" w:rsidRPr="00FA71C3">
              <w:t>2018</w:t>
            </w:r>
          </w:p>
        </w:tc>
      </w:tr>
      <w:tr w:rsidR="00070967" w:rsidRPr="00FA71C3" w14:paraId="1CDF7736" w14:textId="77777777" w:rsidTr="007F7E73">
        <w:trPr>
          <w:trHeight w:val="419"/>
        </w:trPr>
        <w:tc>
          <w:tcPr>
            <w:tcW w:w="2972" w:type="dxa"/>
            <w:vAlign w:val="center"/>
          </w:tcPr>
          <w:p w14:paraId="47B31D60" w14:textId="77777777" w:rsidR="00070967" w:rsidRPr="00FA71C3" w:rsidRDefault="00070967" w:rsidP="00A268BD">
            <w:pPr>
              <w:pStyle w:val="Tablecontent"/>
            </w:pPr>
            <w:r w:rsidRPr="00FA71C3">
              <w:t xml:space="preserve">Central </w:t>
            </w:r>
            <w:r w:rsidR="003258A2" w:rsidRPr="00FA71C3">
              <w:t>South</w:t>
            </w:r>
          </w:p>
        </w:tc>
        <w:tc>
          <w:tcPr>
            <w:tcW w:w="2268" w:type="dxa"/>
            <w:vAlign w:val="center"/>
          </w:tcPr>
          <w:p w14:paraId="3D7ABBAD" w14:textId="77777777" w:rsidR="00070967" w:rsidRPr="00FA71C3" w:rsidRDefault="003258A2" w:rsidP="00A268BD">
            <w:pPr>
              <w:pStyle w:val="Tablecontent"/>
            </w:pPr>
            <w:r w:rsidRPr="00FA71C3">
              <w:t xml:space="preserve">1 August </w:t>
            </w:r>
            <w:r w:rsidR="00070967" w:rsidRPr="00FA71C3">
              <w:t>2018</w:t>
            </w:r>
          </w:p>
        </w:tc>
        <w:tc>
          <w:tcPr>
            <w:tcW w:w="2410" w:type="dxa"/>
            <w:vAlign w:val="center"/>
          </w:tcPr>
          <w:p w14:paraId="287EA07C" w14:textId="77777777" w:rsidR="00070967" w:rsidRPr="00FA71C3" w:rsidRDefault="003258A2" w:rsidP="00A268BD">
            <w:pPr>
              <w:pStyle w:val="Tablecontent"/>
            </w:pPr>
            <w:r w:rsidRPr="00FA71C3">
              <w:t xml:space="preserve">31 October </w:t>
            </w:r>
            <w:r w:rsidR="00070967" w:rsidRPr="00FA71C3">
              <w:t>2018</w:t>
            </w:r>
          </w:p>
        </w:tc>
      </w:tr>
      <w:tr w:rsidR="00070967" w:rsidRPr="00FA71C3" w14:paraId="0CAB726C" w14:textId="77777777" w:rsidTr="007F7E73">
        <w:trPr>
          <w:trHeight w:val="410"/>
        </w:trPr>
        <w:tc>
          <w:tcPr>
            <w:tcW w:w="2972" w:type="dxa"/>
            <w:vAlign w:val="center"/>
          </w:tcPr>
          <w:p w14:paraId="43ED1501" w14:textId="77777777" w:rsidR="00070967" w:rsidRPr="00FA71C3" w:rsidRDefault="00070967" w:rsidP="00A268BD">
            <w:pPr>
              <w:pStyle w:val="Tablecontent"/>
            </w:pPr>
            <w:r w:rsidRPr="00FA71C3">
              <w:t>Lower South</w:t>
            </w:r>
            <w:r w:rsidR="003258A2" w:rsidRPr="00FA71C3">
              <w:t xml:space="preserve"> West</w:t>
            </w:r>
          </w:p>
        </w:tc>
        <w:tc>
          <w:tcPr>
            <w:tcW w:w="2268" w:type="dxa"/>
            <w:vAlign w:val="center"/>
          </w:tcPr>
          <w:p w14:paraId="794B9EA7" w14:textId="77777777" w:rsidR="00070967" w:rsidRPr="00FA71C3" w:rsidRDefault="003258A2" w:rsidP="00A268BD">
            <w:pPr>
              <w:pStyle w:val="Tablecontent"/>
            </w:pPr>
            <w:r w:rsidRPr="00FA71C3">
              <w:t xml:space="preserve">1 September </w:t>
            </w:r>
            <w:r w:rsidR="00070967" w:rsidRPr="00FA71C3">
              <w:t>2018</w:t>
            </w:r>
          </w:p>
        </w:tc>
        <w:tc>
          <w:tcPr>
            <w:tcW w:w="2410" w:type="dxa"/>
            <w:vAlign w:val="center"/>
          </w:tcPr>
          <w:p w14:paraId="65125DF5" w14:textId="77777777" w:rsidR="00070967" w:rsidRPr="00FA71C3" w:rsidRDefault="003258A2" w:rsidP="00A268BD">
            <w:pPr>
              <w:pStyle w:val="Tablecontent"/>
            </w:pPr>
            <w:r w:rsidRPr="00FA71C3">
              <w:t xml:space="preserve">31 </w:t>
            </w:r>
            <w:r w:rsidR="00070967" w:rsidRPr="00FA71C3">
              <w:t>December 2018</w:t>
            </w:r>
          </w:p>
        </w:tc>
      </w:tr>
      <w:tr w:rsidR="00070967" w:rsidRPr="00FA71C3" w14:paraId="4E728112" w14:textId="77777777" w:rsidTr="007F7E73">
        <w:trPr>
          <w:trHeight w:val="416"/>
        </w:trPr>
        <w:tc>
          <w:tcPr>
            <w:tcW w:w="2972" w:type="dxa"/>
            <w:vAlign w:val="center"/>
          </w:tcPr>
          <w:p w14:paraId="28515AB9" w14:textId="77777777" w:rsidR="00070967" w:rsidRPr="00FA71C3" w:rsidRDefault="00070967" w:rsidP="00A268BD">
            <w:pPr>
              <w:pStyle w:val="Tablecontent"/>
            </w:pPr>
            <w:r w:rsidRPr="00FA71C3">
              <w:t>Kimberley-Pilbara</w:t>
            </w:r>
          </w:p>
        </w:tc>
        <w:tc>
          <w:tcPr>
            <w:tcW w:w="2268" w:type="dxa"/>
            <w:vAlign w:val="center"/>
          </w:tcPr>
          <w:p w14:paraId="54123B9B" w14:textId="77777777" w:rsidR="00070967" w:rsidRPr="00FA71C3" w:rsidRDefault="004E3B01" w:rsidP="00A268BD">
            <w:pPr>
              <w:pStyle w:val="Tablecontent"/>
            </w:pPr>
            <w:r w:rsidRPr="00FA71C3">
              <w:t xml:space="preserve">1 </w:t>
            </w:r>
            <w:r w:rsidR="00070967" w:rsidRPr="00FA71C3">
              <w:t>October 2018</w:t>
            </w:r>
          </w:p>
        </w:tc>
        <w:tc>
          <w:tcPr>
            <w:tcW w:w="2410" w:type="dxa"/>
            <w:vAlign w:val="center"/>
          </w:tcPr>
          <w:p w14:paraId="5A857F53" w14:textId="77777777" w:rsidR="00070967" w:rsidRPr="00FA71C3" w:rsidRDefault="004E3B01" w:rsidP="00A268BD">
            <w:pPr>
              <w:pStyle w:val="Tablecontent"/>
            </w:pPr>
            <w:r w:rsidRPr="00FA71C3">
              <w:t xml:space="preserve">31 </w:t>
            </w:r>
            <w:r w:rsidR="00070967" w:rsidRPr="00FA71C3">
              <w:t>December 2018</w:t>
            </w:r>
          </w:p>
        </w:tc>
      </w:tr>
      <w:tr w:rsidR="00070967" w:rsidRPr="00FA71C3" w14:paraId="63076F27" w14:textId="77777777" w:rsidTr="007F7E73">
        <w:trPr>
          <w:trHeight w:val="712"/>
        </w:trPr>
        <w:tc>
          <w:tcPr>
            <w:tcW w:w="2972" w:type="dxa"/>
            <w:vAlign w:val="center"/>
          </w:tcPr>
          <w:p w14:paraId="19CE7B4A" w14:textId="77777777" w:rsidR="00070967" w:rsidRPr="00FA71C3" w:rsidRDefault="00070967" w:rsidP="00A268BD">
            <w:pPr>
              <w:pStyle w:val="Tablecontent"/>
              <w:rPr>
                <w:b/>
              </w:rPr>
            </w:pPr>
            <w:r w:rsidRPr="00FA71C3">
              <w:rPr>
                <w:b/>
              </w:rPr>
              <w:t>Total Estimated</w:t>
            </w:r>
          </w:p>
          <w:p w14:paraId="215C8101" w14:textId="77777777" w:rsidR="00070967" w:rsidRPr="00FA71C3" w:rsidRDefault="00070967" w:rsidP="00A268BD">
            <w:pPr>
              <w:pStyle w:val="Tablecontent"/>
              <w:rPr>
                <w:b/>
              </w:rPr>
            </w:pPr>
            <w:r w:rsidRPr="00FA71C3">
              <w:rPr>
                <w:b/>
              </w:rPr>
              <w:t xml:space="preserve">Cumulative Intake </w:t>
            </w:r>
          </w:p>
        </w:tc>
        <w:tc>
          <w:tcPr>
            <w:tcW w:w="2268" w:type="dxa"/>
            <w:vAlign w:val="center"/>
          </w:tcPr>
          <w:p w14:paraId="74CDC2E6" w14:textId="77777777" w:rsidR="00070967" w:rsidRPr="00FA71C3" w:rsidRDefault="00070967" w:rsidP="00A268BD">
            <w:pPr>
              <w:pStyle w:val="Tablecontent"/>
              <w:rPr>
                <w:b/>
              </w:rPr>
            </w:pPr>
          </w:p>
        </w:tc>
        <w:tc>
          <w:tcPr>
            <w:tcW w:w="2410" w:type="dxa"/>
            <w:vAlign w:val="center"/>
          </w:tcPr>
          <w:p w14:paraId="14BAF2F5" w14:textId="77777777" w:rsidR="00070967" w:rsidRPr="00FA71C3" w:rsidRDefault="00070967" w:rsidP="00A268BD">
            <w:pPr>
              <w:pStyle w:val="Tablecontent"/>
              <w:rPr>
                <w:b/>
              </w:rPr>
            </w:pPr>
            <w:r w:rsidRPr="00FA71C3">
              <w:rPr>
                <w:b/>
              </w:rPr>
              <w:t>8711</w:t>
            </w:r>
          </w:p>
        </w:tc>
      </w:tr>
    </w:tbl>
    <w:p w14:paraId="2F401651" w14:textId="77777777" w:rsidR="00E95283" w:rsidRPr="00FA71C3" w:rsidRDefault="00E95283" w:rsidP="0063126E">
      <w:pPr>
        <w:pStyle w:val="Default"/>
        <w:spacing w:after="240" w:line="276" w:lineRule="auto"/>
        <w:rPr>
          <w:rFonts w:ascii="Arial" w:hAnsi="Arial" w:cs="Arial"/>
          <w:color w:val="auto"/>
        </w:rPr>
      </w:pPr>
    </w:p>
    <w:p w14:paraId="48A4F186" w14:textId="77777777" w:rsidR="000339FE" w:rsidRPr="007B7FA1" w:rsidRDefault="000339FE" w:rsidP="003A5E56">
      <w:pPr>
        <w:pStyle w:val="Heading2"/>
      </w:pPr>
      <w:r w:rsidRPr="007B7FA1">
        <w:t xml:space="preserve">3. Working together </w:t>
      </w:r>
    </w:p>
    <w:p w14:paraId="7AD2822F"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 xml:space="preserve">The Plan has been developed in partnership between the NDIA and the Commonwealth and Western Australian Governments. The parties are committed </w:t>
      </w:r>
      <w:r w:rsidR="0082432B" w:rsidRPr="00FA71C3">
        <w:rPr>
          <w:rFonts w:ascii="Arial" w:hAnsi="Arial" w:cs="Arial"/>
          <w:color w:val="auto"/>
        </w:rPr>
        <w:t>to working together</w:t>
      </w:r>
      <w:r w:rsidRPr="00FA71C3">
        <w:rPr>
          <w:rFonts w:ascii="Arial" w:hAnsi="Arial" w:cs="Arial"/>
          <w:color w:val="auto"/>
        </w:rPr>
        <w:t xml:space="preserve"> </w:t>
      </w:r>
      <w:r w:rsidR="0082432B" w:rsidRPr="00FA71C3">
        <w:rPr>
          <w:rFonts w:ascii="Arial" w:hAnsi="Arial" w:cs="Arial"/>
          <w:color w:val="auto"/>
        </w:rPr>
        <w:t>on the implementation of the Plan</w:t>
      </w:r>
      <w:r w:rsidR="00FA71C3" w:rsidRPr="00FA71C3">
        <w:rPr>
          <w:rFonts w:ascii="Arial" w:hAnsi="Arial" w:cs="Arial"/>
          <w:color w:val="auto"/>
        </w:rPr>
        <w:t xml:space="preserve"> </w:t>
      </w:r>
      <w:r w:rsidRPr="00FA71C3">
        <w:rPr>
          <w:rFonts w:ascii="Arial" w:hAnsi="Arial" w:cs="Arial"/>
          <w:color w:val="auto"/>
        </w:rPr>
        <w:t>to ensure the best possible outcomes for people with disability</w:t>
      </w:r>
      <w:r w:rsidR="00A03C9C" w:rsidRPr="00FA71C3">
        <w:rPr>
          <w:rFonts w:ascii="Arial" w:hAnsi="Arial" w:cs="Arial"/>
          <w:color w:val="auto"/>
        </w:rPr>
        <w:t xml:space="preserve"> are achieved</w:t>
      </w:r>
      <w:r w:rsidRPr="00FA71C3">
        <w:rPr>
          <w:rFonts w:ascii="Arial" w:hAnsi="Arial" w:cs="Arial"/>
          <w:color w:val="auto"/>
        </w:rPr>
        <w:t xml:space="preserve">. </w:t>
      </w:r>
    </w:p>
    <w:p w14:paraId="78D9437A" w14:textId="77777777" w:rsidR="000339FE" w:rsidRPr="007B7FA1" w:rsidRDefault="000339FE" w:rsidP="003A5E56">
      <w:pPr>
        <w:pStyle w:val="Heading2"/>
      </w:pPr>
      <w:r w:rsidRPr="007B7FA1">
        <w:t xml:space="preserve">4. Governance </w:t>
      </w:r>
    </w:p>
    <w:p w14:paraId="41FE89A5" w14:textId="77777777" w:rsidR="000339FE" w:rsidRPr="00FA71C3" w:rsidRDefault="000339FE" w:rsidP="0063126E">
      <w:pPr>
        <w:pStyle w:val="Default"/>
        <w:spacing w:line="276" w:lineRule="auto"/>
        <w:rPr>
          <w:rFonts w:ascii="Arial" w:hAnsi="Arial" w:cs="Arial"/>
          <w:color w:val="auto"/>
        </w:rPr>
      </w:pPr>
      <w:r w:rsidRPr="00FA71C3">
        <w:rPr>
          <w:rFonts w:ascii="Arial" w:hAnsi="Arial" w:cs="Arial"/>
          <w:color w:val="auto"/>
        </w:rPr>
        <w:t xml:space="preserve">Governance structures will be established to monitor, guide and ensure implementation of both </w:t>
      </w:r>
      <w:r w:rsidR="00C8090C" w:rsidRPr="00FA71C3">
        <w:rPr>
          <w:rFonts w:ascii="Arial" w:hAnsi="Arial" w:cs="Arial"/>
          <w:color w:val="auto"/>
        </w:rPr>
        <w:t>t</w:t>
      </w:r>
      <w:r w:rsidRPr="00FA71C3">
        <w:rPr>
          <w:rFonts w:ascii="Arial" w:hAnsi="Arial" w:cs="Arial"/>
          <w:color w:val="auto"/>
        </w:rPr>
        <w:t xml:space="preserve">ransfer and </w:t>
      </w:r>
      <w:r w:rsidR="00C8090C" w:rsidRPr="00FA71C3">
        <w:rPr>
          <w:rFonts w:ascii="Arial" w:hAnsi="Arial" w:cs="Arial"/>
          <w:color w:val="auto"/>
        </w:rPr>
        <w:t>t</w:t>
      </w:r>
      <w:r w:rsidRPr="00FA71C3">
        <w:rPr>
          <w:rFonts w:ascii="Arial" w:hAnsi="Arial" w:cs="Arial"/>
          <w:color w:val="auto"/>
        </w:rPr>
        <w:t xml:space="preserve">ransition activities. Once </w:t>
      </w:r>
      <w:r w:rsidR="00C8090C" w:rsidRPr="00FA71C3">
        <w:rPr>
          <w:rFonts w:ascii="Arial" w:hAnsi="Arial" w:cs="Arial"/>
          <w:color w:val="auto"/>
        </w:rPr>
        <w:t>t</w:t>
      </w:r>
      <w:r w:rsidRPr="00FA71C3">
        <w:rPr>
          <w:rFonts w:ascii="Arial" w:hAnsi="Arial" w:cs="Arial"/>
          <w:color w:val="auto"/>
        </w:rPr>
        <w:t xml:space="preserve">ransfer activities are completed the Governance bodies will continue to ensure the successful completion of </w:t>
      </w:r>
      <w:r w:rsidR="00C8090C" w:rsidRPr="00FA71C3">
        <w:rPr>
          <w:rFonts w:ascii="Arial" w:hAnsi="Arial" w:cs="Arial"/>
          <w:color w:val="auto"/>
        </w:rPr>
        <w:t>t</w:t>
      </w:r>
      <w:r w:rsidRPr="00FA71C3">
        <w:rPr>
          <w:rFonts w:ascii="Arial" w:hAnsi="Arial" w:cs="Arial"/>
          <w:color w:val="auto"/>
        </w:rPr>
        <w:t xml:space="preserve">ransition activities. </w:t>
      </w:r>
    </w:p>
    <w:p w14:paraId="5CF34F30" w14:textId="77777777" w:rsidR="000339FE" w:rsidRPr="00FA71C3" w:rsidRDefault="00FE116A" w:rsidP="0063126E">
      <w:pPr>
        <w:pStyle w:val="Default"/>
        <w:spacing w:after="240" w:line="276" w:lineRule="auto"/>
        <w:rPr>
          <w:rFonts w:ascii="Arial" w:hAnsi="Arial" w:cs="Arial"/>
          <w:color w:val="auto"/>
        </w:rPr>
      </w:pPr>
      <w:r w:rsidRPr="00FA71C3">
        <w:rPr>
          <w:rFonts w:ascii="Arial" w:hAnsi="Arial" w:cs="Arial"/>
          <w:color w:val="auto"/>
        </w:rPr>
        <w:br/>
      </w:r>
      <w:r w:rsidR="000339FE" w:rsidRPr="00FA71C3">
        <w:rPr>
          <w:rFonts w:ascii="Arial" w:hAnsi="Arial" w:cs="Arial"/>
          <w:color w:val="auto"/>
        </w:rPr>
        <w:t>The WA Executive Steering Committee (ESC)</w:t>
      </w:r>
      <w:r w:rsidR="00C8090C" w:rsidRPr="00FA71C3">
        <w:rPr>
          <w:rFonts w:ascii="Arial" w:hAnsi="Arial" w:cs="Arial"/>
          <w:color w:val="auto"/>
        </w:rPr>
        <w:t>,</w:t>
      </w:r>
      <w:r w:rsidR="000339FE" w:rsidRPr="00FA71C3">
        <w:rPr>
          <w:rFonts w:ascii="Arial" w:hAnsi="Arial" w:cs="Arial"/>
          <w:color w:val="auto"/>
        </w:rPr>
        <w:t xml:space="preserve"> consisting of officials from the Western Australian and Commonwealth Governments and the NDIA </w:t>
      </w:r>
      <w:r w:rsidR="00A03C9C" w:rsidRPr="00FA71C3">
        <w:rPr>
          <w:rFonts w:ascii="Arial" w:hAnsi="Arial" w:cs="Arial"/>
          <w:color w:val="auto"/>
        </w:rPr>
        <w:t xml:space="preserve">has been </w:t>
      </w:r>
      <w:r w:rsidR="000339FE" w:rsidRPr="00FA71C3">
        <w:rPr>
          <w:rFonts w:ascii="Arial" w:hAnsi="Arial" w:cs="Arial"/>
          <w:color w:val="auto"/>
        </w:rPr>
        <w:t>established through the Operational Plan to provide monitoring, accountability and issues resolution for the deliverables agreed under each work stream of the Transfer Plan as well as the Bilateral Agreement and Operational Plan. Meeting arrangements for the ESC will be agreed between the parties</w:t>
      </w:r>
      <w:r w:rsidR="00841460" w:rsidRPr="00FA71C3">
        <w:rPr>
          <w:rFonts w:ascii="Arial" w:hAnsi="Arial" w:cs="Arial"/>
          <w:color w:val="auto"/>
        </w:rPr>
        <w:t>.</w:t>
      </w:r>
      <w:r w:rsidR="000339FE" w:rsidRPr="00FA71C3">
        <w:rPr>
          <w:rFonts w:ascii="Arial" w:hAnsi="Arial" w:cs="Arial"/>
          <w:color w:val="auto"/>
        </w:rPr>
        <w:t xml:space="preserve"> </w:t>
      </w:r>
    </w:p>
    <w:p w14:paraId="7D31D2E1"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lastRenderedPageBreak/>
        <w:t xml:space="preserve">A WA Operational Working Group (WA OWG), consisting of officials from the Western Australian and Commonwealth Governments and the NDIA </w:t>
      </w:r>
      <w:r w:rsidR="00A03C9C" w:rsidRPr="00FA71C3">
        <w:rPr>
          <w:rFonts w:ascii="Arial" w:hAnsi="Arial" w:cs="Arial"/>
          <w:color w:val="auto"/>
        </w:rPr>
        <w:t xml:space="preserve">has been </w:t>
      </w:r>
      <w:r w:rsidRPr="00FA71C3">
        <w:rPr>
          <w:rFonts w:ascii="Arial" w:hAnsi="Arial" w:cs="Arial"/>
          <w:color w:val="auto"/>
        </w:rPr>
        <w:t xml:space="preserve">established through the Operational Plan to ensure operational deliverables of the Transfer Plan as well as the Bilateral Agreement and Operational Plan are met. </w:t>
      </w:r>
      <w:r w:rsidR="0082432B" w:rsidRPr="00FA71C3">
        <w:rPr>
          <w:rFonts w:ascii="Arial" w:hAnsi="Arial" w:cs="Arial"/>
          <w:color w:val="auto"/>
        </w:rPr>
        <w:t xml:space="preserve">The WA </w:t>
      </w:r>
      <w:r w:rsidR="00FE116A" w:rsidRPr="00FA71C3">
        <w:rPr>
          <w:rFonts w:ascii="Arial" w:hAnsi="Arial" w:cs="Arial"/>
          <w:color w:val="auto"/>
        </w:rPr>
        <w:t>OWG</w:t>
      </w:r>
      <w:r w:rsidR="0082432B" w:rsidRPr="00FA71C3">
        <w:rPr>
          <w:rFonts w:ascii="Arial" w:hAnsi="Arial" w:cs="Arial"/>
          <w:color w:val="auto"/>
        </w:rPr>
        <w:t xml:space="preserve"> oversees the Working Groups which </w:t>
      </w:r>
      <w:r w:rsidR="00FE116A" w:rsidRPr="00FA71C3">
        <w:rPr>
          <w:rFonts w:ascii="Arial" w:hAnsi="Arial" w:cs="Arial"/>
          <w:color w:val="auto"/>
        </w:rPr>
        <w:t>will be responsible for the achievement of these deliverables.</w:t>
      </w:r>
    </w:p>
    <w:p w14:paraId="7B73F7E6" w14:textId="77777777"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The</w:t>
      </w:r>
      <w:r w:rsidR="00115F52" w:rsidRPr="00FA71C3">
        <w:rPr>
          <w:rFonts w:ascii="Arial" w:hAnsi="Arial" w:cs="Arial"/>
          <w:color w:val="auto"/>
        </w:rPr>
        <w:t xml:space="preserve"> implementation of the</w:t>
      </w:r>
      <w:r w:rsidRPr="00FA71C3">
        <w:rPr>
          <w:rFonts w:ascii="Arial" w:hAnsi="Arial" w:cs="Arial"/>
          <w:color w:val="auto"/>
        </w:rPr>
        <w:t xml:space="preserve"> Transfer Plan </w:t>
      </w:r>
      <w:r w:rsidR="00FE116A" w:rsidRPr="00FA71C3">
        <w:rPr>
          <w:rFonts w:ascii="Arial" w:hAnsi="Arial" w:cs="Arial"/>
          <w:color w:val="auto"/>
        </w:rPr>
        <w:t>will be underpinned by a risk management framework which will ensure achievement against critical success factors</w:t>
      </w:r>
      <w:r w:rsidRPr="00FA71C3">
        <w:rPr>
          <w:rFonts w:ascii="Arial" w:hAnsi="Arial" w:cs="Arial"/>
          <w:color w:val="auto"/>
        </w:rPr>
        <w:t xml:space="preserve">. </w:t>
      </w:r>
      <w:r w:rsidR="00FE116A" w:rsidRPr="00FA71C3">
        <w:rPr>
          <w:rFonts w:ascii="Arial" w:hAnsi="Arial" w:cs="Arial"/>
          <w:color w:val="auto"/>
        </w:rPr>
        <w:t>I</w:t>
      </w:r>
      <w:r w:rsidRPr="00FA71C3">
        <w:rPr>
          <w:rFonts w:ascii="Arial" w:hAnsi="Arial" w:cs="Arial"/>
          <w:color w:val="auto"/>
        </w:rPr>
        <w:t xml:space="preserve">ssues will be </w:t>
      </w:r>
      <w:r w:rsidR="00FE116A" w:rsidRPr="00FA71C3">
        <w:rPr>
          <w:rFonts w:ascii="Arial" w:hAnsi="Arial" w:cs="Arial"/>
          <w:color w:val="auto"/>
        </w:rPr>
        <w:t>escalated to the OWG and ESC</w:t>
      </w:r>
      <w:r w:rsidRPr="00FA71C3">
        <w:rPr>
          <w:rFonts w:ascii="Arial" w:hAnsi="Arial" w:cs="Arial"/>
          <w:color w:val="auto"/>
        </w:rPr>
        <w:t xml:space="preserve"> </w:t>
      </w:r>
      <w:r w:rsidR="00FE116A" w:rsidRPr="00FA71C3">
        <w:rPr>
          <w:rFonts w:ascii="Arial" w:hAnsi="Arial" w:cs="Arial"/>
          <w:color w:val="auto"/>
        </w:rPr>
        <w:t>commensurate</w:t>
      </w:r>
      <w:r w:rsidRPr="00FA71C3">
        <w:rPr>
          <w:rFonts w:ascii="Arial" w:hAnsi="Arial" w:cs="Arial"/>
          <w:color w:val="auto"/>
        </w:rPr>
        <w:t xml:space="preserve"> impact</w:t>
      </w:r>
      <w:r w:rsidR="00115F52" w:rsidRPr="00FA71C3">
        <w:rPr>
          <w:rFonts w:ascii="Arial" w:hAnsi="Arial" w:cs="Arial"/>
          <w:color w:val="auto"/>
        </w:rPr>
        <w:t xml:space="preserve"> and significance</w:t>
      </w:r>
      <w:r w:rsidRPr="00FA71C3">
        <w:rPr>
          <w:rFonts w:ascii="Arial" w:hAnsi="Arial" w:cs="Arial"/>
          <w:color w:val="auto"/>
        </w:rPr>
        <w:t>.</w:t>
      </w:r>
    </w:p>
    <w:p w14:paraId="2AFA1DA1" w14:textId="77777777" w:rsidR="000339FE" w:rsidRPr="00FA71C3" w:rsidRDefault="00115F52" w:rsidP="0063126E">
      <w:pPr>
        <w:pStyle w:val="Default"/>
        <w:spacing w:after="240" w:line="276" w:lineRule="auto"/>
        <w:rPr>
          <w:rFonts w:ascii="Arial" w:hAnsi="Arial" w:cs="Arial"/>
          <w:color w:val="auto"/>
        </w:rPr>
      </w:pPr>
      <w:r w:rsidRPr="00FA71C3">
        <w:rPr>
          <w:rFonts w:ascii="Arial" w:hAnsi="Arial" w:cs="Arial"/>
          <w:color w:val="auto"/>
        </w:rPr>
        <w:t xml:space="preserve">These arrangements will ensure that risks are adequately monitored, with any issues proactively solved through escalation, where appropriate. </w:t>
      </w:r>
      <w:r w:rsidR="000339FE" w:rsidRPr="00FA71C3">
        <w:rPr>
          <w:rFonts w:ascii="Arial" w:hAnsi="Arial" w:cs="Arial"/>
          <w:color w:val="auto"/>
        </w:rPr>
        <w:t xml:space="preserve">The parties will agree to risk </w:t>
      </w:r>
      <w:r w:rsidRPr="00FA71C3">
        <w:rPr>
          <w:rFonts w:ascii="Arial" w:hAnsi="Arial" w:cs="Arial"/>
          <w:color w:val="auto"/>
        </w:rPr>
        <w:t xml:space="preserve">treatments </w:t>
      </w:r>
      <w:r w:rsidR="000339FE" w:rsidRPr="00FA71C3">
        <w:rPr>
          <w:rFonts w:ascii="Arial" w:hAnsi="Arial" w:cs="Arial"/>
          <w:color w:val="auto"/>
        </w:rPr>
        <w:t xml:space="preserve">and revised timings as needed in line with Clauses 49 to 51 of the Bilateral Agreement. </w:t>
      </w:r>
    </w:p>
    <w:p w14:paraId="584F72B1" w14:textId="77777777" w:rsidR="000339FE" w:rsidRPr="007B7FA1" w:rsidRDefault="000339FE" w:rsidP="003A5E56">
      <w:pPr>
        <w:pStyle w:val="Heading2"/>
      </w:pPr>
      <w:r w:rsidRPr="007B7FA1">
        <w:t xml:space="preserve">5. Key streams of work: </w:t>
      </w:r>
    </w:p>
    <w:p w14:paraId="7AEFDBE5" w14:textId="282AFC20" w:rsidR="000339FE" w:rsidRPr="00FA71C3" w:rsidRDefault="000339FE" w:rsidP="0063126E">
      <w:pPr>
        <w:pStyle w:val="Default"/>
        <w:spacing w:after="240" w:line="276" w:lineRule="auto"/>
        <w:rPr>
          <w:rFonts w:ascii="Arial" w:hAnsi="Arial" w:cs="Arial"/>
          <w:color w:val="auto"/>
        </w:rPr>
      </w:pPr>
      <w:r w:rsidRPr="00FA71C3">
        <w:rPr>
          <w:rFonts w:ascii="Arial" w:hAnsi="Arial" w:cs="Arial"/>
          <w:color w:val="auto"/>
        </w:rPr>
        <w:t xml:space="preserve">The following key streams of work have been identified for managing the transfer. They will draw </w:t>
      </w:r>
      <w:r w:rsidR="00115F52" w:rsidRPr="00FA71C3">
        <w:rPr>
          <w:rFonts w:ascii="Arial" w:hAnsi="Arial" w:cs="Arial"/>
          <w:color w:val="auto"/>
        </w:rPr>
        <w:t xml:space="preserve">on </w:t>
      </w:r>
      <w:r w:rsidRPr="00FA71C3">
        <w:rPr>
          <w:rFonts w:ascii="Arial" w:hAnsi="Arial" w:cs="Arial"/>
          <w:color w:val="auto"/>
        </w:rPr>
        <w:t xml:space="preserve">lessons learnt from trial and transition </w:t>
      </w:r>
      <w:r w:rsidR="007F7E73" w:rsidRPr="00FA71C3">
        <w:rPr>
          <w:rFonts w:ascii="Arial" w:hAnsi="Arial" w:cs="Arial"/>
          <w:color w:val="auto"/>
        </w:rPr>
        <w:t>activities and</w:t>
      </w:r>
      <w:r w:rsidRPr="00FA71C3">
        <w:rPr>
          <w:rFonts w:ascii="Arial" w:hAnsi="Arial" w:cs="Arial"/>
          <w:color w:val="auto"/>
        </w:rPr>
        <w:t xml:space="preserve"> build on </w:t>
      </w:r>
      <w:r w:rsidR="00115F52" w:rsidRPr="00FA71C3">
        <w:rPr>
          <w:rFonts w:ascii="Arial" w:hAnsi="Arial" w:cs="Arial"/>
          <w:color w:val="auto"/>
        </w:rPr>
        <w:t xml:space="preserve">existing experience </w:t>
      </w:r>
      <w:r w:rsidRPr="00FA71C3">
        <w:rPr>
          <w:rFonts w:ascii="Arial" w:hAnsi="Arial" w:cs="Arial"/>
          <w:color w:val="auto"/>
        </w:rPr>
        <w:t xml:space="preserve">in </w:t>
      </w:r>
      <w:r w:rsidR="00115F52" w:rsidRPr="00FA71C3">
        <w:rPr>
          <w:rFonts w:ascii="Arial" w:hAnsi="Arial" w:cs="Arial"/>
          <w:color w:val="auto"/>
        </w:rPr>
        <w:t>the management of Western Australia’s</w:t>
      </w:r>
      <w:r w:rsidRPr="00FA71C3">
        <w:rPr>
          <w:rFonts w:ascii="Arial" w:hAnsi="Arial" w:cs="Arial"/>
          <w:color w:val="auto"/>
        </w:rPr>
        <w:t xml:space="preserve"> disability service system</w:t>
      </w:r>
      <w:r w:rsidR="00115F52" w:rsidRPr="00FA71C3">
        <w:rPr>
          <w:rFonts w:ascii="Arial" w:hAnsi="Arial" w:cs="Arial"/>
          <w:color w:val="auto"/>
        </w:rPr>
        <w:t>, including</w:t>
      </w:r>
      <w:r w:rsidRPr="00FA71C3">
        <w:rPr>
          <w:rFonts w:ascii="Arial" w:hAnsi="Arial" w:cs="Arial"/>
          <w:color w:val="auto"/>
        </w:rPr>
        <w:t xml:space="preserve"> the WA NDIS. </w:t>
      </w:r>
    </w:p>
    <w:p w14:paraId="5ED3DA19" w14:textId="77777777" w:rsidR="000339FE" w:rsidRPr="003A5E56" w:rsidRDefault="000339FE" w:rsidP="003A5E56">
      <w:pPr>
        <w:pStyle w:val="Heading3"/>
      </w:pPr>
      <w:r w:rsidRPr="003A5E56">
        <w:t xml:space="preserve">5.1. Legislative framework and review </w:t>
      </w:r>
    </w:p>
    <w:p w14:paraId="0062DF4E" w14:textId="77777777" w:rsidR="009F2B8E" w:rsidRPr="00FA71C3" w:rsidRDefault="009F2B8E" w:rsidP="007B7FA1">
      <w:pPr>
        <w:pStyle w:val="Default"/>
        <w:spacing w:after="240" w:line="276" w:lineRule="auto"/>
        <w:rPr>
          <w:rFonts w:ascii="Arial" w:hAnsi="Arial" w:cs="Arial"/>
          <w:bCs/>
          <w:color w:val="auto"/>
        </w:rPr>
      </w:pPr>
      <w:r w:rsidRPr="00FA71C3">
        <w:rPr>
          <w:rFonts w:ascii="Arial" w:hAnsi="Arial" w:cs="Arial"/>
          <w:bCs/>
          <w:color w:val="auto"/>
        </w:rPr>
        <w:t xml:space="preserve">This will aim to ensure that WA legislation supports and does not impede the full implementation of the NDIS. </w:t>
      </w:r>
    </w:p>
    <w:p w14:paraId="6C1D6E3A" w14:textId="77777777" w:rsidR="000339FE" w:rsidRPr="007B7FA1" w:rsidRDefault="000339FE" w:rsidP="003A5E56">
      <w:pPr>
        <w:pStyle w:val="Heading3"/>
      </w:pPr>
      <w:r w:rsidRPr="007B7FA1">
        <w:t xml:space="preserve">5.2. </w:t>
      </w:r>
      <w:r w:rsidR="00E95283" w:rsidRPr="007B7FA1">
        <w:t>Systems to support</w:t>
      </w:r>
      <w:r w:rsidRPr="007B7FA1">
        <w:t xml:space="preserve"> Participant Plan Transfer </w:t>
      </w:r>
    </w:p>
    <w:p w14:paraId="401A9E6F" w14:textId="77777777" w:rsidR="002358F6" w:rsidRPr="00FA71C3" w:rsidRDefault="002358F6" w:rsidP="007B7FA1">
      <w:pPr>
        <w:pStyle w:val="Default"/>
        <w:spacing w:after="240" w:line="276" w:lineRule="auto"/>
        <w:rPr>
          <w:rFonts w:ascii="Arial" w:hAnsi="Arial" w:cs="Arial"/>
          <w:color w:val="auto"/>
        </w:rPr>
      </w:pPr>
      <w:r w:rsidRPr="00FA71C3">
        <w:rPr>
          <w:rFonts w:ascii="Arial" w:hAnsi="Arial" w:cs="Arial"/>
          <w:color w:val="auto"/>
        </w:rPr>
        <w:t xml:space="preserve">This stream of work focuses on </w:t>
      </w:r>
      <w:r w:rsidR="00083E29" w:rsidRPr="00FA71C3">
        <w:rPr>
          <w:rFonts w:ascii="Arial" w:hAnsi="Arial" w:cs="Arial"/>
          <w:color w:val="auto"/>
        </w:rPr>
        <w:t xml:space="preserve">gathering </w:t>
      </w:r>
      <w:r w:rsidRPr="00FA71C3">
        <w:rPr>
          <w:rFonts w:ascii="Arial" w:hAnsi="Arial" w:cs="Arial"/>
          <w:color w:val="auto"/>
        </w:rPr>
        <w:t xml:space="preserve">information to ensure </w:t>
      </w:r>
      <w:r w:rsidR="00920CFD" w:rsidRPr="00FA71C3">
        <w:rPr>
          <w:rFonts w:ascii="Arial" w:hAnsi="Arial" w:cs="Arial"/>
          <w:color w:val="auto"/>
        </w:rPr>
        <w:t>the efficient and effective</w:t>
      </w:r>
      <w:r w:rsidRPr="00FA71C3">
        <w:rPr>
          <w:rFonts w:ascii="Arial" w:hAnsi="Arial" w:cs="Arial"/>
          <w:color w:val="auto"/>
        </w:rPr>
        <w:t xml:space="preserve"> transfer from </w:t>
      </w:r>
      <w:r w:rsidR="00083E29" w:rsidRPr="00FA71C3">
        <w:rPr>
          <w:rFonts w:ascii="Arial" w:hAnsi="Arial" w:cs="Arial"/>
          <w:color w:val="auto"/>
        </w:rPr>
        <w:t xml:space="preserve">the WA NDIS business system </w:t>
      </w:r>
      <w:r w:rsidRPr="00FA71C3">
        <w:rPr>
          <w:rFonts w:ascii="Arial" w:hAnsi="Arial" w:cs="Arial"/>
          <w:color w:val="auto"/>
        </w:rPr>
        <w:t xml:space="preserve">to the </w:t>
      </w:r>
      <w:r w:rsidR="00083E29" w:rsidRPr="00FA71C3">
        <w:rPr>
          <w:rFonts w:ascii="Arial" w:hAnsi="Arial" w:cs="Arial"/>
          <w:color w:val="auto"/>
        </w:rPr>
        <w:t xml:space="preserve">NDIA </w:t>
      </w:r>
      <w:r w:rsidR="00920CFD" w:rsidRPr="00FA71C3">
        <w:rPr>
          <w:rFonts w:ascii="Arial" w:hAnsi="Arial" w:cs="Arial"/>
          <w:color w:val="auto"/>
        </w:rPr>
        <w:t>b</w:t>
      </w:r>
      <w:r w:rsidR="00083E29" w:rsidRPr="00FA71C3">
        <w:rPr>
          <w:rFonts w:ascii="Arial" w:hAnsi="Arial" w:cs="Arial"/>
          <w:color w:val="auto"/>
        </w:rPr>
        <w:t>usiness system</w:t>
      </w:r>
      <w:r w:rsidR="00E95283" w:rsidRPr="00FA71C3">
        <w:rPr>
          <w:rFonts w:ascii="Arial" w:hAnsi="Arial" w:cs="Arial"/>
          <w:color w:val="auto"/>
        </w:rPr>
        <w:t xml:space="preserve">. </w:t>
      </w:r>
      <w:r w:rsidR="0064717E" w:rsidRPr="00FA71C3">
        <w:rPr>
          <w:rFonts w:ascii="Arial" w:hAnsi="Arial" w:cs="Arial"/>
          <w:color w:val="auto"/>
        </w:rPr>
        <w:t xml:space="preserve"> </w:t>
      </w:r>
    </w:p>
    <w:p w14:paraId="583CD7D2" w14:textId="77777777" w:rsidR="000339FE" w:rsidRPr="007B7FA1" w:rsidRDefault="000339FE" w:rsidP="003A5E56">
      <w:pPr>
        <w:pStyle w:val="Heading3"/>
      </w:pPr>
      <w:r w:rsidRPr="007B7FA1">
        <w:t>5.3. Participant transfer schedule and process</w:t>
      </w:r>
    </w:p>
    <w:p w14:paraId="313088C7" w14:textId="77777777" w:rsidR="0083510E" w:rsidRPr="00FA71C3" w:rsidRDefault="00920CFD" w:rsidP="007B7FA1">
      <w:pPr>
        <w:pStyle w:val="Default"/>
        <w:spacing w:after="240"/>
        <w:rPr>
          <w:rFonts w:ascii="Arial" w:hAnsi="Arial" w:cs="Arial"/>
          <w:color w:val="auto"/>
        </w:rPr>
      </w:pPr>
      <w:r w:rsidRPr="00FA71C3">
        <w:rPr>
          <w:rFonts w:ascii="Arial" w:hAnsi="Arial" w:cs="Arial"/>
          <w:color w:val="auto"/>
        </w:rPr>
        <w:t>To d</w:t>
      </w:r>
      <w:r w:rsidR="006249A3" w:rsidRPr="00FA71C3">
        <w:rPr>
          <w:rFonts w:ascii="Arial" w:hAnsi="Arial" w:cs="Arial"/>
          <w:color w:val="auto"/>
        </w:rPr>
        <w:t>evelop</w:t>
      </w:r>
      <w:r w:rsidRPr="00FA71C3">
        <w:rPr>
          <w:rFonts w:ascii="Arial" w:hAnsi="Arial" w:cs="Arial"/>
          <w:color w:val="auto"/>
        </w:rPr>
        <w:t xml:space="preserve"> participant focused </w:t>
      </w:r>
      <w:r w:rsidR="006249A3" w:rsidRPr="00FA71C3">
        <w:rPr>
          <w:rFonts w:ascii="Arial" w:hAnsi="Arial" w:cs="Arial"/>
          <w:color w:val="auto"/>
        </w:rPr>
        <w:t xml:space="preserve">processes that </w:t>
      </w:r>
      <w:r w:rsidR="009F2B8E" w:rsidRPr="00FA71C3">
        <w:rPr>
          <w:rFonts w:ascii="Arial" w:hAnsi="Arial" w:cs="Arial"/>
          <w:color w:val="auto"/>
        </w:rPr>
        <w:t xml:space="preserve">facilitates </w:t>
      </w:r>
      <w:r w:rsidR="006249A3" w:rsidRPr="00FA71C3">
        <w:rPr>
          <w:rFonts w:ascii="Arial" w:hAnsi="Arial" w:cs="Arial"/>
          <w:color w:val="auto"/>
        </w:rPr>
        <w:t xml:space="preserve">a smooth transfer to the nationally-delivered NDIS. </w:t>
      </w:r>
      <w:r w:rsidR="00C8090C" w:rsidRPr="00FA71C3">
        <w:rPr>
          <w:rFonts w:ascii="Arial" w:hAnsi="Arial" w:cs="Arial"/>
          <w:color w:val="auto"/>
        </w:rPr>
        <w:t xml:space="preserve">The </w:t>
      </w:r>
      <w:r w:rsidR="006249A3" w:rsidRPr="00FA71C3">
        <w:rPr>
          <w:rFonts w:ascii="Arial" w:hAnsi="Arial" w:cs="Arial"/>
          <w:color w:val="auto"/>
        </w:rPr>
        <w:t xml:space="preserve">WA and Commonwealth Governments and NDIA are committed to the </w:t>
      </w:r>
      <w:r w:rsidR="00C8090C" w:rsidRPr="00FA71C3">
        <w:rPr>
          <w:rFonts w:ascii="Arial" w:hAnsi="Arial" w:cs="Arial"/>
          <w:color w:val="auto"/>
        </w:rPr>
        <w:t>t</w:t>
      </w:r>
      <w:r w:rsidR="006249A3" w:rsidRPr="00FA71C3">
        <w:rPr>
          <w:rFonts w:ascii="Arial" w:hAnsi="Arial" w:cs="Arial"/>
          <w:color w:val="auto"/>
        </w:rPr>
        <w:t xml:space="preserve">ransfer </w:t>
      </w:r>
      <w:r w:rsidR="009F2B8E" w:rsidRPr="00FA71C3">
        <w:rPr>
          <w:rFonts w:ascii="Arial" w:hAnsi="Arial" w:cs="Arial"/>
          <w:color w:val="auto"/>
        </w:rPr>
        <w:t>being as smooth as possible, where</w:t>
      </w:r>
      <w:r w:rsidRPr="00FA71C3">
        <w:rPr>
          <w:rFonts w:ascii="Arial" w:hAnsi="Arial" w:cs="Arial"/>
          <w:color w:val="auto"/>
        </w:rPr>
        <w:t xml:space="preserve"> people do not need to provide</w:t>
      </w:r>
      <w:r w:rsidR="009F2B8E" w:rsidRPr="00FA71C3">
        <w:rPr>
          <w:rFonts w:ascii="Arial" w:hAnsi="Arial" w:cs="Arial"/>
          <w:color w:val="auto"/>
        </w:rPr>
        <w:t xml:space="preserve"> the same</w:t>
      </w:r>
      <w:r w:rsidRPr="00FA71C3">
        <w:rPr>
          <w:rFonts w:ascii="Arial" w:hAnsi="Arial" w:cs="Arial"/>
          <w:color w:val="auto"/>
        </w:rPr>
        <w:t xml:space="preserve"> information multiple times.</w:t>
      </w:r>
    </w:p>
    <w:p w14:paraId="2DFC0CF1" w14:textId="77777777" w:rsidR="000339FE" w:rsidRPr="007B7FA1" w:rsidRDefault="000339FE" w:rsidP="003A5E56">
      <w:pPr>
        <w:pStyle w:val="Heading3"/>
      </w:pPr>
      <w:r w:rsidRPr="007B7FA1">
        <w:t>5.4. Workforce</w:t>
      </w:r>
    </w:p>
    <w:p w14:paraId="39893A70" w14:textId="77777777" w:rsidR="000339FE" w:rsidRPr="00FA71C3" w:rsidRDefault="0083510E" w:rsidP="007B7FA1">
      <w:pPr>
        <w:pStyle w:val="Default"/>
        <w:spacing w:after="240" w:line="276" w:lineRule="auto"/>
        <w:rPr>
          <w:rFonts w:ascii="Arial" w:hAnsi="Arial" w:cs="Arial"/>
          <w:color w:val="auto"/>
        </w:rPr>
      </w:pPr>
      <w:r w:rsidRPr="00FA71C3">
        <w:rPr>
          <w:rFonts w:ascii="Arial" w:hAnsi="Arial" w:cs="Arial"/>
          <w:color w:val="auto"/>
        </w:rPr>
        <w:t xml:space="preserve">The </w:t>
      </w:r>
      <w:r w:rsidR="000754E3" w:rsidRPr="00FA71C3">
        <w:rPr>
          <w:rFonts w:ascii="Arial" w:hAnsi="Arial" w:cs="Arial"/>
          <w:color w:val="auto"/>
        </w:rPr>
        <w:t>WA Gov</w:t>
      </w:r>
      <w:r w:rsidRPr="00FA71C3">
        <w:rPr>
          <w:rFonts w:ascii="Arial" w:hAnsi="Arial" w:cs="Arial"/>
          <w:color w:val="auto"/>
        </w:rPr>
        <w:t>ernmen</w:t>
      </w:r>
      <w:r w:rsidR="000754E3" w:rsidRPr="00FA71C3">
        <w:rPr>
          <w:rFonts w:ascii="Arial" w:hAnsi="Arial" w:cs="Arial"/>
          <w:color w:val="auto"/>
        </w:rPr>
        <w:t xml:space="preserve">t and </w:t>
      </w:r>
      <w:r w:rsidRPr="00FA71C3">
        <w:rPr>
          <w:rFonts w:ascii="Arial" w:hAnsi="Arial" w:cs="Arial"/>
          <w:color w:val="auto"/>
        </w:rPr>
        <w:t xml:space="preserve">the </w:t>
      </w:r>
      <w:r w:rsidR="000754E3" w:rsidRPr="00FA71C3">
        <w:rPr>
          <w:rFonts w:ascii="Arial" w:hAnsi="Arial" w:cs="Arial"/>
          <w:color w:val="auto"/>
        </w:rPr>
        <w:t xml:space="preserve">NDIA will work </w:t>
      </w:r>
      <w:r w:rsidR="009F2B8E" w:rsidRPr="00FA71C3">
        <w:rPr>
          <w:rFonts w:ascii="Arial" w:hAnsi="Arial" w:cs="Arial"/>
          <w:color w:val="auto"/>
        </w:rPr>
        <w:t xml:space="preserve">together </w:t>
      </w:r>
      <w:r w:rsidR="000754E3" w:rsidRPr="00FA71C3">
        <w:rPr>
          <w:rFonts w:ascii="Arial" w:hAnsi="Arial" w:cs="Arial"/>
          <w:color w:val="auto"/>
        </w:rPr>
        <w:t xml:space="preserve">to identify skilled staff to </w:t>
      </w:r>
      <w:r w:rsidR="000F713E" w:rsidRPr="00FA71C3">
        <w:rPr>
          <w:rFonts w:ascii="Arial" w:hAnsi="Arial" w:cs="Arial"/>
          <w:color w:val="auto"/>
        </w:rPr>
        <w:t xml:space="preserve">facilitate the </w:t>
      </w:r>
      <w:r w:rsidR="00C8090C" w:rsidRPr="00FA71C3">
        <w:rPr>
          <w:rFonts w:ascii="Arial" w:hAnsi="Arial" w:cs="Arial"/>
          <w:color w:val="auto"/>
        </w:rPr>
        <w:t>t</w:t>
      </w:r>
      <w:r w:rsidR="000754E3" w:rsidRPr="00FA71C3">
        <w:rPr>
          <w:rFonts w:ascii="Arial" w:hAnsi="Arial" w:cs="Arial"/>
          <w:color w:val="auto"/>
        </w:rPr>
        <w:t>ransfer</w:t>
      </w:r>
      <w:r w:rsidR="00920CFD" w:rsidRPr="00FA71C3">
        <w:rPr>
          <w:rFonts w:ascii="Arial" w:hAnsi="Arial" w:cs="Arial"/>
          <w:color w:val="auto"/>
        </w:rPr>
        <w:t xml:space="preserve">. The </w:t>
      </w:r>
      <w:r w:rsidR="000754E3" w:rsidRPr="00FA71C3">
        <w:rPr>
          <w:rFonts w:ascii="Arial" w:hAnsi="Arial" w:cs="Arial"/>
          <w:color w:val="auto"/>
        </w:rPr>
        <w:t>NDIA will work with WA Gov</w:t>
      </w:r>
      <w:r w:rsidR="00AF0093" w:rsidRPr="00FA71C3">
        <w:rPr>
          <w:rFonts w:ascii="Arial" w:hAnsi="Arial" w:cs="Arial"/>
          <w:color w:val="auto"/>
        </w:rPr>
        <w:t>ernment</w:t>
      </w:r>
      <w:r w:rsidR="000754E3" w:rsidRPr="00FA71C3">
        <w:rPr>
          <w:rFonts w:ascii="Arial" w:hAnsi="Arial" w:cs="Arial"/>
          <w:color w:val="auto"/>
        </w:rPr>
        <w:t xml:space="preserve"> to ensure that positive recruitment </w:t>
      </w:r>
      <w:r w:rsidR="00AF0093" w:rsidRPr="00FA71C3">
        <w:rPr>
          <w:rFonts w:ascii="Arial" w:hAnsi="Arial" w:cs="Arial"/>
          <w:color w:val="auto"/>
        </w:rPr>
        <w:t xml:space="preserve">and training </w:t>
      </w:r>
      <w:r w:rsidR="000754E3" w:rsidRPr="00FA71C3">
        <w:rPr>
          <w:rFonts w:ascii="Arial" w:hAnsi="Arial" w:cs="Arial"/>
          <w:color w:val="auto"/>
        </w:rPr>
        <w:t>activities are undertaken</w:t>
      </w:r>
      <w:r w:rsidR="00AF0093" w:rsidRPr="00FA71C3">
        <w:rPr>
          <w:rFonts w:ascii="Arial" w:hAnsi="Arial" w:cs="Arial"/>
          <w:color w:val="auto"/>
        </w:rPr>
        <w:t xml:space="preserve">. </w:t>
      </w:r>
      <w:r w:rsidR="000754E3" w:rsidRPr="00FA71C3">
        <w:rPr>
          <w:rFonts w:ascii="Arial" w:hAnsi="Arial" w:cs="Arial"/>
          <w:color w:val="auto"/>
        </w:rPr>
        <w:t xml:space="preserve"> </w:t>
      </w:r>
    </w:p>
    <w:p w14:paraId="6093C010" w14:textId="77777777" w:rsidR="000339FE" w:rsidRPr="007B7FA1" w:rsidRDefault="000339FE" w:rsidP="003A5E56">
      <w:pPr>
        <w:pStyle w:val="Heading3"/>
      </w:pPr>
      <w:r w:rsidRPr="007B7FA1">
        <w:lastRenderedPageBreak/>
        <w:t>5.5. Property and ICT</w:t>
      </w:r>
    </w:p>
    <w:p w14:paraId="1F3C1CCD" w14:textId="77777777" w:rsidR="000754E3" w:rsidRPr="00FA71C3" w:rsidRDefault="0083510E" w:rsidP="005429EA">
      <w:pPr>
        <w:pStyle w:val="Default"/>
        <w:spacing w:after="240" w:line="276" w:lineRule="auto"/>
        <w:rPr>
          <w:rFonts w:ascii="Arial" w:hAnsi="Arial" w:cs="Arial"/>
          <w:color w:val="auto"/>
        </w:rPr>
      </w:pPr>
      <w:r w:rsidRPr="00FA71C3">
        <w:rPr>
          <w:rFonts w:ascii="Arial" w:hAnsi="Arial" w:cs="Arial"/>
          <w:color w:val="auto"/>
        </w:rPr>
        <w:t xml:space="preserve">The </w:t>
      </w:r>
      <w:r w:rsidR="000754E3" w:rsidRPr="00FA71C3">
        <w:rPr>
          <w:rFonts w:ascii="Arial" w:hAnsi="Arial" w:cs="Arial"/>
          <w:color w:val="auto"/>
        </w:rPr>
        <w:t xml:space="preserve">NDIA </w:t>
      </w:r>
      <w:r w:rsidR="00AF0093" w:rsidRPr="00FA71C3">
        <w:rPr>
          <w:rFonts w:ascii="Arial" w:hAnsi="Arial" w:cs="Arial"/>
          <w:color w:val="auto"/>
        </w:rPr>
        <w:t>will</w:t>
      </w:r>
      <w:r w:rsidR="000754E3" w:rsidRPr="00FA71C3">
        <w:rPr>
          <w:rFonts w:ascii="Arial" w:hAnsi="Arial" w:cs="Arial"/>
          <w:color w:val="auto"/>
        </w:rPr>
        <w:t xml:space="preserve"> </w:t>
      </w:r>
      <w:r w:rsidR="00846D05" w:rsidRPr="00FA71C3">
        <w:rPr>
          <w:rFonts w:ascii="Arial" w:hAnsi="Arial" w:cs="Arial"/>
          <w:color w:val="auto"/>
        </w:rPr>
        <w:t>acquire</w:t>
      </w:r>
      <w:r w:rsidR="000754E3" w:rsidRPr="00FA71C3">
        <w:rPr>
          <w:rFonts w:ascii="Arial" w:hAnsi="Arial" w:cs="Arial"/>
          <w:color w:val="auto"/>
        </w:rPr>
        <w:t xml:space="preserve"> </w:t>
      </w:r>
      <w:r w:rsidR="000F713E" w:rsidRPr="00FA71C3">
        <w:rPr>
          <w:rFonts w:ascii="Arial" w:hAnsi="Arial" w:cs="Arial"/>
          <w:color w:val="auto"/>
        </w:rPr>
        <w:t>‘</w:t>
      </w:r>
      <w:r w:rsidR="00AF0093" w:rsidRPr="00FA71C3">
        <w:rPr>
          <w:rFonts w:ascii="Arial" w:hAnsi="Arial" w:cs="Arial"/>
          <w:color w:val="auto"/>
        </w:rPr>
        <w:t>fit for purpose</w:t>
      </w:r>
      <w:r w:rsidR="000F713E" w:rsidRPr="00FA71C3">
        <w:rPr>
          <w:rFonts w:ascii="Arial" w:hAnsi="Arial" w:cs="Arial"/>
          <w:color w:val="auto"/>
        </w:rPr>
        <w:t>’</w:t>
      </w:r>
      <w:r w:rsidR="00AF0093" w:rsidRPr="00FA71C3">
        <w:rPr>
          <w:rFonts w:ascii="Arial" w:hAnsi="Arial" w:cs="Arial"/>
          <w:color w:val="auto"/>
        </w:rPr>
        <w:t xml:space="preserve"> property and ICT solutions to support </w:t>
      </w:r>
      <w:r w:rsidR="00C8090C" w:rsidRPr="00FA71C3">
        <w:rPr>
          <w:rFonts w:ascii="Arial" w:hAnsi="Arial" w:cs="Arial"/>
          <w:color w:val="auto"/>
        </w:rPr>
        <w:t>t</w:t>
      </w:r>
      <w:r w:rsidR="00AF0093" w:rsidRPr="00FA71C3">
        <w:rPr>
          <w:rFonts w:ascii="Arial" w:hAnsi="Arial" w:cs="Arial"/>
          <w:color w:val="auto"/>
        </w:rPr>
        <w:t xml:space="preserve">ransfer arrangements. </w:t>
      </w:r>
    </w:p>
    <w:p w14:paraId="6029A908" w14:textId="77777777" w:rsidR="000339FE" w:rsidRPr="007B7FA1" w:rsidRDefault="000339FE" w:rsidP="003A5E56">
      <w:pPr>
        <w:pStyle w:val="Heading3"/>
      </w:pPr>
      <w:r w:rsidRPr="007B7FA1">
        <w:t>5.6. Providers</w:t>
      </w:r>
    </w:p>
    <w:p w14:paraId="39467977" w14:textId="77777777" w:rsidR="000339FE" w:rsidRPr="00FA71C3" w:rsidRDefault="00AF0093" w:rsidP="007B7FA1">
      <w:pPr>
        <w:pStyle w:val="Default"/>
        <w:spacing w:line="276" w:lineRule="auto"/>
        <w:rPr>
          <w:rFonts w:ascii="Arial" w:hAnsi="Arial" w:cs="Arial"/>
          <w:color w:val="auto"/>
        </w:rPr>
      </w:pPr>
      <w:r w:rsidRPr="00FA71C3">
        <w:rPr>
          <w:rFonts w:ascii="Arial" w:hAnsi="Arial" w:cs="Arial"/>
          <w:color w:val="auto"/>
        </w:rPr>
        <w:t xml:space="preserve">The NDIA and WA Government will ensure providers are registered with the NDIS to </w:t>
      </w:r>
      <w:r w:rsidR="000F713E" w:rsidRPr="00FA71C3">
        <w:rPr>
          <w:rFonts w:ascii="Arial" w:hAnsi="Arial" w:cs="Arial"/>
          <w:color w:val="auto"/>
        </w:rPr>
        <w:t xml:space="preserve">give </w:t>
      </w:r>
      <w:r w:rsidRPr="00FA71C3">
        <w:rPr>
          <w:rFonts w:ascii="Arial" w:hAnsi="Arial" w:cs="Arial"/>
          <w:color w:val="auto"/>
        </w:rPr>
        <w:t xml:space="preserve">participants </w:t>
      </w:r>
      <w:r w:rsidR="000F713E" w:rsidRPr="00FA71C3">
        <w:rPr>
          <w:rFonts w:ascii="Arial" w:hAnsi="Arial" w:cs="Arial"/>
          <w:color w:val="auto"/>
        </w:rPr>
        <w:t>the best choice of service providers</w:t>
      </w:r>
      <w:r w:rsidRPr="00FA71C3">
        <w:rPr>
          <w:rFonts w:ascii="Arial" w:hAnsi="Arial" w:cs="Arial"/>
          <w:color w:val="auto"/>
        </w:rPr>
        <w:t>. The NDIA and WA Government will streamline registration processes for providers and engage with existing and potential providers regarding roll out of the NDIS.</w:t>
      </w:r>
    </w:p>
    <w:p w14:paraId="5FAE90BD" w14:textId="77777777" w:rsidR="000339FE" w:rsidRPr="00FA71C3" w:rsidRDefault="000339FE" w:rsidP="007B7FA1">
      <w:pPr>
        <w:pStyle w:val="Default"/>
        <w:spacing w:line="276" w:lineRule="auto"/>
        <w:rPr>
          <w:rFonts w:ascii="Arial" w:hAnsi="Arial" w:cs="Arial"/>
          <w:color w:val="auto"/>
        </w:rPr>
      </w:pPr>
    </w:p>
    <w:p w14:paraId="46F37994" w14:textId="77777777" w:rsidR="000339FE" w:rsidRPr="007B7FA1" w:rsidRDefault="000339FE" w:rsidP="003A5E56">
      <w:pPr>
        <w:pStyle w:val="Heading3"/>
      </w:pPr>
      <w:r w:rsidRPr="007B7FA1">
        <w:t>5.7. Communications</w:t>
      </w:r>
    </w:p>
    <w:p w14:paraId="058BF138" w14:textId="77777777" w:rsidR="000339FE" w:rsidRPr="00FA71C3" w:rsidRDefault="0083510E" w:rsidP="007B7FA1">
      <w:pPr>
        <w:pStyle w:val="Default"/>
        <w:spacing w:after="240" w:line="276" w:lineRule="auto"/>
        <w:rPr>
          <w:rFonts w:ascii="Arial" w:hAnsi="Arial" w:cs="Arial"/>
          <w:color w:val="auto"/>
        </w:rPr>
      </w:pPr>
      <w:r w:rsidRPr="00FA71C3">
        <w:rPr>
          <w:rFonts w:ascii="Arial" w:hAnsi="Arial" w:cs="Arial"/>
          <w:color w:val="auto"/>
        </w:rPr>
        <w:t xml:space="preserve">The </w:t>
      </w:r>
      <w:r w:rsidR="000754E3" w:rsidRPr="00FA71C3">
        <w:rPr>
          <w:rFonts w:ascii="Arial" w:hAnsi="Arial" w:cs="Arial"/>
          <w:color w:val="auto"/>
        </w:rPr>
        <w:t>NDIA</w:t>
      </w:r>
      <w:r w:rsidR="000F713E" w:rsidRPr="00FA71C3">
        <w:rPr>
          <w:rFonts w:ascii="Arial" w:hAnsi="Arial" w:cs="Arial"/>
          <w:color w:val="auto"/>
        </w:rPr>
        <w:t>,</w:t>
      </w:r>
      <w:r w:rsidR="000754E3" w:rsidRPr="00FA71C3">
        <w:rPr>
          <w:rFonts w:ascii="Arial" w:hAnsi="Arial" w:cs="Arial"/>
          <w:color w:val="auto"/>
        </w:rPr>
        <w:t xml:space="preserve"> with WA and Commonwealth Governments</w:t>
      </w:r>
      <w:r w:rsidR="000F713E" w:rsidRPr="00FA71C3">
        <w:rPr>
          <w:rFonts w:ascii="Arial" w:hAnsi="Arial" w:cs="Arial"/>
          <w:color w:val="auto"/>
        </w:rPr>
        <w:t>,</w:t>
      </w:r>
      <w:r w:rsidR="000754E3" w:rsidRPr="00FA71C3">
        <w:rPr>
          <w:rFonts w:ascii="Arial" w:hAnsi="Arial" w:cs="Arial"/>
          <w:color w:val="auto"/>
        </w:rPr>
        <w:t xml:space="preserve"> </w:t>
      </w:r>
      <w:r w:rsidR="00AF0093" w:rsidRPr="00FA71C3">
        <w:rPr>
          <w:rFonts w:ascii="Arial" w:hAnsi="Arial" w:cs="Arial"/>
          <w:color w:val="auto"/>
        </w:rPr>
        <w:t>will develop</w:t>
      </w:r>
      <w:r w:rsidR="000754E3" w:rsidRPr="00FA71C3">
        <w:rPr>
          <w:rFonts w:ascii="Arial" w:hAnsi="Arial" w:cs="Arial"/>
          <w:color w:val="auto"/>
        </w:rPr>
        <w:t xml:space="preserve"> a communications </w:t>
      </w:r>
      <w:r w:rsidR="00AF0093" w:rsidRPr="00FA71C3">
        <w:rPr>
          <w:rFonts w:ascii="Arial" w:hAnsi="Arial" w:cs="Arial"/>
          <w:color w:val="auto"/>
        </w:rPr>
        <w:t xml:space="preserve">and engagement </w:t>
      </w:r>
      <w:r w:rsidR="000754E3" w:rsidRPr="00FA71C3">
        <w:rPr>
          <w:rFonts w:ascii="Arial" w:hAnsi="Arial" w:cs="Arial"/>
          <w:color w:val="auto"/>
        </w:rPr>
        <w:t xml:space="preserve">strategy </w:t>
      </w:r>
      <w:r w:rsidR="000F713E" w:rsidRPr="00FA71C3">
        <w:rPr>
          <w:rFonts w:ascii="Arial" w:hAnsi="Arial" w:cs="Arial"/>
          <w:color w:val="auto"/>
        </w:rPr>
        <w:t xml:space="preserve">which will see </w:t>
      </w:r>
      <w:r w:rsidR="000754E3" w:rsidRPr="00FA71C3">
        <w:rPr>
          <w:rFonts w:ascii="Arial" w:hAnsi="Arial" w:cs="Arial"/>
          <w:color w:val="auto"/>
        </w:rPr>
        <w:t xml:space="preserve">consistent, </w:t>
      </w:r>
      <w:r w:rsidR="000F713E" w:rsidRPr="00FA71C3">
        <w:rPr>
          <w:rFonts w:ascii="Arial" w:hAnsi="Arial" w:cs="Arial"/>
          <w:color w:val="auto"/>
        </w:rPr>
        <w:t xml:space="preserve">understandable, and relevant information is </w:t>
      </w:r>
      <w:r w:rsidR="00564E47" w:rsidRPr="00FA71C3">
        <w:rPr>
          <w:rFonts w:ascii="Arial" w:hAnsi="Arial" w:cs="Arial"/>
          <w:color w:val="auto"/>
        </w:rPr>
        <w:t>provided to</w:t>
      </w:r>
      <w:r w:rsidR="000F713E" w:rsidRPr="00FA71C3">
        <w:rPr>
          <w:rFonts w:ascii="Arial" w:hAnsi="Arial" w:cs="Arial"/>
          <w:color w:val="auto"/>
        </w:rPr>
        <w:t xml:space="preserve"> </w:t>
      </w:r>
      <w:r w:rsidR="000754E3" w:rsidRPr="00FA71C3">
        <w:rPr>
          <w:rFonts w:ascii="Arial" w:hAnsi="Arial" w:cs="Arial"/>
          <w:color w:val="auto"/>
        </w:rPr>
        <w:t xml:space="preserve">stakeholders about the impacts of </w:t>
      </w:r>
      <w:r w:rsidR="00C8090C" w:rsidRPr="00FA71C3">
        <w:rPr>
          <w:rFonts w:ascii="Arial" w:hAnsi="Arial" w:cs="Arial"/>
          <w:color w:val="auto"/>
        </w:rPr>
        <w:t>t</w:t>
      </w:r>
      <w:r w:rsidR="000754E3" w:rsidRPr="00FA71C3">
        <w:rPr>
          <w:rFonts w:ascii="Arial" w:hAnsi="Arial" w:cs="Arial"/>
          <w:color w:val="auto"/>
        </w:rPr>
        <w:t>ransfer activities.</w:t>
      </w:r>
    </w:p>
    <w:p w14:paraId="64B1ABA3" w14:textId="77777777" w:rsidR="000339FE" w:rsidRPr="007B7FA1" w:rsidRDefault="000339FE" w:rsidP="003A5E56">
      <w:pPr>
        <w:pStyle w:val="Heading3"/>
      </w:pPr>
      <w:r w:rsidRPr="007B7FA1">
        <w:t xml:space="preserve">5.8. Financial arrangements </w:t>
      </w:r>
    </w:p>
    <w:p w14:paraId="0F127232" w14:textId="77777777" w:rsidR="000339FE" w:rsidRPr="00FA71C3" w:rsidRDefault="00BB0A3E" w:rsidP="007B7FA1">
      <w:pPr>
        <w:pStyle w:val="Default"/>
        <w:spacing w:after="240" w:line="276" w:lineRule="auto"/>
        <w:rPr>
          <w:rFonts w:ascii="Arial" w:hAnsi="Arial" w:cs="Arial"/>
          <w:color w:val="auto"/>
        </w:rPr>
      </w:pPr>
      <w:r w:rsidRPr="00FA71C3">
        <w:rPr>
          <w:rFonts w:ascii="Arial" w:hAnsi="Arial" w:cs="Arial"/>
          <w:color w:val="auto"/>
        </w:rPr>
        <w:t xml:space="preserve">WA and </w:t>
      </w:r>
      <w:r w:rsidR="00AF0093" w:rsidRPr="00FA71C3">
        <w:rPr>
          <w:rFonts w:ascii="Arial" w:hAnsi="Arial" w:cs="Arial"/>
          <w:color w:val="auto"/>
        </w:rPr>
        <w:t xml:space="preserve">the </w:t>
      </w:r>
      <w:r w:rsidRPr="00FA71C3">
        <w:rPr>
          <w:rFonts w:ascii="Arial" w:hAnsi="Arial" w:cs="Arial"/>
          <w:color w:val="auto"/>
        </w:rPr>
        <w:t xml:space="preserve">Commonwealth Government have negotiated financial agreements and inter-agency payments to </w:t>
      </w:r>
      <w:r w:rsidR="00D67E91" w:rsidRPr="00FA71C3">
        <w:rPr>
          <w:rFonts w:ascii="Arial" w:hAnsi="Arial" w:cs="Arial"/>
          <w:color w:val="auto"/>
        </w:rPr>
        <w:t>streamline</w:t>
      </w:r>
      <w:r w:rsidRPr="00FA71C3">
        <w:rPr>
          <w:rFonts w:ascii="Arial" w:hAnsi="Arial" w:cs="Arial"/>
          <w:color w:val="auto"/>
        </w:rPr>
        <w:t xml:space="preserve"> </w:t>
      </w:r>
      <w:r w:rsidR="00897F3D" w:rsidRPr="00FA71C3">
        <w:rPr>
          <w:rFonts w:ascii="Arial" w:hAnsi="Arial" w:cs="Arial"/>
          <w:color w:val="auto"/>
        </w:rPr>
        <w:t>funding</w:t>
      </w:r>
      <w:r w:rsidRPr="00FA71C3">
        <w:rPr>
          <w:rFonts w:ascii="Arial" w:hAnsi="Arial" w:cs="Arial"/>
          <w:color w:val="auto"/>
        </w:rPr>
        <w:t xml:space="preserve"> for participant plans, </w:t>
      </w:r>
      <w:r w:rsidR="00D67E91" w:rsidRPr="00FA71C3">
        <w:rPr>
          <w:rFonts w:ascii="Arial" w:hAnsi="Arial" w:cs="Arial"/>
          <w:color w:val="auto"/>
        </w:rPr>
        <w:t xml:space="preserve">the </w:t>
      </w:r>
      <w:r w:rsidRPr="00FA71C3">
        <w:rPr>
          <w:rFonts w:ascii="Arial" w:hAnsi="Arial" w:cs="Arial"/>
          <w:color w:val="auto"/>
        </w:rPr>
        <w:t xml:space="preserve">NDIA workforce, </w:t>
      </w:r>
      <w:r w:rsidR="00D67E91" w:rsidRPr="00FA71C3">
        <w:rPr>
          <w:rFonts w:ascii="Arial" w:hAnsi="Arial" w:cs="Arial"/>
          <w:color w:val="auto"/>
        </w:rPr>
        <w:t xml:space="preserve">and </w:t>
      </w:r>
      <w:r w:rsidRPr="00FA71C3">
        <w:rPr>
          <w:rFonts w:ascii="Arial" w:hAnsi="Arial" w:cs="Arial"/>
          <w:color w:val="auto"/>
        </w:rPr>
        <w:t xml:space="preserve">administration and </w:t>
      </w:r>
      <w:r w:rsidR="00C8090C" w:rsidRPr="00FA71C3">
        <w:rPr>
          <w:rFonts w:ascii="Arial" w:hAnsi="Arial" w:cs="Arial"/>
          <w:color w:val="auto"/>
        </w:rPr>
        <w:t>t</w:t>
      </w:r>
      <w:r w:rsidRPr="00FA71C3">
        <w:rPr>
          <w:rFonts w:ascii="Arial" w:hAnsi="Arial" w:cs="Arial"/>
          <w:color w:val="auto"/>
        </w:rPr>
        <w:t>ransfer tasks</w:t>
      </w:r>
      <w:r w:rsidR="00D67E91" w:rsidRPr="00FA71C3">
        <w:rPr>
          <w:rFonts w:ascii="Arial" w:hAnsi="Arial" w:cs="Arial"/>
          <w:color w:val="auto"/>
        </w:rPr>
        <w:t>.</w:t>
      </w:r>
    </w:p>
    <w:p w14:paraId="51B3A3CE" w14:textId="77777777" w:rsidR="000339FE" w:rsidRPr="003A5E56" w:rsidRDefault="000339FE" w:rsidP="003A5E56">
      <w:pPr>
        <w:pStyle w:val="Heading2"/>
      </w:pPr>
      <w:r w:rsidRPr="003A5E56">
        <w:t>6. Immediate priorities</w:t>
      </w:r>
    </w:p>
    <w:p w14:paraId="73A00627" w14:textId="77777777" w:rsidR="000339FE" w:rsidRPr="00FA71C3" w:rsidRDefault="000339FE" w:rsidP="0063126E">
      <w:pPr>
        <w:pStyle w:val="Default"/>
        <w:spacing w:line="276" w:lineRule="auto"/>
        <w:rPr>
          <w:rFonts w:ascii="Arial" w:hAnsi="Arial" w:cs="Arial"/>
          <w:color w:val="auto"/>
        </w:rPr>
      </w:pPr>
      <w:r w:rsidRPr="00FA71C3">
        <w:rPr>
          <w:rFonts w:ascii="Arial" w:hAnsi="Arial" w:cs="Arial"/>
          <w:color w:val="auto"/>
        </w:rPr>
        <w:t xml:space="preserve">Each party </w:t>
      </w:r>
      <w:r w:rsidR="00D67E91" w:rsidRPr="00FA71C3">
        <w:rPr>
          <w:rFonts w:ascii="Arial" w:hAnsi="Arial" w:cs="Arial"/>
          <w:color w:val="auto"/>
        </w:rPr>
        <w:t xml:space="preserve">recognises and agrees to </w:t>
      </w:r>
      <w:r w:rsidRPr="00FA71C3">
        <w:rPr>
          <w:rFonts w:ascii="Arial" w:hAnsi="Arial" w:cs="Arial"/>
          <w:color w:val="auto"/>
        </w:rPr>
        <w:t xml:space="preserve">key </w:t>
      </w:r>
      <w:r w:rsidR="00D67E91" w:rsidRPr="00FA71C3">
        <w:rPr>
          <w:rFonts w:ascii="Arial" w:hAnsi="Arial" w:cs="Arial"/>
          <w:color w:val="auto"/>
        </w:rPr>
        <w:t xml:space="preserve">bodies </w:t>
      </w:r>
      <w:r w:rsidRPr="00FA71C3">
        <w:rPr>
          <w:rFonts w:ascii="Arial" w:hAnsi="Arial" w:cs="Arial"/>
          <w:color w:val="auto"/>
        </w:rPr>
        <w:t xml:space="preserve">of work that </w:t>
      </w:r>
      <w:r w:rsidR="00D67E91" w:rsidRPr="00FA71C3">
        <w:rPr>
          <w:rFonts w:ascii="Arial" w:hAnsi="Arial" w:cs="Arial"/>
          <w:color w:val="auto"/>
        </w:rPr>
        <w:t>are required for achievement against the</w:t>
      </w:r>
      <w:r w:rsidR="009416A0" w:rsidRPr="00FA71C3">
        <w:rPr>
          <w:rFonts w:ascii="Arial" w:hAnsi="Arial" w:cs="Arial"/>
          <w:color w:val="auto"/>
        </w:rPr>
        <w:t xml:space="preserve"> </w:t>
      </w:r>
      <w:r w:rsidR="00C8090C" w:rsidRPr="00FA71C3">
        <w:rPr>
          <w:rFonts w:ascii="Arial" w:hAnsi="Arial" w:cs="Arial"/>
          <w:color w:val="auto"/>
        </w:rPr>
        <w:t>t</w:t>
      </w:r>
      <w:r w:rsidR="009416A0" w:rsidRPr="00FA71C3">
        <w:rPr>
          <w:rFonts w:ascii="Arial" w:hAnsi="Arial" w:cs="Arial"/>
          <w:color w:val="auto"/>
        </w:rPr>
        <w:t xml:space="preserve">ransfer </w:t>
      </w:r>
      <w:r w:rsidR="00C8090C" w:rsidRPr="00FA71C3">
        <w:rPr>
          <w:rFonts w:ascii="Arial" w:hAnsi="Arial" w:cs="Arial"/>
          <w:color w:val="auto"/>
        </w:rPr>
        <w:t>s</w:t>
      </w:r>
      <w:r w:rsidR="009416A0" w:rsidRPr="00FA71C3">
        <w:rPr>
          <w:rFonts w:ascii="Arial" w:hAnsi="Arial" w:cs="Arial"/>
          <w:color w:val="auto"/>
        </w:rPr>
        <w:t>chedule</w:t>
      </w:r>
      <w:r w:rsidRPr="00FA71C3">
        <w:rPr>
          <w:rFonts w:ascii="Arial" w:hAnsi="Arial" w:cs="Arial"/>
          <w:color w:val="auto"/>
        </w:rPr>
        <w:t xml:space="preserve">, scheme sustainability and quality outcomes for participants. These include: </w:t>
      </w:r>
    </w:p>
    <w:p w14:paraId="5D18EAB8" w14:textId="1AC3FBF7" w:rsidR="000339FE" w:rsidRPr="00FA71C3" w:rsidRDefault="000339FE" w:rsidP="003A5E56">
      <w:pPr>
        <w:pStyle w:val="ListParagraph"/>
        <w:ind w:left="709"/>
      </w:pPr>
      <w:r w:rsidRPr="00FA71C3">
        <w:t>Consent gathered by WA Gov</w:t>
      </w:r>
      <w:r w:rsidR="00C8090C" w:rsidRPr="00FA71C3">
        <w:t>ernment</w:t>
      </w:r>
      <w:r w:rsidRPr="00FA71C3">
        <w:t xml:space="preserve"> for WA NDIS</w:t>
      </w:r>
      <w:r w:rsidR="009C081D">
        <w:t xml:space="preserve"> participants transferring to the NDIS</w:t>
      </w:r>
      <w:r w:rsidR="003A5E56">
        <w:t>.</w:t>
      </w:r>
    </w:p>
    <w:p w14:paraId="1FF18C0F" w14:textId="5B8517A0" w:rsidR="000339FE" w:rsidRPr="00FA71C3" w:rsidRDefault="000339FE" w:rsidP="003A5E56">
      <w:pPr>
        <w:pStyle w:val="ListParagraph"/>
        <w:ind w:left="709"/>
      </w:pPr>
      <w:r w:rsidRPr="00FA71C3">
        <w:t>Data and information in the required form and quality delivered to the NDI</w:t>
      </w:r>
      <w:r w:rsidR="00D67E91" w:rsidRPr="00FA71C3">
        <w:t>A</w:t>
      </w:r>
      <w:r w:rsidR="003A5E56">
        <w:t>.</w:t>
      </w:r>
    </w:p>
    <w:p w14:paraId="1096CE8E" w14:textId="77777777" w:rsidR="003E6EC9" w:rsidRPr="00FA71C3" w:rsidRDefault="000339FE" w:rsidP="003A5E56">
      <w:pPr>
        <w:pStyle w:val="ListParagraph"/>
        <w:ind w:left="709"/>
      </w:pPr>
      <w:r w:rsidRPr="00FA71C3">
        <w:t>Provision of workforce as per the Bilateral Agreement between the Commonwealth and WA</w:t>
      </w:r>
      <w:r w:rsidR="00C8090C" w:rsidRPr="00FA71C3">
        <w:t xml:space="preserve"> Governments</w:t>
      </w:r>
      <w:r w:rsidR="00D67E91" w:rsidRPr="00FA71C3">
        <w:t>.</w:t>
      </w:r>
    </w:p>
    <w:p w14:paraId="047ECC6C" w14:textId="77777777" w:rsidR="00E15576" w:rsidRPr="00FA71C3" w:rsidRDefault="00E15576" w:rsidP="0063126E">
      <w:pPr>
        <w:pStyle w:val="Default"/>
        <w:spacing w:line="276" w:lineRule="auto"/>
        <w:rPr>
          <w:rFonts w:ascii="Arial" w:hAnsi="Arial" w:cs="Arial"/>
          <w:noProof/>
          <w:lang w:eastAsia="en-AU"/>
        </w:rPr>
      </w:pPr>
    </w:p>
    <w:p w14:paraId="0F74EC81" w14:textId="77777777" w:rsidR="00E15576" w:rsidRPr="00FA71C3" w:rsidRDefault="00E15576" w:rsidP="0063126E">
      <w:pPr>
        <w:pStyle w:val="Default"/>
        <w:spacing w:line="276" w:lineRule="auto"/>
        <w:rPr>
          <w:rFonts w:ascii="Arial" w:hAnsi="Arial" w:cs="Arial"/>
          <w:color w:val="auto"/>
        </w:rPr>
      </w:pPr>
    </w:p>
    <w:sectPr w:rsidR="00E15576" w:rsidRPr="00FA71C3" w:rsidSect="002358F6">
      <w:headerReference w:type="default" r:id="rId8"/>
      <w:footerReference w:type="default" r:id="rId9"/>
      <w:pgSz w:w="11906" w:h="16838"/>
      <w:pgMar w:top="1440" w:right="1440" w:bottom="1440" w:left="1440" w:header="13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9A99" w14:textId="77777777" w:rsidR="006433BB" w:rsidRDefault="006433BB" w:rsidP="006F062E">
      <w:pPr>
        <w:spacing w:after="0" w:line="240" w:lineRule="auto"/>
      </w:pPr>
      <w:r>
        <w:separator/>
      </w:r>
    </w:p>
  </w:endnote>
  <w:endnote w:type="continuationSeparator" w:id="0">
    <w:p w14:paraId="35A8E4FB" w14:textId="77777777" w:rsidR="006433BB" w:rsidRDefault="006433BB" w:rsidP="006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86103"/>
      <w:docPartObj>
        <w:docPartGallery w:val="Page Numbers (Bottom of Page)"/>
        <w:docPartUnique/>
      </w:docPartObj>
    </w:sdtPr>
    <w:sdtEndPr>
      <w:rPr>
        <w:rFonts w:cs="Arial"/>
        <w:noProof/>
      </w:rPr>
    </w:sdtEndPr>
    <w:sdtContent>
      <w:p w14:paraId="48F7677E" w14:textId="5BE39B17" w:rsidR="000E18D3" w:rsidRPr="00A268BD" w:rsidRDefault="00A268BD" w:rsidP="00A268BD">
        <w:pPr>
          <w:pStyle w:val="Footer"/>
          <w:jc w:val="right"/>
          <w:rPr>
            <w:rFonts w:cs="Arial"/>
          </w:rPr>
        </w:pPr>
        <w:r w:rsidRPr="00A268BD">
          <w:t xml:space="preserve">Page </w:t>
        </w:r>
        <w:r w:rsidR="005565C3" w:rsidRPr="00A268BD">
          <w:rPr>
            <w:rFonts w:cs="Arial"/>
          </w:rPr>
          <w:fldChar w:fldCharType="begin"/>
        </w:r>
        <w:r w:rsidR="005565C3" w:rsidRPr="00A268BD">
          <w:rPr>
            <w:rFonts w:cs="Arial"/>
          </w:rPr>
          <w:instrText xml:space="preserve"> PAGE   \* MERGEFORMAT </w:instrText>
        </w:r>
        <w:r w:rsidR="005565C3" w:rsidRPr="00A268BD">
          <w:rPr>
            <w:rFonts w:cs="Arial"/>
          </w:rPr>
          <w:fldChar w:fldCharType="separate"/>
        </w:r>
        <w:r w:rsidR="00361C46">
          <w:rPr>
            <w:rFonts w:cs="Arial"/>
            <w:noProof/>
          </w:rPr>
          <w:t>2</w:t>
        </w:r>
        <w:r w:rsidR="005565C3" w:rsidRPr="00A268BD">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227A" w14:textId="77777777" w:rsidR="006433BB" w:rsidRDefault="006433BB" w:rsidP="006F062E">
      <w:pPr>
        <w:spacing w:after="0" w:line="240" w:lineRule="auto"/>
      </w:pPr>
      <w:r>
        <w:separator/>
      </w:r>
    </w:p>
  </w:footnote>
  <w:footnote w:type="continuationSeparator" w:id="0">
    <w:p w14:paraId="3326FD73" w14:textId="77777777" w:rsidR="006433BB" w:rsidRDefault="006433BB" w:rsidP="006F0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08FE" w14:textId="77777777" w:rsidR="006F062E" w:rsidRPr="0080410D" w:rsidRDefault="006F062E" w:rsidP="009416A0">
    <w:pPr>
      <w:pStyle w:val="Header"/>
      <w:ind w:left="4320" w:hanging="4320"/>
      <w:jc w:val="center"/>
      <w:rPr>
        <w:rFonts w:cs="Arial"/>
        <w:sz w:val="16"/>
        <w:szCs w:val="16"/>
      </w:rPr>
    </w:pPr>
    <w:r>
      <w:rPr>
        <w:noProof/>
        <w:lang w:eastAsia="en-AU"/>
      </w:rPr>
      <w:drawing>
        <wp:inline distT="0" distB="0" distL="0" distR="0" wp14:anchorId="2A74A42F" wp14:editId="57CB6F52">
          <wp:extent cx="1276350" cy="614045"/>
          <wp:effectExtent l="0" t="0" r="0" b="0"/>
          <wp:docPr id="5" name="Picture 5"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jpg"/>
                  <pic:cNvPicPr/>
                </pic:nvPicPr>
                <pic:blipFill>
                  <a:blip r:embed="rId1">
                    <a:extLst>
                      <a:ext uri="{28A0092B-C50C-407E-A947-70E740481C1C}">
                        <a14:useLocalDpi xmlns:a14="http://schemas.microsoft.com/office/drawing/2010/main" val="0"/>
                      </a:ext>
                    </a:extLst>
                  </a:blip>
                  <a:stretch>
                    <a:fillRect/>
                  </a:stretch>
                </pic:blipFill>
                <pic:spPr>
                  <a:xfrm>
                    <a:off x="0" y="0"/>
                    <a:ext cx="1287996" cy="619648"/>
                  </a:xfrm>
                  <a:prstGeom prst="rect">
                    <a:avLst/>
                  </a:prstGeom>
                </pic:spPr>
              </pic:pic>
            </a:graphicData>
          </a:graphic>
        </wp:inline>
      </w:drawing>
    </w:r>
    <w:r>
      <w:rPr>
        <w:noProof/>
        <w:lang w:eastAsia="en-AU"/>
      </w:rPr>
      <w:drawing>
        <wp:inline distT="0" distB="0" distL="0" distR="0" wp14:anchorId="327A8B3C" wp14:editId="223C4C99">
          <wp:extent cx="1142891" cy="843915"/>
          <wp:effectExtent l="0" t="0" r="635" b="0"/>
          <wp:docPr id="6" name="Picture 6" descr="The Australian Government coat of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Coat_of_arms_of_the_Commonwealth_of_Australi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419" cy="890824"/>
                  </a:xfrm>
                  <a:prstGeom prst="rect">
                    <a:avLst/>
                  </a:prstGeom>
                  <a:noFill/>
                  <a:ln>
                    <a:noFill/>
                  </a:ln>
                </pic:spPr>
              </pic:pic>
            </a:graphicData>
          </a:graphic>
        </wp:inline>
      </w:drawing>
    </w:r>
    <w:r>
      <w:rPr>
        <w:noProof/>
        <w:sz w:val="24"/>
        <w:lang w:eastAsia="en-AU"/>
      </w:rPr>
      <w:drawing>
        <wp:inline distT="0" distB="0" distL="0" distR="0" wp14:anchorId="7E534E36" wp14:editId="5CEC7C81">
          <wp:extent cx="1094740" cy="882596"/>
          <wp:effectExtent l="0" t="0" r="0" b="0"/>
          <wp:docPr id="7" name="Picture 7" descr="The Governement of Western Australia coat of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a:extLst>
                      <a:ext uri="{28A0092B-C50C-407E-A947-70E740481C1C}">
                        <a14:useLocalDpi xmlns:a14="http://schemas.microsoft.com/office/drawing/2010/main" val="0"/>
                      </a:ext>
                    </a:extLst>
                  </a:blip>
                  <a:stretch>
                    <a:fillRect/>
                  </a:stretch>
                </pic:blipFill>
                <pic:spPr>
                  <a:xfrm>
                    <a:off x="0" y="0"/>
                    <a:ext cx="1117753" cy="901149"/>
                  </a:xfrm>
                  <a:prstGeom prst="rect">
                    <a:avLst/>
                  </a:prstGeom>
                </pic:spPr>
              </pic:pic>
            </a:graphicData>
          </a:graphic>
        </wp:inline>
      </w:drawing>
    </w:r>
  </w:p>
  <w:p w14:paraId="129AD590" w14:textId="77777777" w:rsidR="006F062E" w:rsidRDefault="006F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850"/>
    <w:multiLevelType w:val="hybridMultilevel"/>
    <w:tmpl w:val="AE3A6676"/>
    <w:lvl w:ilvl="0" w:tplc="0C090019">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264A1A0D"/>
    <w:multiLevelType w:val="hybridMultilevel"/>
    <w:tmpl w:val="441EB128"/>
    <w:lvl w:ilvl="0" w:tplc="6084304C">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E764457"/>
    <w:multiLevelType w:val="hybridMultilevel"/>
    <w:tmpl w:val="1BEA27F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FE"/>
    <w:rsid w:val="000339FE"/>
    <w:rsid w:val="00044368"/>
    <w:rsid w:val="000579EA"/>
    <w:rsid w:val="00070967"/>
    <w:rsid w:val="000754E3"/>
    <w:rsid w:val="00083E29"/>
    <w:rsid w:val="000D20A6"/>
    <w:rsid w:val="000E18D3"/>
    <w:rsid w:val="000F713E"/>
    <w:rsid w:val="00115F52"/>
    <w:rsid w:val="001F1A02"/>
    <w:rsid w:val="001F6DC1"/>
    <w:rsid w:val="002358F6"/>
    <w:rsid w:val="00321B49"/>
    <w:rsid w:val="003258A2"/>
    <w:rsid w:val="0034049A"/>
    <w:rsid w:val="00361C46"/>
    <w:rsid w:val="003A5E56"/>
    <w:rsid w:val="003B429F"/>
    <w:rsid w:val="003E6EC9"/>
    <w:rsid w:val="00446140"/>
    <w:rsid w:val="00447C27"/>
    <w:rsid w:val="00490B97"/>
    <w:rsid w:val="004B3D25"/>
    <w:rsid w:val="004E3B01"/>
    <w:rsid w:val="0053271E"/>
    <w:rsid w:val="005429EA"/>
    <w:rsid w:val="005565C3"/>
    <w:rsid w:val="00564E47"/>
    <w:rsid w:val="005C06A2"/>
    <w:rsid w:val="00607454"/>
    <w:rsid w:val="006249A3"/>
    <w:rsid w:val="0063126E"/>
    <w:rsid w:val="006433BB"/>
    <w:rsid w:val="0064717E"/>
    <w:rsid w:val="006721C3"/>
    <w:rsid w:val="006D5C6E"/>
    <w:rsid w:val="006F062E"/>
    <w:rsid w:val="00705B9B"/>
    <w:rsid w:val="00734EE4"/>
    <w:rsid w:val="00772AC5"/>
    <w:rsid w:val="00787133"/>
    <w:rsid w:val="007B68B4"/>
    <w:rsid w:val="007B7FA1"/>
    <w:rsid w:val="007C3CC1"/>
    <w:rsid w:val="007D768D"/>
    <w:rsid w:val="007F1469"/>
    <w:rsid w:val="007F325F"/>
    <w:rsid w:val="007F7E73"/>
    <w:rsid w:val="0080410D"/>
    <w:rsid w:val="0082432B"/>
    <w:rsid w:val="0083510E"/>
    <w:rsid w:val="00841460"/>
    <w:rsid w:val="00846D05"/>
    <w:rsid w:val="00897F3D"/>
    <w:rsid w:val="00920CFD"/>
    <w:rsid w:val="009328D0"/>
    <w:rsid w:val="009416A0"/>
    <w:rsid w:val="0098766F"/>
    <w:rsid w:val="00991AE5"/>
    <w:rsid w:val="009B3FFC"/>
    <w:rsid w:val="009C081D"/>
    <w:rsid w:val="009D2827"/>
    <w:rsid w:val="009F2B8E"/>
    <w:rsid w:val="009F4472"/>
    <w:rsid w:val="009F64BE"/>
    <w:rsid w:val="00A03C9C"/>
    <w:rsid w:val="00A2013A"/>
    <w:rsid w:val="00A268BD"/>
    <w:rsid w:val="00A74D98"/>
    <w:rsid w:val="00AC4145"/>
    <w:rsid w:val="00AC7157"/>
    <w:rsid w:val="00AF0093"/>
    <w:rsid w:val="00B14AC9"/>
    <w:rsid w:val="00B16942"/>
    <w:rsid w:val="00B22668"/>
    <w:rsid w:val="00B51BE4"/>
    <w:rsid w:val="00B950BE"/>
    <w:rsid w:val="00BB0A3E"/>
    <w:rsid w:val="00BE5271"/>
    <w:rsid w:val="00BF2B7B"/>
    <w:rsid w:val="00C65581"/>
    <w:rsid w:val="00C8090C"/>
    <w:rsid w:val="00C877E5"/>
    <w:rsid w:val="00C9297E"/>
    <w:rsid w:val="00D01FD4"/>
    <w:rsid w:val="00D356D1"/>
    <w:rsid w:val="00D67E91"/>
    <w:rsid w:val="00D82640"/>
    <w:rsid w:val="00DA6FE5"/>
    <w:rsid w:val="00DF5CD9"/>
    <w:rsid w:val="00DF6C4F"/>
    <w:rsid w:val="00E15576"/>
    <w:rsid w:val="00E43823"/>
    <w:rsid w:val="00E51DC9"/>
    <w:rsid w:val="00E53C70"/>
    <w:rsid w:val="00E65DB0"/>
    <w:rsid w:val="00E95283"/>
    <w:rsid w:val="00EC5890"/>
    <w:rsid w:val="00ED2BB6"/>
    <w:rsid w:val="00F671C9"/>
    <w:rsid w:val="00FA71C3"/>
    <w:rsid w:val="00FB18B4"/>
    <w:rsid w:val="00FD2A47"/>
    <w:rsid w:val="00FE1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4C332"/>
  <w15:chartTrackingRefBased/>
  <w15:docId w15:val="{37D458EC-5DA7-4A0F-B72D-A7FC54D4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E56"/>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5E56"/>
    <w:pPr>
      <w:keepNext/>
      <w:keepLines/>
      <w:spacing w:before="40" w:after="0"/>
      <w:outlineLvl w:val="1"/>
    </w:pPr>
    <w:rPr>
      <w:rFonts w:ascii="Arial" w:eastAsiaTheme="majorEastAsia" w:hAnsi="Arial"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A5E56"/>
    <w:pPr>
      <w:keepNext/>
      <w:keepLines/>
      <w:spacing w:before="40" w:after="0"/>
      <w:outlineLvl w:val="2"/>
    </w:pPr>
    <w:rPr>
      <w:rFonts w:ascii="Arial" w:eastAsiaTheme="majorEastAsia" w:hAnsi="Arial" w:cs="Arial"/>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33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3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8D0"/>
    <w:rPr>
      <w:rFonts w:ascii="Segoe UI" w:hAnsi="Segoe UI" w:cs="Segoe UI"/>
      <w:sz w:val="18"/>
      <w:szCs w:val="18"/>
    </w:rPr>
  </w:style>
  <w:style w:type="paragraph" w:styleId="Header">
    <w:name w:val="header"/>
    <w:basedOn w:val="Normal"/>
    <w:link w:val="HeaderChar"/>
    <w:uiPriority w:val="99"/>
    <w:unhideWhenUsed/>
    <w:rsid w:val="00D01FD4"/>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D01FD4"/>
    <w:rPr>
      <w:rFonts w:ascii="Arial" w:hAnsi="Arial"/>
    </w:rPr>
  </w:style>
  <w:style w:type="paragraph" w:styleId="Footer">
    <w:name w:val="footer"/>
    <w:basedOn w:val="Normal"/>
    <w:link w:val="FooterChar"/>
    <w:uiPriority w:val="99"/>
    <w:unhideWhenUsed/>
    <w:rsid w:val="00A268BD"/>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A268BD"/>
    <w:rPr>
      <w:rFonts w:ascii="Arial" w:hAnsi="Arial"/>
    </w:rPr>
  </w:style>
  <w:style w:type="character" w:styleId="CommentReference">
    <w:name w:val="annotation reference"/>
    <w:basedOn w:val="DefaultParagraphFont"/>
    <w:uiPriority w:val="99"/>
    <w:semiHidden/>
    <w:unhideWhenUsed/>
    <w:rsid w:val="003E6EC9"/>
    <w:rPr>
      <w:sz w:val="16"/>
      <w:szCs w:val="16"/>
    </w:rPr>
  </w:style>
  <w:style w:type="paragraph" w:styleId="CommentText">
    <w:name w:val="annotation text"/>
    <w:basedOn w:val="Normal"/>
    <w:link w:val="CommentTextChar"/>
    <w:uiPriority w:val="99"/>
    <w:semiHidden/>
    <w:unhideWhenUsed/>
    <w:rsid w:val="003E6EC9"/>
    <w:pPr>
      <w:spacing w:line="240" w:lineRule="auto"/>
    </w:pPr>
    <w:rPr>
      <w:sz w:val="20"/>
      <w:szCs w:val="20"/>
    </w:rPr>
  </w:style>
  <w:style w:type="character" w:customStyle="1" w:styleId="CommentTextChar">
    <w:name w:val="Comment Text Char"/>
    <w:basedOn w:val="DefaultParagraphFont"/>
    <w:link w:val="CommentText"/>
    <w:uiPriority w:val="99"/>
    <w:semiHidden/>
    <w:rsid w:val="003E6EC9"/>
    <w:rPr>
      <w:sz w:val="20"/>
      <w:szCs w:val="20"/>
    </w:rPr>
  </w:style>
  <w:style w:type="paragraph" w:styleId="CommentSubject">
    <w:name w:val="annotation subject"/>
    <w:basedOn w:val="CommentText"/>
    <w:next w:val="CommentText"/>
    <w:link w:val="CommentSubjectChar"/>
    <w:uiPriority w:val="99"/>
    <w:semiHidden/>
    <w:unhideWhenUsed/>
    <w:rsid w:val="003E6EC9"/>
    <w:rPr>
      <w:b/>
      <w:bCs/>
    </w:rPr>
  </w:style>
  <w:style w:type="character" w:customStyle="1" w:styleId="CommentSubjectChar">
    <w:name w:val="Comment Subject Char"/>
    <w:basedOn w:val="CommentTextChar"/>
    <w:link w:val="CommentSubject"/>
    <w:uiPriority w:val="99"/>
    <w:semiHidden/>
    <w:rsid w:val="003E6EC9"/>
    <w:rPr>
      <w:b/>
      <w:bCs/>
      <w:sz w:val="20"/>
      <w:szCs w:val="20"/>
    </w:rPr>
  </w:style>
  <w:style w:type="paragraph" w:styleId="Title">
    <w:name w:val="Title"/>
    <w:basedOn w:val="Normal"/>
    <w:next w:val="Normal"/>
    <w:link w:val="TitleChar"/>
    <w:uiPriority w:val="10"/>
    <w:qFormat/>
    <w:rsid w:val="00941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6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16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16A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A5E56"/>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3A5E56"/>
    <w:rPr>
      <w:rFonts w:ascii="Arial" w:eastAsiaTheme="majorEastAsia" w:hAnsi="Arial" w:cstheme="majorBidi"/>
      <w:color w:val="2E74B5" w:themeColor="accent1" w:themeShade="BF"/>
      <w:sz w:val="28"/>
      <w:szCs w:val="26"/>
    </w:rPr>
  </w:style>
  <w:style w:type="character" w:customStyle="1" w:styleId="Heading3Char">
    <w:name w:val="Heading 3 Char"/>
    <w:basedOn w:val="DefaultParagraphFont"/>
    <w:link w:val="Heading3"/>
    <w:uiPriority w:val="9"/>
    <w:rsid w:val="003A5E56"/>
    <w:rPr>
      <w:rFonts w:ascii="Arial" w:eastAsiaTheme="majorEastAsia" w:hAnsi="Arial" w:cs="Arial"/>
      <w:color w:val="1F4D78" w:themeColor="accent1" w:themeShade="7F"/>
      <w:sz w:val="24"/>
      <w:szCs w:val="24"/>
    </w:rPr>
  </w:style>
  <w:style w:type="paragraph" w:styleId="Revision">
    <w:name w:val="Revision"/>
    <w:hidden/>
    <w:uiPriority w:val="99"/>
    <w:semiHidden/>
    <w:rsid w:val="00A03C9C"/>
    <w:pPr>
      <w:spacing w:after="0" w:line="240" w:lineRule="auto"/>
    </w:pPr>
  </w:style>
  <w:style w:type="paragraph" w:customStyle="1" w:styleId="Tableheader">
    <w:name w:val="Table header"/>
    <w:basedOn w:val="Heading3"/>
    <w:link w:val="TableheaderChar"/>
    <w:qFormat/>
    <w:rsid w:val="003A5E56"/>
    <w:pPr>
      <w:spacing w:line="240" w:lineRule="auto"/>
      <w:outlineLvl w:val="9"/>
    </w:pPr>
    <w:rPr>
      <w:b/>
    </w:rPr>
  </w:style>
  <w:style w:type="paragraph" w:styleId="ListParagraph">
    <w:name w:val="List Paragraph"/>
    <w:basedOn w:val="Normal"/>
    <w:uiPriority w:val="34"/>
    <w:qFormat/>
    <w:rsid w:val="003A5E56"/>
    <w:pPr>
      <w:numPr>
        <w:numId w:val="3"/>
      </w:numPr>
      <w:contextualSpacing/>
    </w:pPr>
    <w:rPr>
      <w:rFonts w:ascii="Arial" w:hAnsi="Arial"/>
      <w:sz w:val="24"/>
    </w:rPr>
  </w:style>
  <w:style w:type="character" w:customStyle="1" w:styleId="TableheaderChar">
    <w:name w:val="Table header Char"/>
    <w:basedOn w:val="Heading3Char"/>
    <w:link w:val="Tableheader"/>
    <w:rsid w:val="003A5E56"/>
    <w:rPr>
      <w:rFonts w:ascii="Arial" w:eastAsiaTheme="majorEastAsia" w:hAnsi="Arial" w:cs="Arial"/>
      <w:b/>
      <w:color w:val="1F4D78" w:themeColor="accent1" w:themeShade="7F"/>
      <w:sz w:val="24"/>
      <w:szCs w:val="24"/>
    </w:rPr>
  </w:style>
  <w:style w:type="paragraph" w:customStyle="1" w:styleId="Tablecontent">
    <w:name w:val="Table content"/>
    <w:basedOn w:val="Default"/>
    <w:link w:val="TablecontentChar"/>
    <w:qFormat/>
    <w:rsid w:val="00A268BD"/>
    <w:pPr>
      <w:spacing w:line="276" w:lineRule="auto"/>
    </w:pPr>
    <w:rPr>
      <w:rFonts w:ascii="Arial" w:hAnsi="Arial" w:cs="Arial"/>
      <w:color w:val="auto"/>
    </w:rPr>
  </w:style>
  <w:style w:type="character" w:customStyle="1" w:styleId="DefaultChar">
    <w:name w:val="Default Char"/>
    <w:basedOn w:val="DefaultParagraphFont"/>
    <w:link w:val="Default"/>
    <w:rsid w:val="00A268BD"/>
    <w:rPr>
      <w:rFonts w:ascii="Calibri" w:hAnsi="Calibri" w:cs="Calibri"/>
      <w:color w:val="000000"/>
      <w:sz w:val="24"/>
      <w:szCs w:val="24"/>
    </w:rPr>
  </w:style>
  <w:style w:type="character" w:customStyle="1" w:styleId="TablecontentChar">
    <w:name w:val="Table content Char"/>
    <w:basedOn w:val="DefaultChar"/>
    <w:link w:val="Tablecontent"/>
    <w:rsid w:val="00A268B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63CB-145E-489E-9F9A-FB4E7AA9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Transfer Plan</vt:lpstr>
    </vt:vector>
  </TitlesOfParts>
  <Company>Australian Government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Plan</dc:title>
  <dc:subject>Public Facing 9 April 2018</dc:subject>
  <dc:creator>JONES, Suzanne</dc:creator>
  <cp:keywords/>
  <dc:description/>
  <cp:lastModifiedBy>WILSON, Steve</cp:lastModifiedBy>
  <cp:revision>2</cp:revision>
  <cp:lastPrinted>2018-03-27T03:23:00Z</cp:lastPrinted>
  <dcterms:created xsi:type="dcterms:W3CDTF">2018-11-23T03:39:00Z</dcterms:created>
  <dcterms:modified xsi:type="dcterms:W3CDTF">2018-11-23T03:39:00Z</dcterms:modified>
</cp:coreProperties>
</file>