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2B69" w14:textId="77777777" w:rsidR="004A0A47" w:rsidRPr="00CD27D9" w:rsidRDefault="00363802" w:rsidP="00CD27D9">
      <w:pPr>
        <w:pStyle w:val="Heading1"/>
        <w:jc w:val="left"/>
        <w:rPr>
          <w:rFonts w:ascii="Arial" w:hAnsi="Arial" w:cs="Arial"/>
          <w:sz w:val="36"/>
          <w:szCs w:val="36"/>
        </w:rPr>
      </w:pPr>
      <w:r w:rsidRPr="00CD27D9">
        <w:rPr>
          <w:rFonts w:ascii="Arial" w:hAnsi="Arial" w:cs="Arial"/>
          <w:sz w:val="36"/>
          <w:szCs w:val="36"/>
        </w:rPr>
        <w:t xml:space="preserve">Specialist Disability Accommodation </w:t>
      </w:r>
      <w:r w:rsidR="00C545F2">
        <w:rPr>
          <w:rFonts w:ascii="Arial" w:hAnsi="Arial" w:cs="Arial"/>
          <w:sz w:val="36"/>
          <w:szCs w:val="36"/>
        </w:rPr>
        <w:t xml:space="preserve">Limited </w:t>
      </w:r>
      <w:r w:rsidRPr="00CD27D9">
        <w:rPr>
          <w:rFonts w:ascii="Arial" w:hAnsi="Arial" w:cs="Arial"/>
          <w:sz w:val="36"/>
          <w:szCs w:val="36"/>
        </w:rPr>
        <w:t>Assumptions</w:t>
      </w:r>
      <w:r w:rsidR="004A0A47" w:rsidRPr="00CD27D9">
        <w:rPr>
          <w:rFonts w:ascii="Arial" w:hAnsi="Arial" w:cs="Arial"/>
          <w:sz w:val="36"/>
          <w:szCs w:val="36"/>
        </w:rPr>
        <w:t xml:space="preserve"> Review</w:t>
      </w:r>
      <w:r w:rsidRPr="00CD27D9">
        <w:rPr>
          <w:rFonts w:ascii="Arial" w:hAnsi="Arial" w:cs="Arial"/>
          <w:sz w:val="36"/>
          <w:szCs w:val="36"/>
        </w:rPr>
        <w:t xml:space="preserve"> 2019</w:t>
      </w:r>
    </w:p>
    <w:p w14:paraId="19773CA1" w14:textId="77777777" w:rsidR="00AA66B3" w:rsidRPr="00CD27D9" w:rsidRDefault="00AA66B3" w:rsidP="00CD27D9">
      <w:pPr>
        <w:pStyle w:val="Heading1"/>
        <w:jc w:val="left"/>
        <w:rPr>
          <w:rFonts w:ascii="Arial" w:hAnsi="Arial" w:cs="Arial"/>
          <w:b w:val="0"/>
          <w:sz w:val="36"/>
          <w:szCs w:val="36"/>
        </w:rPr>
      </w:pPr>
      <w:r w:rsidRPr="00CD27D9">
        <w:rPr>
          <w:rFonts w:ascii="Arial" w:hAnsi="Arial" w:cs="Arial"/>
          <w:b w:val="0"/>
          <w:sz w:val="36"/>
          <w:szCs w:val="36"/>
        </w:rPr>
        <w:t>Terms of Reference</w:t>
      </w:r>
    </w:p>
    <w:p w14:paraId="0E5DAC08" w14:textId="77777777" w:rsidR="001F234B" w:rsidRPr="00CD27D9" w:rsidRDefault="00E7311D" w:rsidP="00146453">
      <w:pPr>
        <w:pStyle w:val="Heading2"/>
        <w:rPr>
          <w:rFonts w:ascii="Arial" w:hAnsi="Arial" w:cs="Arial"/>
        </w:rPr>
      </w:pPr>
      <w:r w:rsidRPr="00CD27D9">
        <w:rPr>
          <w:rFonts w:ascii="Arial" w:hAnsi="Arial" w:cs="Arial"/>
        </w:rPr>
        <w:t>Overview</w:t>
      </w:r>
    </w:p>
    <w:p w14:paraId="796D7172" w14:textId="5C0C04EB" w:rsidR="00EE55FC" w:rsidRDefault="00EE55FC" w:rsidP="00EE55FC">
      <w:pPr>
        <w:pStyle w:val="ListParagraph"/>
        <w:numPr>
          <w:ilvl w:val="0"/>
          <w:numId w:val="1"/>
        </w:numPr>
        <w:rPr>
          <w:rFonts w:ascii="Arial" w:hAnsi="Arial" w:cs="Arial"/>
        </w:rPr>
      </w:pPr>
      <w:r w:rsidRPr="00EE55FC">
        <w:rPr>
          <w:rFonts w:ascii="Arial" w:hAnsi="Arial" w:cs="Arial"/>
        </w:rPr>
        <w:t>On 8 February 2019, a number of initiatives and changes to Specialist Disability Accom</w:t>
      </w:r>
      <w:r>
        <w:rPr>
          <w:rFonts w:ascii="Arial" w:hAnsi="Arial" w:cs="Arial"/>
        </w:rPr>
        <w:t xml:space="preserve">modation (SDA) were announced – </w:t>
      </w:r>
      <w:r w:rsidRPr="00EE55FC">
        <w:rPr>
          <w:rFonts w:ascii="Arial" w:hAnsi="Arial" w:cs="Arial"/>
        </w:rPr>
        <w:t>following a review by the Disabilit</w:t>
      </w:r>
      <w:r>
        <w:rPr>
          <w:rFonts w:ascii="Arial" w:hAnsi="Arial" w:cs="Arial"/>
        </w:rPr>
        <w:t>y Reform Council in 2018.</w:t>
      </w:r>
    </w:p>
    <w:p w14:paraId="43021934" w14:textId="5419B624" w:rsidR="007A2694" w:rsidRPr="00CD27D9" w:rsidRDefault="007A2694" w:rsidP="00EE55FC">
      <w:pPr>
        <w:pStyle w:val="ListParagraph"/>
        <w:numPr>
          <w:ilvl w:val="0"/>
          <w:numId w:val="1"/>
        </w:numPr>
        <w:rPr>
          <w:rFonts w:ascii="Arial" w:hAnsi="Arial" w:cs="Arial"/>
        </w:rPr>
      </w:pPr>
      <w:r w:rsidRPr="00CD27D9">
        <w:rPr>
          <w:rFonts w:ascii="Arial" w:hAnsi="Arial" w:cs="Arial"/>
        </w:rPr>
        <w:t>The</w:t>
      </w:r>
      <w:r w:rsidR="00363802" w:rsidRPr="00CD27D9">
        <w:rPr>
          <w:rFonts w:ascii="Arial" w:hAnsi="Arial" w:cs="Arial"/>
        </w:rPr>
        <w:t xml:space="preserve"> announcement </w:t>
      </w:r>
      <w:r w:rsidRPr="00CD27D9">
        <w:rPr>
          <w:rFonts w:ascii="Arial" w:hAnsi="Arial" w:cs="Arial"/>
        </w:rPr>
        <w:t xml:space="preserve">included that </w:t>
      </w:r>
      <w:r w:rsidR="00363802" w:rsidRPr="00CD27D9">
        <w:rPr>
          <w:rFonts w:ascii="Arial" w:hAnsi="Arial" w:cs="Arial"/>
        </w:rPr>
        <w:t xml:space="preserve">the National Disability Insurance Agency </w:t>
      </w:r>
      <w:r w:rsidR="00F371C9" w:rsidRPr="00CD27D9">
        <w:rPr>
          <w:rFonts w:ascii="Arial" w:hAnsi="Arial" w:cs="Arial"/>
        </w:rPr>
        <w:t xml:space="preserve">(NDIA) </w:t>
      </w:r>
      <w:r w:rsidR="00363802" w:rsidRPr="00CD27D9">
        <w:rPr>
          <w:rFonts w:ascii="Arial" w:hAnsi="Arial" w:cs="Arial"/>
        </w:rPr>
        <w:t xml:space="preserve">would undertake </w:t>
      </w:r>
      <w:r w:rsidRPr="00CD27D9">
        <w:rPr>
          <w:rFonts w:ascii="Arial" w:hAnsi="Arial" w:cs="Arial"/>
        </w:rPr>
        <w:t xml:space="preserve">a review </w:t>
      </w:r>
      <w:r w:rsidR="009B7BE2">
        <w:rPr>
          <w:rFonts w:ascii="Arial" w:hAnsi="Arial" w:cs="Arial"/>
        </w:rPr>
        <w:t xml:space="preserve">of </w:t>
      </w:r>
      <w:r w:rsidR="00363802" w:rsidRPr="00CD27D9">
        <w:rPr>
          <w:rFonts w:ascii="Arial" w:hAnsi="Arial" w:cs="Arial"/>
        </w:rPr>
        <w:t>SDA</w:t>
      </w:r>
      <w:r w:rsidRPr="00CD27D9">
        <w:rPr>
          <w:rFonts w:ascii="Arial" w:hAnsi="Arial" w:cs="Arial"/>
        </w:rPr>
        <w:t xml:space="preserve"> factors or assumptions to resolve any </w:t>
      </w:r>
      <w:r w:rsidR="00363802" w:rsidRPr="00CD27D9">
        <w:rPr>
          <w:rFonts w:ascii="Arial" w:hAnsi="Arial" w:cs="Arial"/>
        </w:rPr>
        <w:t>issues that may be creating unintentional disincentives for investment in particular regions or SDA</w:t>
      </w:r>
      <w:r w:rsidRPr="00CD27D9">
        <w:rPr>
          <w:rFonts w:ascii="Arial" w:hAnsi="Arial" w:cs="Arial"/>
        </w:rPr>
        <w:t xml:space="preserve"> types.</w:t>
      </w:r>
      <w:r w:rsidR="00F371C9" w:rsidRPr="00CD27D9">
        <w:rPr>
          <w:rFonts w:ascii="Arial" w:hAnsi="Arial" w:cs="Arial"/>
        </w:rPr>
        <w:t xml:space="preserve"> </w:t>
      </w:r>
    </w:p>
    <w:p w14:paraId="428DC412" w14:textId="77777777" w:rsidR="00363802" w:rsidRPr="00CD27D9" w:rsidRDefault="007A2694" w:rsidP="00363802">
      <w:pPr>
        <w:pStyle w:val="ListParagraph"/>
        <w:numPr>
          <w:ilvl w:val="0"/>
          <w:numId w:val="1"/>
        </w:numPr>
        <w:rPr>
          <w:rFonts w:ascii="Arial" w:hAnsi="Arial" w:cs="Arial"/>
        </w:rPr>
      </w:pPr>
      <w:r w:rsidRPr="00CD27D9">
        <w:rPr>
          <w:rFonts w:ascii="Arial" w:hAnsi="Arial" w:cs="Arial"/>
        </w:rPr>
        <w:t>C</w:t>
      </w:r>
      <w:r w:rsidR="00F371C9" w:rsidRPr="00CD27D9">
        <w:rPr>
          <w:rFonts w:ascii="Arial" w:hAnsi="Arial" w:cs="Arial"/>
        </w:rPr>
        <w:t xml:space="preserve">onsistent with section 25 of the </w:t>
      </w:r>
      <w:r w:rsidR="00C545F2">
        <w:rPr>
          <w:rFonts w:ascii="Arial" w:hAnsi="Arial" w:cs="Arial"/>
        </w:rPr>
        <w:t xml:space="preserve">recently </w:t>
      </w:r>
      <w:r w:rsidR="00F371C9" w:rsidRPr="00CD27D9">
        <w:rPr>
          <w:rFonts w:ascii="Arial" w:hAnsi="Arial" w:cs="Arial"/>
        </w:rPr>
        <w:t xml:space="preserve">revised SDA Pricing and Payments Framework, the review will not result in any reductions to current prices. </w:t>
      </w:r>
    </w:p>
    <w:p w14:paraId="53A7BAC2" w14:textId="1230AF2B" w:rsidR="00BD5E9C" w:rsidRPr="00CD27D9" w:rsidRDefault="007A2694" w:rsidP="00363802">
      <w:pPr>
        <w:pStyle w:val="ListParagraph"/>
        <w:numPr>
          <w:ilvl w:val="0"/>
          <w:numId w:val="1"/>
        </w:numPr>
        <w:rPr>
          <w:rFonts w:ascii="Arial" w:hAnsi="Arial" w:cs="Arial"/>
        </w:rPr>
      </w:pPr>
      <w:r w:rsidRPr="00CD27D9">
        <w:rPr>
          <w:rFonts w:ascii="Arial" w:hAnsi="Arial" w:cs="Arial"/>
        </w:rPr>
        <w:t>The NDIA will lead the review</w:t>
      </w:r>
      <w:r w:rsidR="00B15B01" w:rsidRPr="00CD27D9">
        <w:rPr>
          <w:rFonts w:ascii="Arial" w:hAnsi="Arial" w:cs="Arial"/>
        </w:rPr>
        <w:t xml:space="preserve">, which </w:t>
      </w:r>
      <w:r w:rsidR="00363802" w:rsidRPr="00CD27D9">
        <w:rPr>
          <w:rFonts w:ascii="Arial" w:hAnsi="Arial" w:cs="Arial"/>
        </w:rPr>
        <w:t>will be undertaken with the ass</w:t>
      </w:r>
      <w:r w:rsidR="00F371C9" w:rsidRPr="00CD27D9">
        <w:rPr>
          <w:rFonts w:ascii="Arial" w:hAnsi="Arial" w:cs="Arial"/>
        </w:rPr>
        <w:t xml:space="preserve">istance of independent experts </w:t>
      </w:r>
      <w:r w:rsidR="001D7E59">
        <w:rPr>
          <w:rFonts w:ascii="Arial" w:hAnsi="Arial" w:cs="Arial"/>
        </w:rPr>
        <w:t>to</w:t>
      </w:r>
      <w:r w:rsidR="00BD5E9C" w:rsidRPr="00CD27D9">
        <w:rPr>
          <w:rFonts w:ascii="Arial" w:hAnsi="Arial" w:cs="Arial"/>
        </w:rPr>
        <w:t xml:space="preserve"> provide evidence and analysis to support the NDIA making </w:t>
      </w:r>
      <w:r w:rsidRPr="00CD27D9">
        <w:rPr>
          <w:rFonts w:ascii="Arial" w:hAnsi="Arial" w:cs="Arial"/>
        </w:rPr>
        <w:t xml:space="preserve">its </w:t>
      </w:r>
      <w:r w:rsidR="00C545F2">
        <w:rPr>
          <w:rFonts w:ascii="Arial" w:hAnsi="Arial" w:cs="Arial"/>
        </w:rPr>
        <w:t xml:space="preserve">recommendations </w:t>
      </w:r>
      <w:r w:rsidR="00BD5E9C" w:rsidRPr="00CD27D9">
        <w:rPr>
          <w:rFonts w:ascii="Arial" w:hAnsi="Arial" w:cs="Arial"/>
        </w:rPr>
        <w:t>to th</w:t>
      </w:r>
      <w:r w:rsidRPr="00CD27D9">
        <w:rPr>
          <w:rFonts w:ascii="Arial" w:hAnsi="Arial" w:cs="Arial"/>
        </w:rPr>
        <w:t xml:space="preserve">e NDIA Pricing Reference Group for decision. </w:t>
      </w:r>
    </w:p>
    <w:p w14:paraId="64B4849C" w14:textId="77777777" w:rsidR="004A0A47" w:rsidRPr="00C545F2" w:rsidRDefault="00C545F2" w:rsidP="00C545F2">
      <w:pPr>
        <w:pStyle w:val="ListParagraph"/>
        <w:numPr>
          <w:ilvl w:val="0"/>
          <w:numId w:val="1"/>
        </w:numPr>
        <w:rPr>
          <w:rFonts w:ascii="Arial" w:hAnsi="Arial" w:cs="Arial"/>
        </w:rPr>
      </w:pPr>
      <w:r>
        <w:rPr>
          <w:rFonts w:ascii="Arial" w:hAnsi="Arial" w:cs="Arial"/>
        </w:rPr>
        <w:t>A</w:t>
      </w:r>
      <w:r w:rsidRPr="00C545F2">
        <w:rPr>
          <w:rFonts w:ascii="Arial" w:hAnsi="Arial" w:cs="Arial"/>
        </w:rPr>
        <w:t xml:space="preserve">ny </w:t>
      </w:r>
      <w:r>
        <w:rPr>
          <w:rFonts w:ascii="Arial" w:hAnsi="Arial" w:cs="Arial"/>
        </w:rPr>
        <w:t xml:space="preserve">changes to SDA prices </w:t>
      </w:r>
      <w:r w:rsidRPr="00C545F2">
        <w:rPr>
          <w:rFonts w:ascii="Arial" w:hAnsi="Arial" w:cs="Arial"/>
        </w:rPr>
        <w:t xml:space="preserve">resulting from the review </w:t>
      </w:r>
      <w:r>
        <w:rPr>
          <w:rFonts w:ascii="Arial" w:hAnsi="Arial" w:cs="Arial"/>
        </w:rPr>
        <w:t xml:space="preserve">will apply </w:t>
      </w:r>
      <w:r w:rsidRPr="00C545F2">
        <w:rPr>
          <w:rFonts w:ascii="Arial" w:hAnsi="Arial" w:cs="Arial"/>
        </w:rPr>
        <w:t>from 1 July 2019.</w:t>
      </w:r>
    </w:p>
    <w:p w14:paraId="7C50303B" w14:textId="77777777" w:rsidR="007A2694" w:rsidRPr="00CD27D9" w:rsidRDefault="007A2694" w:rsidP="007A2694">
      <w:pPr>
        <w:pStyle w:val="ListParagraph"/>
        <w:numPr>
          <w:ilvl w:val="0"/>
          <w:numId w:val="1"/>
        </w:numPr>
        <w:rPr>
          <w:rFonts w:ascii="Arial" w:hAnsi="Arial" w:cs="Arial"/>
        </w:rPr>
      </w:pPr>
      <w:r w:rsidRPr="00CD27D9">
        <w:rPr>
          <w:rFonts w:ascii="Arial" w:hAnsi="Arial" w:cs="Arial"/>
        </w:rPr>
        <w:t xml:space="preserve">The SDA Reference Group has been consulted on the scope of the review and </w:t>
      </w:r>
      <w:r w:rsidR="00C545F2">
        <w:rPr>
          <w:rFonts w:ascii="Arial" w:hAnsi="Arial" w:cs="Arial"/>
        </w:rPr>
        <w:t>the</w:t>
      </w:r>
      <w:r w:rsidR="00C545F2" w:rsidRPr="00CD27D9">
        <w:rPr>
          <w:rFonts w:ascii="Arial" w:hAnsi="Arial" w:cs="Arial"/>
        </w:rPr>
        <w:t xml:space="preserve"> terms</w:t>
      </w:r>
      <w:r w:rsidRPr="00CD27D9">
        <w:rPr>
          <w:rFonts w:ascii="Arial" w:hAnsi="Arial" w:cs="Arial"/>
        </w:rPr>
        <w:t xml:space="preserve"> of reference. </w:t>
      </w:r>
    </w:p>
    <w:p w14:paraId="2B57464A" w14:textId="77777777" w:rsidR="001F234B" w:rsidRPr="00CD27D9" w:rsidRDefault="00E7311D" w:rsidP="00146453">
      <w:pPr>
        <w:pStyle w:val="Heading2"/>
        <w:rPr>
          <w:rFonts w:ascii="Arial" w:hAnsi="Arial" w:cs="Arial"/>
        </w:rPr>
      </w:pPr>
      <w:r w:rsidRPr="00CD27D9">
        <w:rPr>
          <w:rFonts w:ascii="Arial" w:hAnsi="Arial" w:cs="Arial"/>
        </w:rPr>
        <w:t>Scope of the Review</w:t>
      </w:r>
    </w:p>
    <w:p w14:paraId="4E304C4A" w14:textId="54EE9DF2" w:rsidR="00C545F2" w:rsidRPr="00C545F2" w:rsidRDefault="00646C04" w:rsidP="00646C04">
      <w:pPr>
        <w:pStyle w:val="ListParagraph"/>
        <w:numPr>
          <w:ilvl w:val="0"/>
          <w:numId w:val="4"/>
        </w:numPr>
        <w:rPr>
          <w:rFonts w:ascii="Arial" w:hAnsi="Arial" w:cs="Arial"/>
        </w:rPr>
      </w:pPr>
      <w:r w:rsidRPr="00646C04">
        <w:rPr>
          <w:rFonts w:ascii="Arial" w:hAnsi="Arial" w:cs="Arial"/>
        </w:rPr>
        <w:t>The review w</w:t>
      </w:r>
      <w:r>
        <w:rPr>
          <w:rFonts w:ascii="Arial" w:hAnsi="Arial" w:cs="Arial"/>
        </w:rPr>
        <w:t xml:space="preserve">ill examine, through submission, </w:t>
      </w:r>
      <w:r w:rsidRPr="00646C04">
        <w:rPr>
          <w:rFonts w:ascii="Arial" w:hAnsi="Arial" w:cs="Arial"/>
        </w:rPr>
        <w:t>targeted consultation</w:t>
      </w:r>
      <w:r>
        <w:rPr>
          <w:rFonts w:ascii="Arial" w:hAnsi="Arial" w:cs="Arial"/>
        </w:rPr>
        <w:t>,</w:t>
      </w:r>
      <w:r w:rsidRPr="00646C04">
        <w:rPr>
          <w:rFonts w:ascii="Arial" w:hAnsi="Arial" w:cs="Arial"/>
        </w:rPr>
        <w:t xml:space="preserve"> research and analysis</w:t>
      </w:r>
      <w:r>
        <w:rPr>
          <w:rFonts w:ascii="Arial" w:hAnsi="Arial" w:cs="Arial"/>
        </w:rPr>
        <w:t>,</w:t>
      </w:r>
      <w:r w:rsidRPr="00646C04">
        <w:rPr>
          <w:rFonts w:ascii="Arial" w:hAnsi="Arial" w:cs="Arial"/>
        </w:rPr>
        <w:t xml:space="preserve"> </w:t>
      </w:r>
      <w:r w:rsidR="00C545F2" w:rsidRPr="00C545F2">
        <w:rPr>
          <w:rFonts w:ascii="Arial" w:hAnsi="Arial" w:cs="Arial"/>
        </w:rPr>
        <w:t xml:space="preserve">whether the existing cost </w:t>
      </w:r>
      <w:r w:rsidRPr="00C545F2">
        <w:rPr>
          <w:rFonts w:ascii="Arial" w:hAnsi="Arial" w:cs="Arial"/>
        </w:rPr>
        <w:t>assumptions</w:t>
      </w:r>
      <w:r w:rsidR="00C545F2" w:rsidRPr="00C545F2">
        <w:rPr>
          <w:rFonts w:ascii="Arial" w:hAnsi="Arial" w:cs="Arial"/>
        </w:rPr>
        <w:t xml:space="preserve"> under</w:t>
      </w:r>
      <w:r w:rsidR="009B7BE2">
        <w:rPr>
          <w:rFonts w:ascii="Arial" w:hAnsi="Arial" w:cs="Arial"/>
        </w:rPr>
        <w:t>pinning</w:t>
      </w:r>
      <w:r w:rsidR="00C545F2" w:rsidRPr="00C545F2">
        <w:rPr>
          <w:rFonts w:ascii="Arial" w:hAnsi="Arial" w:cs="Arial"/>
        </w:rPr>
        <w:t xml:space="preserve"> SDA prices </w:t>
      </w:r>
      <w:r w:rsidR="009B7BE2">
        <w:rPr>
          <w:rFonts w:ascii="Arial" w:hAnsi="Arial" w:cs="Arial"/>
        </w:rPr>
        <w:t xml:space="preserve">will </w:t>
      </w:r>
      <w:r w:rsidR="00C545F2" w:rsidRPr="00C545F2">
        <w:rPr>
          <w:rFonts w:ascii="Arial" w:hAnsi="Arial" w:cs="Arial"/>
        </w:rPr>
        <w:t xml:space="preserve">support investment across the range of SDA types and locations. The review will be open to consider all cost assumptions and factors, however the review will seek to focus in particular on SDA location factors and construction cost assumptions for the various building types and design categories. </w:t>
      </w:r>
    </w:p>
    <w:p w14:paraId="32C54381" w14:textId="77777777" w:rsidR="00830040" w:rsidRPr="00CD27D9" w:rsidRDefault="00830040" w:rsidP="00830040">
      <w:pPr>
        <w:pStyle w:val="ListParagraph"/>
        <w:numPr>
          <w:ilvl w:val="0"/>
          <w:numId w:val="1"/>
        </w:numPr>
        <w:rPr>
          <w:rFonts w:ascii="Arial" w:hAnsi="Arial" w:cs="Arial"/>
        </w:rPr>
      </w:pPr>
      <w:r w:rsidRPr="00CD27D9">
        <w:rPr>
          <w:rFonts w:ascii="Arial" w:hAnsi="Arial" w:cs="Arial"/>
        </w:rPr>
        <w:t xml:space="preserve">The review will </w:t>
      </w:r>
      <w:r>
        <w:rPr>
          <w:rFonts w:ascii="Arial" w:hAnsi="Arial" w:cs="Arial"/>
        </w:rPr>
        <w:t xml:space="preserve">focus on factors and assumptions identified through submission and </w:t>
      </w:r>
      <w:r w:rsidRPr="00CD27D9">
        <w:rPr>
          <w:rFonts w:ascii="Arial" w:hAnsi="Arial" w:cs="Arial"/>
        </w:rPr>
        <w:t>provide analysis and evidence to the NDIS Pricing Reference Group to support a decision on whether changes are required.</w:t>
      </w:r>
    </w:p>
    <w:p w14:paraId="3582D2AF" w14:textId="77777777" w:rsidR="00BC4293" w:rsidRPr="00BC4293" w:rsidRDefault="00BC4293" w:rsidP="00BC4293">
      <w:pPr>
        <w:pStyle w:val="ListParagraph"/>
        <w:numPr>
          <w:ilvl w:val="0"/>
          <w:numId w:val="1"/>
        </w:numPr>
        <w:rPr>
          <w:rFonts w:ascii="Arial" w:hAnsi="Arial" w:cs="Arial"/>
        </w:rPr>
      </w:pPr>
      <w:r w:rsidRPr="00BC4293">
        <w:rPr>
          <w:rFonts w:ascii="Arial" w:hAnsi="Arial" w:cs="Arial"/>
        </w:rPr>
        <w:t>The review will also provide analysis to support further consideration by the NDIA regarding whether adjustments to SDA pricing arrangements could reduce provider disincentives to accommodating participants who wish to live with non-participants, or participants who are not eligible for SDA. In doing so, it must be noted that SDA funds are only for eligible participants and cannot be used to contribute to the housing costs of others.</w:t>
      </w:r>
    </w:p>
    <w:p w14:paraId="3A458B55" w14:textId="77777777" w:rsidR="00D93CB8" w:rsidRPr="00CD27D9" w:rsidRDefault="00BD5E9C" w:rsidP="00AA66B3">
      <w:pPr>
        <w:pStyle w:val="ListParagraph"/>
        <w:numPr>
          <w:ilvl w:val="0"/>
          <w:numId w:val="1"/>
        </w:numPr>
        <w:rPr>
          <w:rFonts w:ascii="Arial" w:hAnsi="Arial" w:cs="Arial"/>
        </w:rPr>
      </w:pPr>
      <w:r w:rsidRPr="00CD27D9">
        <w:rPr>
          <w:rFonts w:ascii="Arial" w:hAnsi="Arial" w:cs="Arial"/>
        </w:rPr>
        <w:t>T</w:t>
      </w:r>
      <w:r w:rsidR="00B15B01" w:rsidRPr="00CD27D9">
        <w:rPr>
          <w:rFonts w:ascii="Arial" w:hAnsi="Arial" w:cs="Arial"/>
        </w:rPr>
        <w:t>he r</w:t>
      </w:r>
      <w:r w:rsidR="00C037AE" w:rsidRPr="00CD27D9">
        <w:rPr>
          <w:rFonts w:ascii="Arial" w:hAnsi="Arial" w:cs="Arial"/>
        </w:rPr>
        <w:t xml:space="preserve">eview will be </w:t>
      </w:r>
      <w:r w:rsidR="00D93CB8" w:rsidRPr="00CD27D9">
        <w:rPr>
          <w:rFonts w:ascii="Arial" w:hAnsi="Arial" w:cs="Arial"/>
        </w:rPr>
        <w:t>cognisant of the object</w:t>
      </w:r>
      <w:r w:rsidR="009B7BE2">
        <w:rPr>
          <w:rFonts w:ascii="Arial" w:hAnsi="Arial" w:cs="Arial"/>
        </w:rPr>
        <w:t>ive</w:t>
      </w:r>
      <w:r w:rsidR="00D93CB8" w:rsidRPr="00CD27D9">
        <w:rPr>
          <w:rFonts w:ascii="Arial" w:hAnsi="Arial" w:cs="Arial"/>
        </w:rPr>
        <w:t xml:space="preserve">s and principles of the NDIS, as set out in the </w:t>
      </w:r>
      <w:r w:rsidR="00D93CB8" w:rsidRPr="00CD27D9">
        <w:rPr>
          <w:rFonts w:ascii="Arial" w:hAnsi="Arial" w:cs="Arial"/>
          <w:i/>
        </w:rPr>
        <w:t>National Disability Insurance Scheme Act 2013</w:t>
      </w:r>
      <w:r w:rsidR="00D93CB8" w:rsidRPr="00CD27D9">
        <w:rPr>
          <w:rFonts w:ascii="Arial" w:hAnsi="Arial" w:cs="Arial"/>
        </w:rPr>
        <w:t>, including that the NDIS should:</w:t>
      </w:r>
    </w:p>
    <w:p w14:paraId="18FF1DF6" w14:textId="77777777" w:rsidR="00D93CB8" w:rsidRPr="00CD27D9" w:rsidRDefault="00D93CB8" w:rsidP="00D93CB8">
      <w:pPr>
        <w:pStyle w:val="ListParagraph"/>
        <w:numPr>
          <w:ilvl w:val="1"/>
          <w:numId w:val="1"/>
        </w:numPr>
        <w:rPr>
          <w:rFonts w:ascii="Arial" w:hAnsi="Arial" w:cs="Arial"/>
        </w:rPr>
      </w:pPr>
      <w:r w:rsidRPr="00CD27D9">
        <w:rPr>
          <w:rFonts w:ascii="Arial" w:hAnsi="Arial" w:cs="Arial"/>
        </w:rPr>
        <w:lastRenderedPageBreak/>
        <w:t xml:space="preserve">support the independence and social and economic participation of people with disability; </w:t>
      </w:r>
    </w:p>
    <w:p w14:paraId="0E2D374B" w14:textId="77777777" w:rsidR="00D93CB8" w:rsidRPr="00CD27D9" w:rsidRDefault="00D93CB8" w:rsidP="00D93CB8">
      <w:pPr>
        <w:pStyle w:val="ListParagraph"/>
        <w:numPr>
          <w:ilvl w:val="1"/>
          <w:numId w:val="1"/>
        </w:numPr>
        <w:rPr>
          <w:rFonts w:ascii="Arial" w:hAnsi="Arial" w:cs="Arial"/>
        </w:rPr>
      </w:pPr>
      <w:r w:rsidRPr="00CD27D9">
        <w:rPr>
          <w:rFonts w:ascii="Arial" w:hAnsi="Arial" w:cs="Arial"/>
        </w:rPr>
        <w:t>enable people with disability to exercise choice and control in the pursuit of their goals and the planning and delivery of their supports;</w:t>
      </w:r>
    </w:p>
    <w:p w14:paraId="77AEF250" w14:textId="77777777" w:rsidR="00D93CB8" w:rsidRPr="00CD27D9" w:rsidRDefault="00D93CB8" w:rsidP="00D93CB8">
      <w:pPr>
        <w:pStyle w:val="ListParagraph"/>
        <w:numPr>
          <w:ilvl w:val="1"/>
          <w:numId w:val="1"/>
        </w:numPr>
        <w:rPr>
          <w:rFonts w:ascii="Arial" w:hAnsi="Arial" w:cs="Arial"/>
        </w:rPr>
      </w:pPr>
      <w:r w:rsidRPr="00CD27D9">
        <w:rPr>
          <w:rFonts w:ascii="Arial" w:hAnsi="Arial" w:cs="Arial"/>
        </w:rPr>
        <w:t>facilitate the development of a nationally consistent approach to the access to, and the planning and funding of, supports for people with disability;</w:t>
      </w:r>
    </w:p>
    <w:p w14:paraId="0D92DE80" w14:textId="77777777" w:rsidR="00D93CB8" w:rsidRPr="00CD27D9" w:rsidRDefault="00D93CB8" w:rsidP="00D93CB8">
      <w:pPr>
        <w:pStyle w:val="ListParagraph"/>
        <w:numPr>
          <w:ilvl w:val="1"/>
          <w:numId w:val="1"/>
        </w:numPr>
        <w:rPr>
          <w:rFonts w:ascii="Arial" w:hAnsi="Arial" w:cs="Arial"/>
        </w:rPr>
      </w:pPr>
      <w:r w:rsidRPr="00CD27D9">
        <w:rPr>
          <w:rFonts w:ascii="Arial" w:hAnsi="Arial" w:cs="Arial"/>
        </w:rPr>
        <w:t xml:space="preserve">promote the provision of high quality and innovative supports that enable people with disability to maximise independent lifestyles and full inclusion in the community; </w:t>
      </w:r>
    </w:p>
    <w:p w14:paraId="566E9CA8" w14:textId="77777777" w:rsidR="00D93CB8" w:rsidRPr="00CD27D9" w:rsidRDefault="00D93CB8" w:rsidP="00D93CB8">
      <w:pPr>
        <w:pStyle w:val="ListParagraph"/>
        <w:numPr>
          <w:ilvl w:val="1"/>
          <w:numId w:val="1"/>
        </w:numPr>
        <w:rPr>
          <w:rFonts w:ascii="Arial" w:hAnsi="Arial" w:cs="Arial"/>
        </w:rPr>
      </w:pPr>
      <w:r w:rsidRPr="00CD27D9">
        <w:rPr>
          <w:rFonts w:ascii="Arial" w:hAnsi="Arial" w:cs="Arial"/>
        </w:rPr>
        <w:t>adopt an insurance based approach, informed by actuarial analysis, to the provision and funding of supports for people with disability; and</w:t>
      </w:r>
    </w:p>
    <w:p w14:paraId="6C7CAFCC" w14:textId="77777777" w:rsidR="00D93CB8" w:rsidRPr="00CD27D9" w:rsidRDefault="00D93CB8" w:rsidP="00D93CB8">
      <w:pPr>
        <w:pStyle w:val="ListParagraph"/>
        <w:numPr>
          <w:ilvl w:val="1"/>
          <w:numId w:val="1"/>
        </w:numPr>
        <w:rPr>
          <w:rFonts w:ascii="Arial" w:hAnsi="Arial" w:cs="Arial"/>
        </w:rPr>
      </w:pPr>
      <w:proofErr w:type="gramStart"/>
      <w:r w:rsidRPr="00CD27D9">
        <w:rPr>
          <w:rFonts w:ascii="Arial" w:hAnsi="Arial" w:cs="Arial"/>
        </w:rPr>
        <w:t>be</w:t>
      </w:r>
      <w:proofErr w:type="gramEnd"/>
      <w:r w:rsidRPr="00CD27D9">
        <w:rPr>
          <w:rFonts w:ascii="Arial" w:hAnsi="Arial" w:cs="Arial"/>
        </w:rPr>
        <w:t xml:space="preserve"> financially sustainable.</w:t>
      </w:r>
    </w:p>
    <w:p w14:paraId="06710BFD" w14:textId="77777777" w:rsidR="004A0A47" w:rsidRPr="00CD27D9" w:rsidRDefault="004A0A47" w:rsidP="00146453">
      <w:pPr>
        <w:pStyle w:val="Heading2"/>
        <w:rPr>
          <w:rFonts w:ascii="Arial" w:hAnsi="Arial" w:cs="Arial"/>
        </w:rPr>
      </w:pPr>
      <w:r w:rsidRPr="00CD27D9">
        <w:rPr>
          <w:rFonts w:ascii="Arial" w:hAnsi="Arial" w:cs="Arial"/>
        </w:rPr>
        <w:t>Process and timing</w:t>
      </w:r>
    </w:p>
    <w:p w14:paraId="39E5AB86" w14:textId="77777777" w:rsidR="003747D3" w:rsidRPr="00CD27D9" w:rsidRDefault="00B15B01" w:rsidP="003747D3">
      <w:pPr>
        <w:pStyle w:val="ListParagraph"/>
        <w:numPr>
          <w:ilvl w:val="0"/>
          <w:numId w:val="1"/>
        </w:numPr>
        <w:rPr>
          <w:rFonts w:ascii="Arial" w:hAnsi="Arial" w:cs="Arial"/>
        </w:rPr>
      </w:pPr>
      <w:r w:rsidRPr="00CD27D9">
        <w:rPr>
          <w:rFonts w:ascii="Arial" w:hAnsi="Arial" w:cs="Arial"/>
        </w:rPr>
        <w:t>The r</w:t>
      </w:r>
      <w:r w:rsidR="004A0A47" w:rsidRPr="00CD27D9">
        <w:rPr>
          <w:rFonts w:ascii="Arial" w:hAnsi="Arial" w:cs="Arial"/>
        </w:rPr>
        <w:t xml:space="preserve">eview will commence in </w:t>
      </w:r>
      <w:r w:rsidR="00BD5E9C" w:rsidRPr="00CD27D9">
        <w:rPr>
          <w:rFonts w:ascii="Arial" w:hAnsi="Arial" w:cs="Arial"/>
        </w:rPr>
        <w:t>April</w:t>
      </w:r>
      <w:r w:rsidR="003724D0" w:rsidRPr="00CD27D9">
        <w:rPr>
          <w:rFonts w:ascii="Arial" w:hAnsi="Arial" w:cs="Arial"/>
        </w:rPr>
        <w:t xml:space="preserve"> 201</w:t>
      </w:r>
      <w:r w:rsidR="00BD5E9C" w:rsidRPr="00CD27D9">
        <w:rPr>
          <w:rFonts w:ascii="Arial" w:hAnsi="Arial" w:cs="Arial"/>
        </w:rPr>
        <w:t>9</w:t>
      </w:r>
      <w:r w:rsidR="004A0A47" w:rsidRPr="00CD27D9">
        <w:rPr>
          <w:rFonts w:ascii="Arial" w:hAnsi="Arial" w:cs="Arial"/>
        </w:rPr>
        <w:t xml:space="preserve"> and deliver recommendations to the NDIA’s P</w:t>
      </w:r>
      <w:r w:rsidR="003724D0" w:rsidRPr="00CD27D9">
        <w:rPr>
          <w:rFonts w:ascii="Arial" w:hAnsi="Arial" w:cs="Arial"/>
        </w:rPr>
        <w:t xml:space="preserve">ricing Reference Group </w:t>
      </w:r>
      <w:r w:rsidR="004A0A47" w:rsidRPr="00CD27D9">
        <w:rPr>
          <w:rFonts w:ascii="Arial" w:hAnsi="Arial" w:cs="Arial"/>
        </w:rPr>
        <w:t xml:space="preserve">in </w:t>
      </w:r>
      <w:r w:rsidR="00BD5E9C" w:rsidRPr="00CD27D9">
        <w:rPr>
          <w:rFonts w:ascii="Arial" w:hAnsi="Arial" w:cs="Arial"/>
        </w:rPr>
        <w:t>June</w:t>
      </w:r>
      <w:r w:rsidR="003724D0" w:rsidRPr="00CD27D9">
        <w:rPr>
          <w:rFonts w:ascii="Arial" w:hAnsi="Arial" w:cs="Arial"/>
        </w:rPr>
        <w:t xml:space="preserve"> 201</w:t>
      </w:r>
      <w:r w:rsidR="005A0AA4" w:rsidRPr="00CD27D9">
        <w:rPr>
          <w:rFonts w:ascii="Arial" w:hAnsi="Arial" w:cs="Arial"/>
        </w:rPr>
        <w:t>9</w:t>
      </w:r>
      <w:r w:rsidR="003724D0" w:rsidRPr="00CD27D9">
        <w:rPr>
          <w:rFonts w:ascii="Arial" w:hAnsi="Arial" w:cs="Arial"/>
        </w:rPr>
        <w:t xml:space="preserve">, for implementation </w:t>
      </w:r>
      <w:r w:rsidR="0043398D" w:rsidRPr="00CD27D9">
        <w:rPr>
          <w:rFonts w:ascii="Arial" w:hAnsi="Arial" w:cs="Arial"/>
        </w:rPr>
        <w:t xml:space="preserve">of any changes </w:t>
      </w:r>
      <w:r w:rsidR="003724D0" w:rsidRPr="00CD27D9">
        <w:rPr>
          <w:rFonts w:ascii="Arial" w:hAnsi="Arial" w:cs="Arial"/>
        </w:rPr>
        <w:t xml:space="preserve">from 1 July </w:t>
      </w:r>
      <w:r w:rsidR="004A0A47" w:rsidRPr="00CD27D9">
        <w:rPr>
          <w:rFonts w:ascii="Arial" w:hAnsi="Arial" w:cs="Arial"/>
        </w:rPr>
        <w:t>2019.</w:t>
      </w:r>
    </w:p>
    <w:tbl>
      <w:tblPr>
        <w:tblStyle w:val="TableGridLight"/>
        <w:tblW w:w="3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ew Timeline"/>
        <w:tblDescription w:val="Table details review timing and schedule of activity required at each juncture"/>
      </w:tblPr>
      <w:tblGrid>
        <w:gridCol w:w="1838"/>
        <w:gridCol w:w="4536"/>
      </w:tblGrid>
      <w:tr w:rsidR="005D0851" w:rsidRPr="00CD27D9" w14:paraId="077EC136" w14:textId="77777777" w:rsidTr="006454DD">
        <w:trPr>
          <w:trHeight w:val="274"/>
          <w:tblHeader/>
          <w:jc w:val="center"/>
        </w:trPr>
        <w:tc>
          <w:tcPr>
            <w:tcW w:w="1838" w:type="dxa"/>
            <w:vAlign w:val="center"/>
          </w:tcPr>
          <w:p w14:paraId="3AF1F983" w14:textId="77777777" w:rsidR="005D0851" w:rsidRPr="00CD27D9" w:rsidRDefault="005D0851" w:rsidP="00B15B01">
            <w:pPr>
              <w:spacing w:before="80" w:after="80" w:line="200" w:lineRule="atLeast"/>
              <w:rPr>
                <w:rFonts w:ascii="Arial" w:hAnsi="Arial" w:cs="Arial"/>
                <w:szCs w:val="18"/>
              </w:rPr>
            </w:pPr>
            <w:r w:rsidRPr="00CD27D9">
              <w:rPr>
                <w:rFonts w:ascii="Arial" w:hAnsi="Arial" w:cs="Arial"/>
                <w:szCs w:val="18"/>
              </w:rPr>
              <w:t>April 2019</w:t>
            </w:r>
          </w:p>
        </w:tc>
        <w:tc>
          <w:tcPr>
            <w:tcW w:w="4536" w:type="dxa"/>
          </w:tcPr>
          <w:p w14:paraId="6FFDFB84" w14:textId="77777777" w:rsidR="00751F96" w:rsidRDefault="00751F96" w:rsidP="00B15B01">
            <w:pPr>
              <w:pStyle w:val="ListParagraph"/>
              <w:numPr>
                <w:ilvl w:val="0"/>
                <w:numId w:val="3"/>
              </w:numPr>
              <w:spacing w:before="120" w:after="120" w:line="200" w:lineRule="atLeast"/>
              <w:ind w:left="170" w:hanging="142"/>
              <w:rPr>
                <w:rFonts w:ascii="Arial" w:hAnsi="Arial" w:cs="Arial"/>
                <w:color w:val="000000" w:themeColor="text1"/>
                <w:szCs w:val="18"/>
              </w:rPr>
            </w:pPr>
            <w:r>
              <w:rPr>
                <w:rFonts w:ascii="Arial" w:hAnsi="Arial" w:cs="Arial"/>
                <w:color w:val="000000" w:themeColor="text1"/>
                <w:szCs w:val="18"/>
              </w:rPr>
              <w:t>Release Terms of Reference</w:t>
            </w:r>
          </w:p>
          <w:p w14:paraId="7DA6EA7D" w14:textId="77777777" w:rsidR="005D0851" w:rsidRPr="00CD27D9" w:rsidRDefault="005D0851" w:rsidP="00B15B01">
            <w:pPr>
              <w:pStyle w:val="ListParagraph"/>
              <w:numPr>
                <w:ilvl w:val="0"/>
                <w:numId w:val="3"/>
              </w:numPr>
              <w:spacing w:before="120" w:after="120" w:line="200" w:lineRule="atLeast"/>
              <w:ind w:left="170" w:hanging="142"/>
              <w:rPr>
                <w:rFonts w:ascii="Arial" w:hAnsi="Arial" w:cs="Arial"/>
                <w:color w:val="000000" w:themeColor="text1"/>
                <w:szCs w:val="18"/>
              </w:rPr>
            </w:pPr>
            <w:r w:rsidRPr="00CD27D9">
              <w:rPr>
                <w:rFonts w:ascii="Arial" w:hAnsi="Arial" w:cs="Arial"/>
                <w:color w:val="000000" w:themeColor="text1"/>
                <w:szCs w:val="18"/>
              </w:rPr>
              <w:t>Call for Public Submissions</w:t>
            </w:r>
          </w:p>
        </w:tc>
      </w:tr>
      <w:tr w:rsidR="005D0851" w:rsidRPr="00CD27D9" w14:paraId="30C60B4B" w14:textId="77777777" w:rsidTr="006454DD">
        <w:trPr>
          <w:trHeight w:val="752"/>
          <w:jc w:val="center"/>
        </w:trPr>
        <w:tc>
          <w:tcPr>
            <w:tcW w:w="1838" w:type="dxa"/>
            <w:vAlign w:val="center"/>
          </w:tcPr>
          <w:p w14:paraId="24C6FB94" w14:textId="77777777" w:rsidR="005D0851" w:rsidRPr="00CD27D9" w:rsidRDefault="005D0851" w:rsidP="00B15B01">
            <w:pPr>
              <w:spacing w:before="80" w:after="80" w:line="200" w:lineRule="atLeast"/>
              <w:rPr>
                <w:rFonts w:ascii="Arial" w:hAnsi="Arial" w:cs="Arial"/>
                <w:szCs w:val="18"/>
              </w:rPr>
            </w:pPr>
            <w:r w:rsidRPr="00CD27D9">
              <w:rPr>
                <w:rFonts w:ascii="Arial" w:hAnsi="Arial" w:cs="Arial"/>
                <w:szCs w:val="18"/>
              </w:rPr>
              <w:t>May 2019</w:t>
            </w:r>
          </w:p>
        </w:tc>
        <w:tc>
          <w:tcPr>
            <w:tcW w:w="4536" w:type="dxa"/>
            <w:vAlign w:val="center"/>
          </w:tcPr>
          <w:p w14:paraId="00AE10C5" w14:textId="77777777" w:rsidR="005D0851" w:rsidRPr="00CD27D9" w:rsidRDefault="005D0851" w:rsidP="00B15B01">
            <w:pPr>
              <w:pStyle w:val="ListParagraph"/>
              <w:numPr>
                <w:ilvl w:val="0"/>
                <w:numId w:val="3"/>
              </w:numPr>
              <w:spacing w:before="120" w:after="120" w:line="200" w:lineRule="atLeast"/>
              <w:ind w:left="170" w:hanging="142"/>
              <w:rPr>
                <w:rFonts w:ascii="Arial" w:hAnsi="Arial" w:cs="Arial"/>
                <w:color w:val="000000" w:themeColor="text1"/>
                <w:szCs w:val="18"/>
              </w:rPr>
            </w:pPr>
            <w:r w:rsidRPr="00CD27D9">
              <w:rPr>
                <w:rFonts w:ascii="Arial" w:hAnsi="Arial" w:cs="Arial"/>
                <w:color w:val="000000" w:themeColor="text1"/>
                <w:szCs w:val="18"/>
              </w:rPr>
              <w:t xml:space="preserve">Public Submissions close </w:t>
            </w:r>
          </w:p>
        </w:tc>
      </w:tr>
      <w:tr w:rsidR="005D0851" w:rsidRPr="00CD27D9" w14:paraId="5DD7A315" w14:textId="77777777" w:rsidTr="006454DD">
        <w:trPr>
          <w:trHeight w:val="209"/>
          <w:jc w:val="center"/>
        </w:trPr>
        <w:tc>
          <w:tcPr>
            <w:tcW w:w="1838" w:type="dxa"/>
            <w:vAlign w:val="center"/>
          </w:tcPr>
          <w:p w14:paraId="38ABF8CA" w14:textId="77777777" w:rsidR="005D0851" w:rsidRPr="00CD27D9" w:rsidRDefault="005D0851" w:rsidP="00B15B01">
            <w:pPr>
              <w:spacing w:before="80" w:after="80" w:line="200" w:lineRule="atLeast"/>
              <w:rPr>
                <w:rFonts w:ascii="Arial" w:hAnsi="Arial" w:cs="Arial"/>
                <w:szCs w:val="18"/>
              </w:rPr>
            </w:pPr>
            <w:r w:rsidRPr="00CD27D9">
              <w:rPr>
                <w:rFonts w:ascii="Arial" w:hAnsi="Arial" w:cs="Arial"/>
                <w:szCs w:val="18"/>
              </w:rPr>
              <w:t>June 2019</w:t>
            </w:r>
          </w:p>
        </w:tc>
        <w:tc>
          <w:tcPr>
            <w:tcW w:w="4536" w:type="dxa"/>
            <w:vAlign w:val="center"/>
          </w:tcPr>
          <w:p w14:paraId="387439BC" w14:textId="77777777" w:rsidR="005D0851" w:rsidRPr="00CD27D9" w:rsidRDefault="005D0851" w:rsidP="00751F96">
            <w:pPr>
              <w:pStyle w:val="ListParagraph"/>
              <w:numPr>
                <w:ilvl w:val="0"/>
                <w:numId w:val="3"/>
              </w:numPr>
              <w:spacing w:before="120" w:after="120" w:line="200" w:lineRule="atLeast"/>
              <w:ind w:left="170" w:hanging="142"/>
              <w:rPr>
                <w:rFonts w:ascii="Arial" w:hAnsi="Arial" w:cs="Arial"/>
                <w:color w:val="000000" w:themeColor="text1"/>
                <w:szCs w:val="18"/>
              </w:rPr>
            </w:pPr>
            <w:r w:rsidRPr="00CD27D9">
              <w:rPr>
                <w:rFonts w:ascii="Arial" w:hAnsi="Arial" w:cs="Arial"/>
                <w:color w:val="000000" w:themeColor="text1"/>
                <w:szCs w:val="18"/>
              </w:rPr>
              <w:t xml:space="preserve">Publish </w:t>
            </w:r>
            <w:r w:rsidR="00751F96">
              <w:rPr>
                <w:rFonts w:ascii="Arial" w:hAnsi="Arial" w:cs="Arial"/>
                <w:color w:val="000000" w:themeColor="text1"/>
                <w:szCs w:val="18"/>
              </w:rPr>
              <w:t>outcomes</w:t>
            </w:r>
          </w:p>
        </w:tc>
      </w:tr>
      <w:tr w:rsidR="005D0851" w:rsidRPr="00CD27D9" w14:paraId="74BFAA31" w14:textId="77777777" w:rsidTr="006454DD">
        <w:trPr>
          <w:trHeight w:val="199"/>
          <w:jc w:val="center"/>
        </w:trPr>
        <w:tc>
          <w:tcPr>
            <w:tcW w:w="1838" w:type="dxa"/>
            <w:vAlign w:val="center"/>
          </w:tcPr>
          <w:p w14:paraId="349848E7" w14:textId="77777777" w:rsidR="005D0851" w:rsidRPr="00CD27D9" w:rsidRDefault="005D0851" w:rsidP="00B15B01">
            <w:pPr>
              <w:spacing w:before="80" w:after="80" w:line="200" w:lineRule="atLeast"/>
              <w:rPr>
                <w:rFonts w:ascii="Arial" w:hAnsi="Arial" w:cs="Arial"/>
                <w:szCs w:val="18"/>
              </w:rPr>
            </w:pPr>
            <w:r w:rsidRPr="00CD27D9">
              <w:rPr>
                <w:rFonts w:ascii="Arial" w:hAnsi="Arial" w:cs="Arial"/>
                <w:szCs w:val="18"/>
              </w:rPr>
              <w:t>July 2019</w:t>
            </w:r>
          </w:p>
        </w:tc>
        <w:tc>
          <w:tcPr>
            <w:tcW w:w="4536" w:type="dxa"/>
            <w:vAlign w:val="center"/>
          </w:tcPr>
          <w:p w14:paraId="51318B73" w14:textId="77777777" w:rsidR="005D0851" w:rsidRPr="00CD27D9" w:rsidRDefault="00751F96" w:rsidP="00B15B01">
            <w:pPr>
              <w:pStyle w:val="ListParagraph"/>
              <w:numPr>
                <w:ilvl w:val="0"/>
                <w:numId w:val="3"/>
              </w:numPr>
              <w:spacing w:before="120" w:after="120" w:line="200" w:lineRule="atLeast"/>
              <w:ind w:left="170" w:hanging="142"/>
              <w:rPr>
                <w:rFonts w:ascii="Arial" w:hAnsi="Arial" w:cs="Arial"/>
                <w:color w:val="000000" w:themeColor="text1"/>
                <w:szCs w:val="18"/>
              </w:rPr>
            </w:pPr>
            <w:r>
              <w:rPr>
                <w:rFonts w:ascii="Arial" w:hAnsi="Arial" w:cs="Arial"/>
                <w:color w:val="000000" w:themeColor="text1"/>
                <w:szCs w:val="18"/>
              </w:rPr>
              <w:t>Changes i</w:t>
            </w:r>
            <w:bookmarkStart w:id="0" w:name="_GoBack"/>
            <w:bookmarkEnd w:id="0"/>
            <w:r>
              <w:rPr>
                <w:rFonts w:ascii="Arial" w:hAnsi="Arial" w:cs="Arial"/>
                <w:color w:val="000000" w:themeColor="text1"/>
                <w:szCs w:val="18"/>
              </w:rPr>
              <w:t xml:space="preserve">mplemented </w:t>
            </w:r>
            <w:r w:rsidR="005D0851" w:rsidRPr="00CD27D9">
              <w:rPr>
                <w:rFonts w:ascii="Arial" w:hAnsi="Arial" w:cs="Arial"/>
                <w:color w:val="000000" w:themeColor="text1"/>
                <w:szCs w:val="18"/>
              </w:rPr>
              <w:t xml:space="preserve"> </w:t>
            </w:r>
          </w:p>
        </w:tc>
      </w:tr>
    </w:tbl>
    <w:p w14:paraId="77F11DD2" w14:textId="77777777" w:rsidR="003724D0" w:rsidRPr="00CD27D9" w:rsidRDefault="00146453" w:rsidP="00146453">
      <w:pPr>
        <w:pStyle w:val="Heading2"/>
        <w:rPr>
          <w:rFonts w:ascii="Arial" w:hAnsi="Arial" w:cs="Arial"/>
        </w:rPr>
      </w:pPr>
      <w:r w:rsidRPr="00CD27D9">
        <w:rPr>
          <w:rFonts w:ascii="Arial" w:hAnsi="Arial" w:cs="Arial"/>
        </w:rPr>
        <w:t>Further information</w:t>
      </w:r>
    </w:p>
    <w:p w14:paraId="78120396" w14:textId="7A839737" w:rsidR="005D0851" w:rsidRPr="00CD27D9" w:rsidRDefault="00146453" w:rsidP="005D0851">
      <w:pPr>
        <w:pStyle w:val="ListParagraph"/>
        <w:numPr>
          <w:ilvl w:val="0"/>
          <w:numId w:val="1"/>
        </w:numPr>
        <w:rPr>
          <w:rFonts w:ascii="Arial" w:hAnsi="Arial" w:cs="Arial"/>
        </w:rPr>
      </w:pPr>
      <w:r w:rsidRPr="00CD27D9">
        <w:rPr>
          <w:rFonts w:ascii="Arial" w:hAnsi="Arial" w:cs="Arial"/>
        </w:rPr>
        <w:t>Further informatio</w:t>
      </w:r>
      <w:r w:rsidR="006D1289">
        <w:rPr>
          <w:rFonts w:ascii="Arial" w:hAnsi="Arial" w:cs="Arial"/>
        </w:rPr>
        <w:t xml:space="preserve">n on the Review can be found on </w:t>
      </w:r>
      <w:hyperlink r:id="rId8" w:history="1">
        <w:r w:rsidR="006D1289" w:rsidRPr="00DB6BE1">
          <w:rPr>
            <w:rStyle w:val="Hyperlink"/>
            <w:rFonts w:ascii="Arial" w:hAnsi="Arial" w:cs="Arial"/>
          </w:rPr>
          <w:t>www.ndis.gov.au</w:t>
        </w:r>
      </w:hyperlink>
      <w:r w:rsidR="006D1289">
        <w:rPr>
          <w:rFonts w:ascii="Arial" w:hAnsi="Arial" w:cs="Arial"/>
        </w:rPr>
        <w:t xml:space="preserve">. </w:t>
      </w:r>
    </w:p>
    <w:sectPr w:rsidR="005D0851" w:rsidRPr="00CD27D9" w:rsidSect="000534B0">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ACA61" w14:textId="77777777" w:rsidR="007F675E" w:rsidRDefault="007F675E" w:rsidP="00146453">
      <w:pPr>
        <w:spacing w:before="0" w:after="0" w:line="240" w:lineRule="auto"/>
      </w:pPr>
      <w:r>
        <w:separator/>
      </w:r>
    </w:p>
  </w:endnote>
  <w:endnote w:type="continuationSeparator" w:id="0">
    <w:p w14:paraId="3F1A1259" w14:textId="77777777" w:rsidR="007F675E" w:rsidRDefault="007F675E"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C66A" w14:textId="738C2D02" w:rsidR="00146453" w:rsidRPr="002953B7" w:rsidRDefault="00146453" w:rsidP="00146453">
    <w:pPr>
      <w:pStyle w:val="Header"/>
      <w:pBdr>
        <w:top w:val="single" w:sz="18" w:space="1" w:color="6B2976" w:themeColor="accent4"/>
      </w:pBdr>
      <w:tabs>
        <w:tab w:val="clear" w:pos="4513"/>
      </w:tabs>
      <w:rPr>
        <w:rFonts w:ascii="Arial" w:hAnsi="Arial" w:cs="Arial"/>
        <w:noProof/>
        <w:color w:val="6B2976" w:themeColor="accent4"/>
      </w:rPr>
    </w:pPr>
    <w:r w:rsidRPr="002953B7">
      <w:rPr>
        <w:rFonts w:ascii="Arial" w:hAnsi="Arial" w:cs="Arial"/>
        <w:b/>
        <w:color w:val="6B2976" w:themeColor="accent4"/>
      </w:rPr>
      <w:t>ndis.gov.au</w:t>
    </w:r>
    <w:r w:rsidRPr="002953B7">
      <w:rPr>
        <w:rFonts w:ascii="Arial" w:hAnsi="Arial" w:cs="Arial"/>
        <w:color w:val="6B2976" w:themeColor="accent4"/>
      </w:rPr>
      <w:t xml:space="preserve"> </w:t>
    </w:r>
    <w:sdt>
      <w:sdtPr>
        <w:rPr>
          <w:rFonts w:ascii="Arial" w:hAnsi="Arial" w:cs="Arial"/>
          <w:color w:val="6B2976" w:themeColor="accent4"/>
        </w:rPr>
        <w:id w:val="-1303768285"/>
        <w:docPartObj>
          <w:docPartGallery w:val="Page Numbers (Top of Page)"/>
          <w:docPartUnique/>
        </w:docPartObj>
      </w:sdtPr>
      <w:sdtEndPr>
        <w:rPr>
          <w:noProof/>
        </w:rPr>
      </w:sdtEndPr>
      <w:sdtContent>
        <w:r w:rsidRPr="002953B7">
          <w:rPr>
            <w:rFonts w:ascii="Arial" w:hAnsi="Arial" w:cs="Arial"/>
            <w:color w:val="6B2976" w:themeColor="accent4"/>
          </w:rPr>
          <w:tab/>
        </w:r>
        <w:r w:rsidRPr="002953B7">
          <w:rPr>
            <w:rFonts w:ascii="Arial" w:hAnsi="Arial" w:cs="Arial"/>
            <w:color w:val="6B2976" w:themeColor="accent4"/>
          </w:rPr>
          <w:fldChar w:fldCharType="begin"/>
        </w:r>
        <w:r w:rsidRPr="002953B7">
          <w:rPr>
            <w:rFonts w:ascii="Arial" w:hAnsi="Arial" w:cs="Arial"/>
            <w:color w:val="6B2976" w:themeColor="accent4"/>
          </w:rPr>
          <w:instrText xml:space="preserve"> PAGE   \* MERGEFORMAT </w:instrText>
        </w:r>
        <w:r w:rsidRPr="002953B7">
          <w:rPr>
            <w:rFonts w:ascii="Arial" w:hAnsi="Arial" w:cs="Arial"/>
            <w:color w:val="6B2976" w:themeColor="accent4"/>
          </w:rPr>
          <w:fldChar w:fldCharType="separate"/>
        </w:r>
        <w:r w:rsidR="00EE55FC">
          <w:rPr>
            <w:rFonts w:ascii="Arial" w:hAnsi="Arial" w:cs="Arial"/>
            <w:noProof/>
            <w:color w:val="6B2976" w:themeColor="accent4"/>
          </w:rPr>
          <w:t>2</w:t>
        </w:r>
        <w:r w:rsidRPr="002953B7">
          <w:rPr>
            <w:rFonts w:ascii="Arial" w:hAnsi="Arial" w:cs="Arial"/>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F764D" w14:textId="1D067F50" w:rsidR="00146453" w:rsidRPr="002953B7" w:rsidRDefault="000534B0" w:rsidP="000534B0">
    <w:pPr>
      <w:pStyle w:val="Header"/>
      <w:pBdr>
        <w:top w:val="single" w:sz="18" w:space="1" w:color="6B2976" w:themeColor="accent4"/>
      </w:pBdr>
      <w:tabs>
        <w:tab w:val="clear" w:pos="4513"/>
      </w:tabs>
      <w:rPr>
        <w:rFonts w:ascii="Arial" w:hAnsi="Arial" w:cs="Arial"/>
        <w:noProof/>
        <w:color w:val="6B2976" w:themeColor="accent4"/>
      </w:rPr>
    </w:pPr>
    <w:r w:rsidRPr="002953B7">
      <w:rPr>
        <w:rFonts w:ascii="Arial" w:hAnsi="Arial" w:cs="Arial"/>
        <w:b/>
        <w:color w:val="6B2976" w:themeColor="accent4"/>
      </w:rPr>
      <w:t>ndis.gov.au</w:t>
    </w:r>
    <w:r w:rsidRPr="002953B7">
      <w:rPr>
        <w:rFonts w:ascii="Arial" w:hAnsi="Arial" w:cs="Arial"/>
        <w:color w:val="6B2976" w:themeColor="accent4"/>
      </w:rPr>
      <w:t xml:space="preserve"> </w:t>
    </w:r>
    <w:sdt>
      <w:sdtPr>
        <w:rPr>
          <w:rFonts w:ascii="Arial" w:hAnsi="Arial" w:cs="Arial"/>
          <w:color w:val="6B2976" w:themeColor="accent4"/>
        </w:rPr>
        <w:id w:val="1139694551"/>
        <w:docPartObj>
          <w:docPartGallery w:val="Page Numbers (Top of Page)"/>
          <w:docPartUnique/>
        </w:docPartObj>
      </w:sdtPr>
      <w:sdtEndPr>
        <w:rPr>
          <w:noProof/>
        </w:rPr>
      </w:sdtEndPr>
      <w:sdtContent>
        <w:r w:rsidRPr="002953B7">
          <w:rPr>
            <w:rFonts w:ascii="Arial" w:hAnsi="Arial" w:cs="Arial"/>
            <w:color w:val="6B2976" w:themeColor="accent4"/>
          </w:rPr>
          <w:tab/>
        </w:r>
        <w:r w:rsidRPr="002953B7">
          <w:rPr>
            <w:rFonts w:ascii="Arial" w:hAnsi="Arial" w:cs="Arial"/>
            <w:color w:val="6B2976" w:themeColor="accent4"/>
          </w:rPr>
          <w:fldChar w:fldCharType="begin"/>
        </w:r>
        <w:r w:rsidRPr="002953B7">
          <w:rPr>
            <w:rFonts w:ascii="Arial" w:hAnsi="Arial" w:cs="Arial"/>
            <w:color w:val="6B2976" w:themeColor="accent4"/>
          </w:rPr>
          <w:instrText xml:space="preserve"> PAGE   \* MERGEFORMAT </w:instrText>
        </w:r>
        <w:r w:rsidRPr="002953B7">
          <w:rPr>
            <w:rFonts w:ascii="Arial" w:hAnsi="Arial" w:cs="Arial"/>
            <w:color w:val="6B2976" w:themeColor="accent4"/>
          </w:rPr>
          <w:fldChar w:fldCharType="separate"/>
        </w:r>
        <w:r w:rsidR="00EE55FC">
          <w:rPr>
            <w:rFonts w:ascii="Arial" w:hAnsi="Arial" w:cs="Arial"/>
            <w:noProof/>
            <w:color w:val="6B2976" w:themeColor="accent4"/>
          </w:rPr>
          <w:t>1</w:t>
        </w:r>
        <w:r w:rsidRPr="002953B7">
          <w:rPr>
            <w:rFonts w:ascii="Arial" w:hAnsi="Arial" w:cs="Arial"/>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6AD3" w14:textId="77777777" w:rsidR="007F675E" w:rsidRDefault="007F675E" w:rsidP="00146453">
      <w:pPr>
        <w:spacing w:before="0" w:after="0" w:line="240" w:lineRule="auto"/>
      </w:pPr>
      <w:r>
        <w:separator/>
      </w:r>
    </w:p>
  </w:footnote>
  <w:footnote w:type="continuationSeparator" w:id="0">
    <w:p w14:paraId="66230910" w14:textId="77777777" w:rsidR="007F675E" w:rsidRDefault="007F675E"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92F55"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D10F" w14:textId="77777777" w:rsidR="0080584F" w:rsidRDefault="0080584F" w:rsidP="00CD27D9">
    <w:pPr>
      <w:pStyle w:val="Header"/>
      <w:rPr>
        <w:rFonts w:ascii="Arial" w:hAnsi="Arial" w:cs="Arial"/>
        <w:b/>
        <w:color w:val="000000" w:themeColor="text1"/>
      </w:rPr>
    </w:pPr>
  </w:p>
  <w:p w14:paraId="574516C5" w14:textId="77777777" w:rsidR="000534B0" w:rsidRDefault="0080584F" w:rsidP="00CD27D9">
    <w:pPr>
      <w:pStyle w:val="Header"/>
      <w:rPr>
        <w:rFonts w:ascii="Arial" w:hAnsi="Arial" w:cs="Arial"/>
        <w:b/>
        <w:color w:val="000000" w:themeColor="text1"/>
      </w:rPr>
    </w:pPr>
    <w:r w:rsidRPr="00CD27D9">
      <w:rPr>
        <w:rFonts w:ascii="Arial" w:hAnsi="Arial" w:cs="Arial"/>
        <w:b/>
        <w:noProof/>
        <w:color w:val="000000" w:themeColor="text1"/>
        <w:lang w:eastAsia="en-AU"/>
      </w:rPr>
      <w:drawing>
        <wp:anchor distT="0" distB="0" distL="114300" distR="114300" simplePos="0" relativeHeight="251659264" behindDoc="1" locked="0" layoutInCell="1" allowOverlap="1" wp14:anchorId="6E615168" wp14:editId="267CF533">
          <wp:simplePos x="0" y="0"/>
          <wp:positionH relativeFrom="margin">
            <wp:posOffset>4819650</wp:posOffset>
          </wp:positionH>
          <wp:positionV relativeFrom="topMargin">
            <wp:posOffset>454660</wp:posOffset>
          </wp:positionV>
          <wp:extent cx="1196672" cy="621834"/>
          <wp:effectExtent l="0" t="0" r="381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196672" cy="621834"/>
                  </a:xfrm>
                  <a:prstGeom prst="rect">
                    <a:avLst/>
                  </a:prstGeom>
                </pic:spPr>
              </pic:pic>
            </a:graphicData>
          </a:graphic>
          <wp14:sizeRelH relativeFrom="page">
            <wp14:pctWidth>0</wp14:pctWidth>
          </wp14:sizeRelH>
          <wp14:sizeRelV relativeFrom="page">
            <wp14:pctHeight>0</wp14:pctHeight>
          </wp14:sizeRelV>
        </wp:anchor>
      </w:drawing>
    </w:r>
    <w:r w:rsidR="009C6988">
      <w:rPr>
        <w:rFonts w:ascii="Arial" w:hAnsi="Arial" w:cs="Arial"/>
        <w:b/>
        <w:color w:val="000000" w:themeColor="text1"/>
      </w:rPr>
      <w:t>PAPER 1 - ATTACHMENT A</w:t>
    </w:r>
  </w:p>
  <w:p w14:paraId="10877A2E" w14:textId="77777777" w:rsidR="0080584F" w:rsidRDefault="0080584F" w:rsidP="00CD27D9">
    <w:pPr>
      <w:pStyle w:val="Header"/>
      <w:rPr>
        <w:rFonts w:ascii="Arial" w:hAnsi="Arial" w:cs="Arial"/>
        <w:b/>
        <w:color w:val="000000" w:themeColor="text1"/>
      </w:rPr>
    </w:pPr>
  </w:p>
  <w:p w14:paraId="3866FECB" w14:textId="77777777" w:rsidR="0080584F" w:rsidRPr="00CD27D9" w:rsidRDefault="0080584F" w:rsidP="00CD27D9">
    <w:pPr>
      <w:pStyle w:val="Header"/>
      <w:rPr>
        <w:rFonts w:ascii="Arial" w:hAnsi="Arial" w:cs="Arial"/>
        <w:b/>
        <w:color w:val="000000" w:themeColor="text1"/>
      </w:rPr>
    </w:pPr>
  </w:p>
  <w:p w14:paraId="6249818B" w14:textId="77777777" w:rsidR="0076304F" w:rsidRDefault="007630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359A5"/>
    <w:multiLevelType w:val="multilevel"/>
    <w:tmpl w:val="004474CC"/>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92F6FF9"/>
    <w:multiLevelType w:val="multilevel"/>
    <w:tmpl w:val="F9746D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534B0"/>
    <w:rsid w:val="000C4C4D"/>
    <w:rsid w:val="000C579A"/>
    <w:rsid w:val="00117DBF"/>
    <w:rsid w:val="00146453"/>
    <w:rsid w:val="00187530"/>
    <w:rsid w:val="001A3A19"/>
    <w:rsid w:val="001D7E59"/>
    <w:rsid w:val="001F1295"/>
    <w:rsid w:val="001F234B"/>
    <w:rsid w:val="002953B7"/>
    <w:rsid w:val="003118C2"/>
    <w:rsid w:val="00363802"/>
    <w:rsid w:val="003724D0"/>
    <w:rsid w:val="003747D3"/>
    <w:rsid w:val="00382004"/>
    <w:rsid w:val="003901BD"/>
    <w:rsid w:val="0043398D"/>
    <w:rsid w:val="0045552B"/>
    <w:rsid w:val="004A0A47"/>
    <w:rsid w:val="00547153"/>
    <w:rsid w:val="00573C5A"/>
    <w:rsid w:val="005824D7"/>
    <w:rsid w:val="005A0AA4"/>
    <w:rsid w:val="005D0851"/>
    <w:rsid w:val="005D6A81"/>
    <w:rsid w:val="00617385"/>
    <w:rsid w:val="006454DD"/>
    <w:rsid w:val="00646C04"/>
    <w:rsid w:val="00672B9E"/>
    <w:rsid w:val="006A5D95"/>
    <w:rsid w:val="006B0118"/>
    <w:rsid w:val="006C044B"/>
    <w:rsid w:val="006D1289"/>
    <w:rsid w:val="006E7097"/>
    <w:rsid w:val="00727781"/>
    <w:rsid w:val="00751F96"/>
    <w:rsid w:val="007560B9"/>
    <w:rsid w:val="00756803"/>
    <w:rsid w:val="0076304F"/>
    <w:rsid w:val="007A2694"/>
    <w:rsid w:val="007C5B24"/>
    <w:rsid w:val="007F675E"/>
    <w:rsid w:val="0080584F"/>
    <w:rsid w:val="00807D31"/>
    <w:rsid w:val="00830040"/>
    <w:rsid w:val="008431D4"/>
    <w:rsid w:val="008A6036"/>
    <w:rsid w:val="008E6BE2"/>
    <w:rsid w:val="009174B6"/>
    <w:rsid w:val="0099386F"/>
    <w:rsid w:val="009B7BE2"/>
    <w:rsid w:val="009C6988"/>
    <w:rsid w:val="00A9232A"/>
    <w:rsid w:val="00AA66B3"/>
    <w:rsid w:val="00B15B01"/>
    <w:rsid w:val="00B240BB"/>
    <w:rsid w:val="00B26587"/>
    <w:rsid w:val="00B27F77"/>
    <w:rsid w:val="00B55E49"/>
    <w:rsid w:val="00BC4293"/>
    <w:rsid w:val="00BD328A"/>
    <w:rsid w:val="00BD5E9C"/>
    <w:rsid w:val="00C02D63"/>
    <w:rsid w:val="00C037AE"/>
    <w:rsid w:val="00C545F2"/>
    <w:rsid w:val="00C658A1"/>
    <w:rsid w:val="00C7775E"/>
    <w:rsid w:val="00CD07EA"/>
    <w:rsid w:val="00CD27D9"/>
    <w:rsid w:val="00CF7BAD"/>
    <w:rsid w:val="00D47C76"/>
    <w:rsid w:val="00D93CB8"/>
    <w:rsid w:val="00DC6020"/>
    <w:rsid w:val="00E120B9"/>
    <w:rsid w:val="00E628C5"/>
    <w:rsid w:val="00E7311D"/>
    <w:rsid w:val="00EA7799"/>
    <w:rsid w:val="00EE55FC"/>
    <w:rsid w:val="00EF3337"/>
    <w:rsid w:val="00F26FAD"/>
    <w:rsid w:val="00F371C9"/>
    <w:rsid w:val="00F804D2"/>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B4B9"/>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basedOn w:val="Normal"/>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styleId="CommentReference">
    <w:name w:val="annotation reference"/>
    <w:basedOn w:val="DefaultParagraphFont"/>
    <w:uiPriority w:val="99"/>
    <w:semiHidden/>
    <w:unhideWhenUsed/>
    <w:rsid w:val="009B7BE2"/>
    <w:rPr>
      <w:sz w:val="16"/>
      <w:szCs w:val="16"/>
    </w:rPr>
  </w:style>
  <w:style w:type="paragraph" w:styleId="CommentText">
    <w:name w:val="annotation text"/>
    <w:basedOn w:val="Normal"/>
    <w:link w:val="CommentTextChar"/>
    <w:uiPriority w:val="99"/>
    <w:semiHidden/>
    <w:unhideWhenUsed/>
    <w:rsid w:val="009B7BE2"/>
    <w:pPr>
      <w:spacing w:line="240" w:lineRule="auto"/>
    </w:pPr>
    <w:rPr>
      <w:sz w:val="20"/>
      <w:szCs w:val="20"/>
    </w:rPr>
  </w:style>
  <w:style w:type="character" w:customStyle="1" w:styleId="CommentTextChar">
    <w:name w:val="Comment Text Char"/>
    <w:basedOn w:val="DefaultParagraphFont"/>
    <w:link w:val="CommentText"/>
    <w:uiPriority w:val="99"/>
    <w:semiHidden/>
    <w:rsid w:val="009B7BE2"/>
    <w:rPr>
      <w:sz w:val="20"/>
      <w:szCs w:val="20"/>
    </w:rPr>
  </w:style>
  <w:style w:type="paragraph" w:styleId="CommentSubject">
    <w:name w:val="annotation subject"/>
    <w:basedOn w:val="CommentText"/>
    <w:next w:val="CommentText"/>
    <w:link w:val="CommentSubjectChar"/>
    <w:uiPriority w:val="99"/>
    <w:semiHidden/>
    <w:unhideWhenUsed/>
    <w:rsid w:val="009B7BE2"/>
    <w:rPr>
      <w:b/>
      <w:bCs/>
    </w:rPr>
  </w:style>
  <w:style w:type="character" w:customStyle="1" w:styleId="CommentSubjectChar">
    <w:name w:val="Comment Subject Char"/>
    <w:basedOn w:val="CommentTextChar"/>
    <w:link w:val="CommentSubject"/>
    <w:uiPriority w:val="99"/>
    <w:semiHidden/>
    <w:rsid w:val="009B7BE2"/>
    <w:rPr>
      <w:b/>
      <w:bCs/>
      <w:sz w:val="20"/>
      <w:szCs w:val="20"/>
    </w:rPr>
  </w:style>
  <w:style w:type="paragraph" w:styleId="BalloonText">
    <w:name w:val="Balloon Text"/>
    <w:basedOn w:val="Normal"/>
    <w:link w:val="BalloonTextChar"/>
    <w:uiPriority w:val="99"/>
    <w:semiHidden/>
    <w:unhideWhenUsed/>
    <w:rsid w:val="009B7B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E2"/>
    <w:rPr>
      <w:rFonts w:ascii="Segoe UI" w:hAnsi="Segoe UI" w:cs="Segoe UI"/>
      <w:sz w:val="18"/>
      <w:szCs w:val="18"/>
    </w:rPr>
  </w:style>
  <w:style w:type="character" w:styleId="Hyperlink">
    <w:name w:val="Hyperlink"/>
    <w:basedOn w:val="DefaultParagraphFont"/>
    <w:uiPriority w:val="99"/>
    <w:unhideWhenUsed/>
    <w:rsid w:val="006D1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7428">
      <w:bodyDiv w:val="1"/>
      <w:marLeft w:val="0"/>
      <w:marRight w:val="0"/>
      <w:marTop w:val="0"/>
      <w:marBottom w:val="0"/>
      <w:divBdr>
        <w:top w:val="none" w:sz="0" w:space="0" w:color="auto"/>
        <w:left w:val="none" w:sz="0" w:space="0" w:color="auto"/>
        <w:bottom w:val="none" w:sz="0" w:space="0" w:color="auto"/>
        <w:right w:val="none" w:sz="0" w:space="0" w:color="auto"/>
      </w:divBdr>
    </w:div>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09797">
      <w:bodyDiv w:val="1"/>
      <w:marLeft w:val="0"/>
      <w:marRight w:val="0"/>
      <w:marTop w:val="0"/>
      <w:marBottom w:val="0"/>
      <w:divBdr>
        <w:top w:val="none" w:sz="0" w:space="0" w:color="auto"/>
        <w:left w:val="none" w:sz="0" w:space="0" w:color="auto"/>
        <w:bottom w:val="none" w:sz="0" w:space="0" w:color="auto"/>
        <w:right w:val="none" w:sz="0" w:space="0" w:color="auto"/>
      </w:divBdr>
    </w:div>
    <w:div w:id="801508727">
      <w:bodyDiv w:val="1"/>
      <w:marLeft w:val="0"/>
      <w:marRight w:val="0"/>
      <w:marTop w:val="0"/>
      <w:marBottom w:val="0"/>
      <w:divBdr>
        <w:top w:val="none" w:sz="0" w:space="0" w:color="auto"/>
        <w:left w:val="none" w:sz="0" w:space="0" w:color="auto"/>
        <w:bottom w:val="none" w:sz="0" w:space="0" w:color="auto"/>
        <w:right w:val="none" w:sz="0" w:space="0" w:color="auto"/>
      </w:divBdr>
    </w:div>
    <w:div w:id="17385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2D9EA0-8A01-4F0A-838F-3A38B4B7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HONEY, Richard</cp:lastModifiedBy>
  <cp:revision>3</cp:revision>
  <dcterms:created xsi:type="dcterms:W3CDTF">2019-05-03T05:13:00Z</dcterms:created>
  <dcterms:modified xsi:type="dcterms:W3CDTF">2019-05-03T05:29:00Z</dcterms:modified>
  <cp:contentStatus/>
</cp:coreProperties>
</file>