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0B" w:rsidRPr="00FD76D6" w:rsidRDefault="00053E0B" w:rsidP="00F77C3E">
      <w:pPr>
        <w:pStyle w:val="Heading1"/>
        <w:pBdr>
          <w:bottom w:val="single" w:sz="4" w:space="1" w:color="auto"/>
        </w:pBdr>
        <w:rPr>
          <w:rFonts w:ascii="Corbel" w:hAnsi="Corbel" w:cs="Calibri"/>
          <w:color w:val="auto"/>
          <w:sz w:val="24"/>
          <w:szCs w:val="24"/>
        </w:rPr>
      </w:pPr>
      <w:r w:rsidRPr="00F77C3E">
        <w:rPr>
          <w:rFonts w:ascii="Corbel" w:hAnsi="Corbel" w:cs="Calibri"/>
          <w:color w:val="auto"/>
          <w:sz w:val="24"/>
          <w:szCs w:val="24"/>
        </w:rPr>
        <w:t xml:space="preserve">APPENDIX </w:t>
      </w:r>
      <w:r w:rsidR="00F57336">
        <w:rPr>
          <w:rFonts w:ascii="Corbel" w:hAnsi="Corbel" w:cs="Calibri"/>
          <w:color w:val="auto"/>
          <w:sz w:val="24"/>
          <w:szCs w:val="24"/>
        </w:rPr>
        <w:t>C</w:t>
      </w:r>
      <w:r w:rsidRPr="00F77C3E">
        <w:rPr>
          <w:rFonts w:ascii="Corbel" w:hAnsi="Corbel" w:cs="Calibri"/>
          <w:color w:val="auto"/>
          <w:sz w:val="24"/>
          <w:szCs w:val="24"/>
        </w:rPr>
        <w:t xml:space="preserve"> – </w:t>
      </w:r>
      <w:r w:rsidR="008B43AC">
        <w:rPr>
          <w:rFonts w:ascii="Corbel" w:hAnsi="Corbel" w:cs="Calibri"/>
          <w:color w:val="auto"/>
          <w:sz w:val="24"/>
          <w:szCs w:val="24"/>
        </w:rPr>
        <w:t>Tasmania</w:t>
      </w:r>
      <w:r w:rsidR="00D536A8" w:rsidRPr="00D536A8">
        <w:rPr>
          <w:rFonts w:ascii="Corbel" w:hAnsi="Corbel" w:cs="Calibri"/>
          <w:color w:val="auto"/>
          <w:sz w:val="24"/>
          <w:szCs w:val="24"/>
        </w:rPr>
        <w:t xml:space="preserve"> </w:t>
      </w:r>
      <w:r w:rsidRPr="00F77C3E">
        <w:rPr>
          <w:rFonts w:ascii="Corbel" w:hAnsi="Corbel" w:cs="Calibri"/>
          <w:color w:val="auto"/>
          <w:sz w:val="24"/>
          <w:szCs w:val="24"/>
        </w:rPr>
        <w:t xml:space="preserve">PLANNED INTAKE OF </w:t>
      </w:r>
      <w:r w:rsidR="008B43AC">
        <w:rPr>
          <w:rFonts w:ascii="Corbel" w:hAnsi="Corbel" w:cs="Calibri"/>
          <w:color w:val="auto"/>
          <w:sz w:val="24"/>
          <w:szCs w:val="24"/>
        </w:rPr>
        <w:t>PARTICIPAN</w:t>
      </w:r>
      <w:r w:rsidR="008B43AC" w:rsidRPr="00F77C3E">
        <w:rPr>
          <w:rFonts w:ascii="Corbel" w:hAnsi="Corbel" w:cs="Calibri"/>
          <w:color w:val="auto"/>
          <w:sz w:val="24"/>
          <w:szCs w:val="24"/>
        </w:rPr>
        <w:t>TS</w:t>
      </w:r>
      <w:r w:rsidR="00FF2F17">
        <w:rPr>
          <w:rFonts w:ascii="Corbel" w:hAnsi="Corbel" w:cs="Calibri"/>
          <w:color w:val="auto"/>
          <w:sz w:val="24"/>
          <w:szCs w:val="24"/>
        </w:rPr>
        <w:t xml:space="preserve"> </w:t>
      </w:r>
    </w:p>
    <w:p w:rsidR="00340589" w:rsidRPr="00AB28DB" w:rsidRDefault="00053E0B" w:rsidP="00AB28DB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AB28DB">
        <w:rPr>
          <w:rFonts w:ascii="Corbel" w:hAnsi="Corbel"/>
          <w:sz w:val="24"/>
          <w:szCs w:val="24"/>
        </w:rPr>
        <w:t xml:space="preserve">This appendix </w:t>
      </w:r>
      <w:r w:rsidR="008B43AC">
        <w:rPr>
          <w:rFonts w:ascii="Corbel" w:hAnsi="Corbel"/>
          <w:sz w:val="24"/>
          <w:szCs w:val="24"/>
        </w:rPr>
        <w:t xml:space="preserve">supersedes Appendix B and </w:t>
      </w:r>
      <w:r w:rsidRPr="00AB28DB">
        <w:rPr>
          <w:rFonts w:ascii="Corbel" w:hAnsi="Corbel"/>
          <w:sz w:val="24"/>
          <w:szCs w:val="24"/>
        </w:rPr>
        <w:t xml:space="preserve">sets out the agreed </w:t>
      </w:r>
      <w:r w:rsidR="004E5B30">
        <w:rPr>
          <w:rFonts w:ascii="Corbel" w:hAnsi="Corbel"/>
          <w:sz w:val="24"/>
          <w:szCs w:val="24"/>
        </w:rPr>
        <w:t>quarterly</w:t>
      </w:r>
      <w:r w:rsidR="004E5B30" w:rsidRPr="00AB28DB">
        <w:rPr>
          <w:rFonts w:ascii="Corbel" w:hAnsi="Corbel"/>
          <w:sz w:val="24"/>
          <w:szCs w:val="24"/>
        </w:rPr>
        <w:t xml:space="preserve"> </w:t>
      </w:r>
      <w:r w:rsidRPr="00AB28DB">
        <w:rPr>
          <w:rFonts w:ascii="Corbel" w:hAnsi="Corbel"/>
          <w:sz w:val="24"/>
          <w:szCs w:val="24"/>
        </w:rPr>
        <w:t xml:space="preserve">intake of </w:t>
      </w:r>
      <w:r w:rsidR="008B43AC">
        <w:rPr>
          <w:rFonts w:ascii="Corbel" w:hAnsi="Corbel"/>
          <w:sz w:val="24"/>
          <w:szCs w:val="24"/>
        </w:rPr>
        <w:t>participan</w:t>
      </w:r>
      <w:r w:rsidR="008B43AC" w:rsidRPr="00AB28DB">
        <w:rPr>
          <w:rFonts w:ascii="Corbel" w:hAnsi="Corbel"/>
          <w:sz w:val="24"/>
          <w:szCs w:val="24"/>
        </w:rPr>
        <w:t>ts</w:t>
      </w:r>
      <w:r w:rsidR="008B43AC">
        <w:rPr>
          <w:rFonts w:ascii="Corbel" w:hAnsi="Corbel"/>
          <w:sz w:val="24"/>
          <w:szCs w:val="24"/>
        </w:rPr>
        <w:t>.</w:t>
      </w:r>
      <w:r w:rsidRPr="00AB28DB">
        <w:rPr>
          <w:rFonts w:ascii="Corbel" w:hAnsi="Corbel"/>
          <w:sz w:val="24"/>
          <w:szCs w:val="24"/>
        </w:rPr>
        <w:t xml:space="preserve"> This </w:t>
      </w:r>
      <w:r w:rsidR="008B43AC">
        <w:rPr>
          <w:rFonts w:ascii="Corbel" w:hAnsi="Corbel"/>
          <w:sz w:val="24"/>
          <w:szCs w:val="24"/>
        </w:rPr>
        <w:t>quarterly</w:t>
      </w:r>
      <w:r w:rsidR="004E5B30" w:rsidRPr="00AB28DB">
        <w:rPr>
          <w:rFonts w:ascii="Corbel" w:hAnsi="Corbel"/>
          <w:sz w:val="24"/>
          <w:szCs w:val="24"/>
        </w:rPr>
        <w:t xml:space="preserve"> </w:t>
      </w:r>
      <w:r w:rsidR="007B7365">
        <w:rPr>
          <w:rFonts w:ascii="Corbel" w:hAnsi="Corbel"/>
          <w:sz w:val="24"/>
          <w:szCs w:val="24"/>
        </w:rPr>
        <w:t xml:space="preserve">timetable </w:t>
      </w:r>
      <w:r w:rsidR="00FD76D6">
        <w:rPr>
          <w:rFonts w:ascii="Corbel" w:hAnsi="Corbel"/>
          <w:sz w:val="24"/>
          <w:szCs w:val="24"/>
        </w:rPr>
        <w:t>schedule</w:t>
      </w:r>
      <w:r w:rsidRPr="00AB28DB">
        <w:rPr>
          <w:rFonts w:ascii="Corbel" w:hAnsi="Corbel"/>
          <w:sz w:val="24"/>
          <w:szCs w:val="24"/>
        </w:rPr>
        <w:t xml:space="preserve"> has been designed to </w:t>
      </w:r>
      <w:r w:rsidR="00FF2F17">
        <w:rPr>
          <w:rFonts w:ascii="Corbel" w:hAnsi="Corbel"/>
          <w:sz w:val="24"/>
          <w:szCs w:val="24"/>
        </w:rPr>
        <w:t xml:space="preserve">facilitate an orderly intake of </w:t>
      </w:r>
      <w:r w:rsidR="008B43AC">
        <w:rPr>
          <w:rFonts w:ascii="Corbel" w:hAnsi="Corbel"/>
          <w:sz w:val="24"/>
          <w:szCs w:val="24"/>
        </w:rPr>
        <w:t>participants</w:t>
      </w:r>
      <w:r w:rsidR="00FF2F17">
        <w:rPr>
          <w:rFonts w:ascii="Corbel" w:hAnsi="Corbel"/>
          <w:sz w:val="24"/>
          <w:szCs w:val="24"/>
        </w:rPr>
        <w:t xml:space="preserve"> to the NDIS</w:t>
      </w:r>
      <w:r w:rsidR="004D0D44">
        <w:rPr>
          <w:rFonts w:ascii="Corbel" w:hAnsi="Corbel"/>
          <w:sz w:val="24"/>
          <w:szCs w:val="24"/>
        </w:rPr>
        <w:t>.</w:t>
      </w:r>
      <w:r w:rsidR="00FF2F17">
        <w:rPr>
          <w:rFonts w:ascii="Corbel" w:hAnsi="Corbel"/>
          <w:sz w:val="24"/>
          <w:szCs w:val="24"/>
        </w:rPr>
        <w:t xml:space="preserve"> </w:t>
      </w:r>
      <w:r w:rsidR="00AB28DB">
        <w:rPr>
          <w:rFonts w:ascii="Corbel" w:hAnsi="Corbel"/>
          <w:sz w:val="24"/>
          <w:szCs w:val="24"/>
        </w:rPr>
        <w:t xml:space="preserve"> </w:t>
      </w:r>
    </w:p>
    <w:p w:rsidR="00A63454" w:rsidRDefault="00A63454" w:rsidP="00A63454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77C3E">
        <w:rPr>
          <w:rFonts w:ascii="Corbel" w:hAnsi="Corbel"/>
          <w:sz w:val="24"/>
          <w:szCs w:val="24"/>
        </w:rPr>
        <w:t xml:space="preserve">This intake has been designed </w:t>
      </w:r>
      <w:r w:rsidR="00CA390D">
        <w:rPr>
          <w:rFonts w:ascii="Corbel" w:hAnsi="Corbel"/>
          <w:sz w:val="24"/>
          <w:szCs w:val="24"/>
        </w:rPr>
        <w:t>giving consideration to</w:t>
      </w:r>
      <w:r>
        <w:rPr>
          <w:rFonts w:ascii="Corbel" w:hAnsi="Corbel"/>
          <w:sz w:val="24"/>
          <w:szCs w:val="24"/>
        </w:rPr>
        <w:t>:</w:t>
      </w:r>
    </w:p>
    <w:p w:rsidR="00A63454" w:rsidRDefault="00A63454" w:rsidP="00A63454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ensuring there is an appropriate balance of:</w:t>
      </w:r>
    </w:p>
    <w:p w:rsidR="00345369" w:rsidRPr="00A210F6" w:rsidRDefault="00345369" w:rsidP="00345369">
      <w:pPr>
        <w:numPr>
          <w:ilvl w:val="2"/>
          <w:numId w:val="9"/>
        </w:numPr>
        <w:rPr>
          <w:rFonts w:ascii="Corbel" w:hAnsi="Corbel"/>
          <w:sz w:val="24"/>
          <w:szCs w:val="24"/>
        </w:rPr>
      </w:pPr>
      <w:bookmarkStart w:id="0" w:name="OLE_LINK1"/>
      <w:r>
        <w:rPr>
          <w:rFonts w:ascii="Corbel" w:hAnsi="Corbel"/>
          <w:sz w:val="24"/>
          <w:szCs w:val="24"/>
        </w:rPr>
        <w:t>participants with varying needs of support;</w:t>
      </w:r>
      <w:r w:rsidR="00BD258B">
        <w:rPr>
          <w:rFonts w:ascii="Corbel" w:hAnsi="Corbel"/>
          <w:sz w:val="24"/>
          <w:szCs w:val="24"/>
        </w:rPr>
        <w:t xml:space="preserve"> </w:t>
      </w:r>
    </w:p>
    <w:p w:rsidR="00345369" w:rsidRPr="00A210F6" w:rsidRDefault="00E56822" w:rsidP="00345369">
      <w:pPr>
        <w:numPr>
          <w:ilvl w:val="2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existing and new participants; and</w:t>
      </w:r>
    </w:p>
    <w:p w:rsidR="00A63454" w:rsidRPr="005217CE" w:rsidRDefault="00A63454" w:rsidP="00A63454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alignment of the number of participants and their support needs with Agency operational capacity</w:t>
      </w:r>
      <w:bookmarkEnd w:id="0"/>
      <w:r>
        <w:rPr>
          <w:rFonts w:ascii="Corbel" w:hAnsi="Corbel"/>
          <w:sz w:val="24"/>
          <w:szCs w:val="24"/>
        </w:rPr>
        <w:t>.</w:t>
      </w:r>
    </w:p>
    <w:p w:rsidR="00FF2F17" w:rsidRDefault="00875505" w:rsidP="00053E0B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planned yearly intake of </w:t>
      </w:r>
      <w:r w:rsidR="008B43AC">
        <w:rPr>
          <w:rFonts w:ascii="Corbel" w:hAnsi="Corbel"/>
          <w:sz w:val="24"/>
          <w:szCs w:val="24"/>
        </w:rPr>
        <w:t>participants</w:t>
      </w:r>
      <w:r>
        <w:rPr>
          <w:rFonts w:ascii="Corbel" w:hAnsi="Corbel"/>
          <w:sz w:val="24"/>
          <w:szCs w:val="24"/>
        </w:rPr>
        <w:t xml:space="preserve"> is set out below:</w:t>
      </w:r>
    </w:p>
    <w:p w:rsidR="00FF2F17" w:rsidRDefault="00BD258B" w:rsidP="00875505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</w:t>
      </w:r>
      <w:r w:rsidR="00875505" w:rsidRPr="00875505">
        <w:rPr>
          <w:rFonts w:ascii="Corbel" w:hAnsi="Corbel"/>
          <w:sz w:val="24"/>
          <w:szCs w:val="24"/>
        </w:rPr>
        <w:t>or 2013-14</w:t>
      </w:r>
      <w:r w:rsidR="00875505">
        <w:rPr>
          <w:rFonts w:ascii="Corbel" w:hAnsi="Corbel"/>
          <w:sz w:val="24"/>
          <w:szCs w:val="24"/>
        </w:rPr>
        <w:t xml:space="preserve">, a total of </w:t>
      </w:r>
      <w:r w:rsidR="00E025A9">
        <w:rPr>
          <w:rFonts w:ascii="Corbel" w:hAnsi="Corbel"/>
          <w:sz w:val="24"/>
          <w:szCs w:val="24"/>
        </w:rPr>
        <w:t>79</w:t>
      </w:r>
      <w:r w:rsidR="000F680C">
        <w:rPr>
          <w:rFonts w:ascii="Corbel" w:hAnsi="Corbel"/>
          <w:sz w:val="24"/>
          <w:szCs w:val="24"/>
        </w:rPr>
        <w:t>2</w:t>
      </w:r>
      <w:r w:rsidR="00875505">
        <w:rPr>
          <w:rFonts w:ascii="Corbel" w:hAnsi="Corbel"/>
          <w:sz w:val="24"/>
          <w:szCs w:val="24"/>
        </w:rPr>
        <w:t>;</w:t>
      </w:r>
    </w:p>
    <w:p w:rsidR="00875505" w:rsidRDefault="00BD258B" w:rsidP="00875505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</w:t>
      </w:r>
      <w:r w:rsidR="00875505">
        <w:rPr>
          <w:rFonts w:ascii="Corbel" w:hAnsi="Corbel"/>
          <w:sz w:val="24"/>
          <w:szCs w:val="24"/>
        </w:rPr>
        <w:t xml:space="preserve">or 2014-15, a total of </w:t>
      </w:r>
      <w:r w:rsidR="00E025A9">
        <w:rPr>
          <w:rFonts w:ascii="Corbel" w:hAnsi="Corbel"/>
          <w:sz w:val="24"/>
          <w:szCs w:val="24"/>
        </w:rPr>
        <w:t>114</w:t>
      </w:r>
      <w:r w:rsidR="00875505">
        <w:rPr>
          <w:rFonts w:ascii="Corbel" w:hAnsi="Corbel"/>
          <w:sz w:val="24"/>
          <w:szCs w:val="24"/>
        </w:rPr>
        <w:t>; and</w:t>
      </w:r>
    </w:p>
    <w:p w:rsidR="003F4D29" w:rsidRPr="003F4D29" w:rsidRDefault="00BD258B" w:rsidP="003F4D29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</w:t>
      </w:r>
      <w:r w:rsidR="00875505">
        <w:rPr>
          <w:rFonts w:ascii="Corbel" w:hAnsi="Corbel"/>
          <w:sz w:val="24"/>
          <w:szCs w:val="24"/>
        </w:rPr>
        <w:t>or 2015-16, a total of</w:t>
      </w:r>
      <w:r w:rsidR="008B43AC">
        <w:rPr>
          <w:rFonts w:ascii="Corbel" w:hAnsi="Corbel"/>
          <w:sz w:val="24"/>
          <w:szCs w:val="24"/>
        </w:rPr>
        <w:t xml:space="preserve"> </w:t>
      </w:r>
      <w:r w:rsidR="004E5B30">
        <w:rPr>
          <w:rFonts w:ascii="Corbel" w:hAnsi="Corbel"/>
          <w:sz w:val="24"/>
          <w:szCs w:val="24"/>
        </w:rPr>
        <w:t>63</w:t>
      </w:r>
      <w:r w:rsidR="008C1D21">
        <w:rPr>
          <w:rFonts w:ascii="Corbel" w:hAnsi="Corbel"/>
          <w:sz w:val="24"/>
          <w:szCs w:val="24"/>
        </w:rPr>
        <w:t>.</w:t>
      </w:r>
    </w:p>
    <w:p w:rsidR="008B43AC" w:rsidRDefault="008B43AC" w:rsidP="008B43AC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</w:t>
      </w:r>
      <w:r w:rsidRPr="00F77C3E">
        <w:rPr>
          <w:rFonts w:ascii="Corbel" w:hAnsi="Corbel"/>
          <w:sz w:val="24"/>
          <w:szCs w:val="24"/>
        </w:rPr>
        <w:t xml:space="preserve">or </w:t>
      </w:r>
      <w:r>
        <w:rPr>
          <w:rFonts w:ascii="Corbel" w:hAnsi="Corbel"/>
          <w:sz w:val="24"/>
          <w:szCs w:val="24"/>
        </w:rPr>
        <w:t>2013-14</w:t>
      </w:r>
      <w:r w:rsidRPr="00F77C3E"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t xml:space="preserve">the following </w:t>
      </w:r>
      <w:r w:rsidR="00345369">
        <w:rPr>
          <w:rFonts w:ascii="Corbel" w:hAnsi="Corbel"/>
          <w:sz w:val="24"/>
          <w:szCs w:val="24"/>
        </w:rPr>
        <w:t>approach will be used to</w:t>
      </w:r>
      <w:r>
        <w:rPr>
          <w:rFonts w:ascii="Corbel" w:hAnsi="Corbel"/>
          <w:sz w:val="24"/>
          <w:szCs w:val="24"/>
        </w:rPr>
        <w:t xml:space="preserve"> determin</w:t>
      </w:r>
      <w:r w:rsidR="00345369">
        <w:rPr>
          <w:rFonts w:ascii="Corbel" w:hAnsi="Corbel"/>
          <w:sz w:val="24"/>
          <w:szCs w:val="24"/>
        </w:rPr>
        <w:t>e</w:t>
      </w:r>
      <w:r>
        <w:rPr>
          <w:rFonts w:ascii="Corbel" w:hAnsi="Corbel"/>
          <w:sz w:val="24"/>
          <w:szCs w:val="24"/>
        </w:rPr>
        <w:t xml:space="preserve"> the timeframes for facilitation of planning under the NDIS for those participants in 2013-14 namely:</w:t>
      </w:r>
    </w:p>
    <w:p w:rsidR="00345369" w:rsidRDefault="00345369" w:rsidP="00345369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participants from the needs register</w:t>
      </w:r>
      <w:r w:rsidR="00E56822">
        <w:rPr>
          <w:rFonts w:ascii="Corbel" w:hAnsi="Corbel"/>
          <w:sz w:val="24"/>
          <w:szCs w:val="24"/>
        </w:rPr>
        <w:t xml:space="preserve"> in receipt of or</w:t>
      </w:r>
      <w:r>
        <w:rPr>
          <w:rFonts w:ascii="Corbel" w:hAnsi="Corbel"/>
          <w:sz w:val="24"/>
          <w:szCs w:val="24"/>
        </w:rPr>
        <w:t xml:space="preserve"> expressing a need for Individual Support and/or Community Access; </w:t>
      </w:r>
    </w:p>
    <w:p w:rsidR="00345369" w:rsidRDefault="00345369" w:rsidP="00345369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new participants 15-17 years old who require transition planning</w:t>
      </w:r>
      <w:r w:rsidR="00E56822">
        <w:rPr>
          <w:rFonts w:ascii="Corbel" w:hAnsi="Corbel"/>
          <w:sz w:val="24"/>
          <w:szCs w:val="24"/>
        </w:rPr>
        <w:t xml:space="preserve"> (including school leavers and people in out of home care)</w:t>
      </w:r>
      <w:r>
        <w:rPr>
          <w:rFonts w:ascii="Corbel" w:hAnsi="Corbel"/>
          <w:sz w:val="24"/>
          <w:szCs w:val="24"/>
        </w:rPr>
        <w:t xml:space="preserve">; </w:t>
      </w:r>
    </w:p>
    <w:p w:rsidR="00767BA5" w:rsidRDefault="00E56822" w:rsidP="00767BA5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people in receipt of mental health services; and</w:t>
      </w:r>
    </w:p>
    <w:p w:rsidR="00BD258B" w:rsidRDefault="008C1D21" w:rsidP="00767BA5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 w:rsidRPr="00767BA5">
        <w:rPr>
          <w:rFonts w:ascii="Corbel" w:hAnsi="Corbel"/>
          <w:sz w:val="24"/>
          <w:szCs w:val="24"/>
        </w:rPr>
        <w:t xml:space="preserve">other </w:t>
      </w:r>
      <w:r w:rsidR="00345369" w:rsidRPr="00767BA5">
        <w:rPr>
          <w:rFonts w:ascii="Corbel" w:hAnsi="Corbel"/>
          <w:sz w:val="24"/>
          <w:szCs w:val="24"/>
        </w:rPr>
        <w:t xml:space="preserve">new </w:t>
      </w:r>
      <w:r w:rsidR="00995636">
        <w:rPr>
          <w:rFonts w:ascii="Corbel" w:hAnsi="Corbel"/>
          <w:sz w:val="24"/>
          <w:szCs w:val="24"/>
        </w:rPr>
        <w:t>participants</w:t>
      </w:r>
      <w:r w:rsidR="00E56822" w:rsidRPr="00767BA5">
        <w:rPr>
          <w:rFonts w:ascii="Corbel" w:hAnsi="Corbel"/>
          <w:sz w:val="24"/>
          <w:szCs w:val="24"/>
        </w:rPr>
        <w:t>.</w:t>
      </w:r>
      <w:r w:rsidR="007F5F89" w:rsidRPr="00767BA5">
        <w:rPr>
          <w:rFonts w:ascii="Corbel" w:hAnsi="Corbel"/>
          <w:sz w:val="24"/>
          <w:szCs w:val="24"/>
        </w:rPr>
        <w:t xml:space="preserve"> </w:t>
      </w:r>
    </w:p>
    <w:p w:rsidR="000032CF" w:rsidRPr="00BD258B" w:rsidRDefault="000032CF" w:rsidP="00BD258B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BD258B">
        <w:rPr>
          <w:rFonts w:ascii="Corbel" w:hAnsi="Corbel"/>
          <w:sz w:val="24"/>
          <w:szCs w:val="24"/>
        </w:rPr>
        <w:t xml:space="preserve">It is estimated that the above approach will result in the following </w:t>
      </w:r>
      <w:r w:rsidR="00FD6BE7" w:rsidRPr="00BD258B">
        <w:rPr>
          <w:rFonts w:ascii="Corbel" w:hAnsi="Corbel"/>
          <w:sz w:val="24"/>
          <w:szCs w:val="24"/>
        </w:rPr>
        <w:t>participant</w:t>
      </w:r>
      <w:r w:rsidRPr="00BD258B">
        <w:rPr>
          <w:rFonts w:ascii="Corbel" w:hAnsi="Corbel"/>
          <w:sz w:val="24"/>
          <w:szCs w:val="24"/>
        </w:rPr>
        <w:t xml:space="preserve"> numbers per quarter:</w:t>
      </w:r>
    </w:p>
    <w:p w:rsidR="000032CF" w:rsidRPr="000032CF" w:rsidRDefault="000032CF" w:rsidP="00161F5B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Quarter 1 Jul</w:t>
      </w:r>
      <w:r w:rsidR="00957E46">
        <w:rPr>
          <w:rFonts w:ascii="Corbel" w:hAnsi="Corbel"/>
          <w:sz w:val="24"/>
          <w:szCs w:val="24"/>
        </w:rPr>
        <w:t>y</w:t>
      </w:r>
      <w:r w:rsidRPr="000032CF">
        <w:rPr>
          <w:rFonts w:ascii="Corbel" w:hAnsi="Corbel"/>
          <w:sz w:val="24"/>
          <w:szCs w:val="24"/>
        </w:rPr>
        <w:t xml:space="preserve"> – </w:t>
      </w:r>
      <w:r w:rsidR="00957E46" w:rsidRPr="000032CF">
        <w:rPr>
          <w:rFonts w:ascii="Corbel" w:hAnsi="Corbel"/>
          <w:sz w:val="24"/>
          <w:szCs w:val="24"/>
        </w:rPr>
        <w:t>Sep</w:t>
      </w:r>
      <w:r w:rsidR="00957E46">
        <w:rPr>
          <w:rFonts w:ascii="Corbel" w:hAnsi="Corbel"/>
          <w:sz w:val="24"/>
          <w:szCs w:val="24"/>
        </w:rPr>
        <w:t>tember</w:t>
      </w:r>
      <w:r w:rsidRPr="000032CF">
        <w:rPr>
          <w:rFonts w:ascii="Corbel" w:hAnsi="Corbel"/>
          <w:sz w:val="24"/>
          <w:szCs w:val="24"/>
        </w:rPr>
        <w:t xml:space="preserve"> 2013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 xml:space="preserve">Total anticipated </w:t>
      </w:r>
      <w:r w:rsidR="00FD6BE7">
        <w:rPr>
          <w:rFonts w:ascii="Corbel" w:hAnsi="Corbel"/>
          <w:sz w:val="24"/>
          <w:szCs w:val="24"/>
        </w:rPr>
        <w:t>participant</w:t>
      </w:r>
      <w:r w:rsidRPr="000032CF">
        <w:rPr>
          <w:rFonts w:ascii="Corbel" w:hAnsi="Corbel"/>
          <w:sz w:val="24"/>
          <w:szCs w:val="24"/>
        </w:rPr>
        <w:t xml:space="preserve"> </w:t>
      </w:r>
      <w:r w:rsidR="00E91985">
        <w:rPr>
          <w:rFonts w:ascii="Corbel" w:hAnsi="Corbel"/>
          <w:sz w:val="24"/>
          <w:szCs w:val="24"/>
        </w:rPr>
        <w:t>213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Priority in the first quarter will be given to: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students with disability leaving school in 2013;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young people in receipt of or seeking an individual support package and/or a community access package;</w:t>
      </w:r>
      <w:r w:rsidR="00BD258B">
        <w:rPr>
          <w:rFonts w:ascii="Corbel" w:hAnsi="Corbel"/>
          <w:sz w:val="24"/>
          <w:szCs w:val="24"/>
        </w:rPr>
        <w:t xml:space="preserve"> and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young people transitioning from state care</w:t>
      </w:r>
      <w:r w:rsidR="00345369">
        <w:rPr>
          <w:rFonts w:ascii="Corbel" w:hAnsi="Corbel"/>
          <w:sz w:val="24"/>
          <w:szCs w:val="24"/>
        </w:rPr>
        <w:t xml:space="preserve"> </w:t>
      </w:r>
      <w:r w:rsidR="003F4D29">
        <w:rPr>
          <w:rFonts w:ascii="Corbel" w:hAnsi="Corbel"/>
          <w:sz w:val="24"/>
          <w:szCs w:val="24"/>
        </w:rPr>
        <w:t>(</w:t>
      </w:r>
      <w:r w:rsidR="00345369">
        <w:rPr>
          <w:rFonts w:ascii="Corbel" w:hAnsi="Corbel"/>
          <w:sz w:val="24"/>
          <w:szCs w:val="24"/>
        </w:rPr>
        <w:t>formal out of home care arrangements</w:t>
      </w:r>
      <w:r w:rsidR="003F4D29">
        <w:rPr>
          <w:rFonts w:ascii="Corbel" w:hAnsi="Corbel"/>
          <w:sz w:val="24"/>
          <w:szCs w:val="24"/>
        </w:rPr>
        <w:t>)</w:t>
      </w:r>
      <w:r w:rsidRPr="000032CF">
        <w:rPr>
          <w:rFonts w:ascii="Corbel" w:hAnsi="Corbel"/>
          <w:sz w:val="24"/>
          <w:szCs w:val="24"/>
        </w:rPr>
        <w:t>;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Quarter 2 Oct</w:t>
      </w:r>
      <w:r w:rsidR="00957E46">
        <w:rPr>
          <w:rFonts w:ascii="Corbel" w:hAnsi="Corbel"/>
          <w:sz w:val="24"/>
          <w:szCs w:val="24"/>
        </w:rPr>
        <w:t>ober</w:t>
      </w:r>
      <w:r w:rsidRPr="000032CF">
        <w:rPr>
          <w:rFonts w:ascii="Corbel" w:hAnsi="Corbel"/>
          <w:sz w:val="24"/>
          <w:szCs w:val="24"/>
        </w:rPr>
        <w:t xml:space="preserve"> – Dec</w:t>
      </w:r>
      <w:r w:rsidR="00957E46">
        <w:rPr>
          <w:rFonts w:ascii="Corbel" w:hAnsi="Corbel"/>
          <w:sz w:val="24"/>
          <w:szCs w:val="24"/>
        </w:rPr>
        <w:t>ember</w:t>
      </w:r>
      <w:r w:rsidRPr="000032CF">
        <w:rPr>
          <w:rFonts w:ascii="Corbel" w:hAnsi="Corbel"/>
          <w:sz w:val="24"/>
          <w:szCs w:val="24"/>
        </w:rPr>
        <w:t xml:space="preserve">  2013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Total antic</w:t>
      </w:r>
      <w:r>
        <w:rPr>
          <w:rFonts w:ascii="Corbel" w:hAnsi="Corbel"/>
          <w:sz w:val="24"/>
          <w:szCs w:val="24"/>
        </w:rPr>
        <w:t>i</w:t>
      </w:r>
      <w:r w:rsidRPr="000032CF">
        <w:rPr>
          <w:rFonts w:ascii="Corbel" w:hAnsi="Corbel"/>
          <w:sz w:val="24"/>
          <w:szCs w:val="24"/>
        </w:rPr>
        <w:t xml:space="preserve">pated </w:t>
      </w:r>
      <w:r w:rsidR="00B11F61">
        <w:rPr>
          <w:rFonts w:ascii="Corbel" w:hAnsi="Corbel"/>
          <w:sz w:val="24"/>
          <w:szCs w:val="24"/>
        </w:rPr>
        <w:t>participants</w:t>
      </w:r>
      <w:r w:rsidRPr="000032CF">
        <w:rPr>
          <w:rFonts w:ascii="Corbel" w:hAnsi="Corbel"/>
          <w:sz w:val="24"/>
          <w:szCs w:val="24"/>
        </w:rPr>
        <w:t xml:space="preserve"> </w:t>
      </w:r>
      <w:r w:rsidR="00E025A9">
        <w:rPr>
          <w:rFonts w:ascii="Corbel" w:hAnsi="Corbel"/>
          <w:sz w:val="24"/>
          <w:szCs w:val="24"/>
        </w:rPr>
        <w:t>174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Priority in the second quarter will be given to:</w:t>
      </w:r>
    </w:p>
    <w:p w:rsidR="006E69EC" w:rsidRDefault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students with disability leaving school in 2013;</w:t>
      </w:r>
    </w:p>
    <w:p w:rsidR="006E69EC" w:rsidRDefault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young people in receipt of or seeking an individual support package and/or a community access package;</w:t>
      </w:r>
    </w:p>
    <w:p w:rsidR="006E69EC" w:rsidRDefault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young people transitioning from state care;</w:t>
      </w:r>
      <w:r w:rsidR="00BD258B">
        <w:rPr>
          <w:rFonts w:ascii="Corbel" w:hAnsi="Corbel"/>
          <w:sz w:val="24"/>
          <w:szCs w:val="24"/>
        </w:rPr>
        <w:t xml:space="preserve"> and</w:t>
      </w:r>
    </w:p>
    <w:p w:rsidR="006E69EC" w:rsidRDefault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 xml:space="preserve">young people </w:t>
      </w:r>
      <w:r w:rsidR="00345369">
        <w:rPr>
          <w:rFonts w:ascii="Corbel" w:hAnsi="Corbel"/>
          <w:sz w:val="24"/>
          <w:szCs w:val="24"/>
        </w:rPr>
        <w:t>in receipt of mental health services</w:t>
      </w:r>
      <w:r w:rsidRPr="000032CF">
        <w:rPr>
          <w:rFonts w:ascii="Corbel" w:hAnsi="Corbel"/>
          <w:sz w:val="24"/>
          <w:szCs w:val="24"/>
        </w:rPr>
        <w:t>.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Quarter 3 Jan</w:t>
      </w:r>
      <w:r w:rsidR="00957E46">
        <w:rPr>
          <w:rFonts w:ascii="Corbel" w:hAnsi="Corbel"/>
          <w:sz w:val="24"/>
          <w:szCs w:val="24"/>
        </w:rPr>
        <w:t>uary</w:t>
      </w:r>
      <w:r w:rsidRPr="000032CF">
        <w:rPr>
          <w:rFonts w:ascii="Corbel" w:hAnsi="Corbel"/>
          <w:sz w:val="24"/>
          <w:szCs w:val="24"/>
        </w:rPr>
        <w:t xml:space="preserve"> – Mar</w:t>
      </w:r>
      <w:r w:rsidR="00957E46">
        <w:rPr>
          <w:rFonts w:ascii="Corbel" w:hAnsi="Corbel"/>
          <w:sz w:val="24"/>
          <w:szCs w:val="24"/>
        </w:rPr>
        <w:t>ch</w:t>
      </w:r>
      <w:r w:rsidRPr="000032CF">
        <w:rPr>
          <w:rFonts w:ascii="Corbel" w:hAnsi="Corbel"/>
          <w:sz w:val="24"/>
          <w:szCs w:val="24"/>
        </w:rPr>
        <w:t xml:space="preserve"> 2014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Total antic</w:t>
      </w:r>
      <w:r>
        <w:rPr>
          <w:rFonts w:ascii="Corbel" w:hAnsi="Corbel"/>
          <w:sz w:val="24"/>
          <w:szCs w:val="24"/>
        </w:rPr>
        <w:t>i</w:t>
      </w:r>
      <w:r w:rsidRPr="000032CF">
        <w:rPr>
          <w:rFonts w:ascii="Corbel" w:hAnsi="Corbel"/>
          <w:sz w:val="24"/>
          <w:szCs w:val="24"/>
        </w:rPr>
        <w:t xml:space="preserve">pated </w:t>
      </w:r>
      <w:r w:rsidR="00FD6BE7">
        <w:rPr>
          <w:rFonts w:ascii="Corbel" w:hAnsi="Corbel"/>
          <w:sz w:val="24"/>
          <w:szCs w:val="24"/>
        </w:rPr>
        <w:t>participant</w:t>
      </w:r>
      <w:r w:rsidRPr="000032CF">
        <w:rPr>
          <w:rFonts w:ascii="Corbel" w:hAnsi="Corbel"/>
          <w:sz w:val="24"/>
          <w:szCs w:val="24"/>
        </w:rPr>
        <w:t xml:space="preserve"> </w:t>
      </w:r>
      <w:r w:rsidR="00E025A9">
        <w:rPr>
          <w:rFonts w:ascii="Corbel" w:hAnsi="Corbel"/>
          <w:sz w:val="24"/>
          <w:szCs w:val="24"/>
        </w:rPr>
        <w:t>182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Priority in the third quarter will be given to: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 xml:space="preserve">students with a disability 15 – 17; 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young people in receipt of or seeking an individual support package and/or a community access package;</w:t>
      </w:r>
    </w:p>
    <w:p w:rsidR="003943BC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 xml:space="preserve">young people </w:t>
      </w:r>
      <w:r w:rsidR="00345369">
        <w:rPr>
          <w:rFonts w:ascii="Corbel" w:hAnsi="Corbel"/>
          <w:sz w:val="24"/>
          <w:szCs w:val="24"/>
        </w:rPr>
        <w:t>in receipt of mental health services</w:t>
      </w:r>
      <w:r w:rsidR="003943BC">
        <w:rPr>
          <w:rFonts w:ascii="Corbel" w:hAnsi="Corbel"/>
          <w:sz w:val="24"/>
          <w:szCs w:val="24"/>
        </w:rPr>
        <w:t>;</w:t>
      </w:r>
      <w:r w:rsidR="00BD258B">
        <w:rPr>
          <w:rFonts w:ascii="Corbel" w:hAnsi="Corbel"/>
          <w:sz w:val="24"/>
          <w:szCs w:val="24"/>
        </w:rPr>
        <w:t xml:space="preserve"> and</w:t>
      </w:r>
    </w:p>
    <w:p w:rsidR="000032CF" w:rsidRPr="000032CF" w:rsidRDefault="003943BC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young people receiving flexible respite assistance.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Quarter 4 Apr</w:t>
      </w:r>
      <w:r w:rsidR="00957E46">
        <w:rPr>
          <w:rFonts w:ascii="Corbel" w:hAnsi="Corbel"/>
          <w:sz w:val="24"/>
          <w:szCs w:val="24"/>
        </w:rPr>
        <w:t>il</w:t>
      </w:r>
      <w:r w:rsidRPr="000032CF">
        <w:rPr>
          <w:rFonts w:ascii="Corbel" w:hAnsi="Corbel"/>
          <w:sz w:val="24"/>
          <w:szCs w:val="24"/>
        </w:rPr>
        <w:t xml:space="preserve"> – Jun</w:t>
      </w:r>
      <w:r w:rsidR="00957E46">
        <w:rPr>
          <w:rFonts w:ascii="Corbel" w:hAnsi="Corbel"/>
          <w:sz w:val="24"/>
          <w:szCs w:val="24"/>
        </w:rPr>
        <w:t>e</w:t>
      </w:r>
      <w:r w:rsidRPr="000032CF">
        <w:rPr>
          <w:rFonts w:ascii="Corbel" w:hAnsi="Corbel"/>
          <w:sz w:val="24"/>
          <w:szCs w:val="24"/>
        </w:rPr>
        <w:t xml:space="preserve"> 2014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Total antic</w:t>
      </w:r>
      <w:r>
        <w:rPr>
          <w:rFonts w:ascii="Corbel" w:hAnsi="Corbel"/>
          <w:sz w:val="24"/>
          <w:szCs w:val="24"/>
        </w:rPr>
        <w:t>i</w:t>
      </w:r>
      <w:r w:rsidRPr="000032CF">
        <w:rPr>
          <w:rFonts w:ascii="Corbel" w:hAnsi="Corbel"/>
          <w:sz w:val="24"/>
          <w:szCs w:val="24"/>
        </w:rPr>
        <w:t xml:space="preserve">pated </w:t>
      </w:r>
      <w:r w:rsidR="00FD6BE7">
        <w:rPr>
          <w:rFonts w:ascii="Corbel" w:hAnsi="Corbel"/>
          <w:sz w:val="24"/>
          <w:szCs w:val="24"/>
        </w:rPr>
        <w:t>participant</w:t>
      </w:r>
      <w:r w:rsidRPr="000032CF">
        <w:rPr>
          <w:rFonts w:ascii="Corbel" w:hAnsi="Corbel"/>
          <w:sz w:val="24"/>
          <w:szCs w:val="24"/>
        </w:rPr>
        <w:t xml:space="preserve"> </w:t>
      </w:r>
      <w:r w:rsidR="00E025A9">
        <w:rPr>
          <w:rFonts w:ascii="Corbel" w:hAnsi="Corbel"/>
          <w:sz w:val="24"/>
          <w:szCs w:val="24"/>
        </w:rPr>
        <w:t>223</w:t>
      </w:r>
    </w:p>
    <w:p w:rsidR="000032CF" w:rsidRPr="000032CF" w:rsidRDefault="000032CF" w:rsidP="000032CF">
      <w:pPr>
        <w:ind w:left="720"/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Priority in the fourth quarter will be given to:</w:t>
      </w:r>
    </w:p>
    <w:p w:rsidR="000032CF" w:rsidRP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 xml:space="preserve">students with a disability 15 – </w:t>
      </w:r>
      <w:r w:rsidR="003943BC">
        <w:rPr>
          <w:rFonts w:ascii="Corbel" w:hAnsi="Corbel"/>
          <w:sz w:val="24"/>
          <w:szCs w:val="24"/>
        </w:rPr>
        <w:t>17</w:t>
      </w:r>
      <w:r w:rsidRPr="000032CF">
        <w:rPr>
          <w:rFonts w:ascii="Corbel" w:hAnsi="Corbel"/>
          <w:sz w:val="24"/>
          <w:szCs w:val="24"/>
        </w:rPr>
        <w:t xml:space="preserve">; </w:t>
      </w:r>
    </w:p>
    <w:p w:rsidR="000032CF" w:rsidRDefault="000032CF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0032CF">
        <w:rPr>
          <w:rFonts w:ascii="Corbel" w:hAnsi="Corbel"/>
          <w:sz w:val="24"/>
          <w:szCs w:val="24"/>
        </w:rPr>
        <w:t>young people in receipt of or seeking an individual support package and/or a community access package;</w:t>
      </w:r>
    </w:p>
    <w:p w:rsidR="003943BC" w:rsidRDefault="003943BC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young people receiving therapy;</w:t>
      </w:r>
      <w:r w:rsidR="00BD258B">
        <w:rPr>
          <w:rFonts w:ascii="Corbel" w:hAnsi="Corbel"/>
          <w:sz w:val="24"/>
          <w:szCs w:val="24"/>
        </w:rPr>
        <w:t xml:space="preserve"> and</w:t>
      </w:r>
    </w:p>
    <w:p w:rsidR="003943BC" w:rsidRPr="000032CF" w:rsidRDefault="003943BC" w:rsidP="000032CF">
      <w:pPr>
        <w:pStyle w:val="ListParagraph"/>
        <w:numPr>
          <w:ilvl w:val="0"/>
          <w:numId w:val="16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young people living in large residential facilities.</w:t>
      </w:r>
    </w:p>
    <w:p w:rsidR="003775D0" w:rsidRDefault="003775D0" w:rsidP="003775D0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0C1F19">
        <w:rPr>
          <w:rFonts w:ascii="Corbel" w:hAnsi="Corbel"/>
          <w:sz w:val="24"/>
          <w:szCs w:val="24"/>
        </w:rPr>
        <w:t xml:space="preserve">Within these mechanisms, the Parties agree that the Agency may also apply </w:t>
      </w:r>
      <w:r>
        <w:rPr>
          <w:rFonts w:ascii="Corbel" w:hAnsi="Corbel"/>
          <w:sz w:val="24"/>
          <w:szCs w:val="24"/>
        </w:rPr>
        <w:t xml:space="preserve">other </w:t>
      </w:r>
      <w:r w:rsidRPr="000C1F19">
        <w:rPr>
          <w:rFonts w:ascii="Corbel" w:hAnsi="Corbel"/>
          <w:sz w:val="24"/>
          <w:szCs w:val="24"/>
        </w:rPr>
        <w:t xml:space="preserve">administrative criteria to </w:t>
      </w:r>
      <w:r w:rsidR="00957E46">
        <w:rPr>
          <w:rFonts w:ascii="Corbel" w:hAnsi="Corbel"/>
          <w:sz w:val="24"/>
          <w:szCs w:val="24"/>
        </w:rPr>
        <w:t>facilitate p</w:t>
      </w:r>
      <w:r>
        <w:rPr>
          <w:rFonts w:ascii="Corbel" w:hAnsi="Corbel"/>
          <w:sz w:val="24"/>
          <w:szCs w:val="24"/>
        </w:rPr>
        <w:t>articipan</w:t>
      </w:r>
      <w:r w:rsidRPr="000C1F19">
        <w:rPr>
          <w:rFonts w:ascii="Corbel" w:hAnsi="Corbel"/>
          <w:sz w:val="24"/>
          <w:szCs w:val="24"/>
        </w:rPr>
        <w:t>ts</w:t>
      </w:r>
      <w:r>
        <w:rPr>
          <w:rFonts w:ascii="Corbel" w:hAnsi="Corbel"/>
          <w:sz w:val="24"/>
          <w:szCs w:val="24"/>
        </w:rPr>
        <w:t>’ access to the scheme</w:t>
      </w:r>
      <w:r w:rsidRPr="000C1F19">
        <w:rPr>
          <w:rFonts w:ascii="Corbel" w:hAnsi="Corbel"/>
          <w:sz w:val="24"/>
          <w:szCs w:val="24"/>
        </w:rPr>
        <w:t xml:space="preserve"> in a</w:t>
      </w:r>
      <w:r>
        <w:rPr>
          <w:rFonts w:ascii="Corbel" w:hAnsi="Corbel"/>
          <w:sz w:val="24"/>
          <w:szCs w:val="24"/>
        </w:rPr>
        <w:t xml:space="preserve"> way that is </w:t>
      </w:r>
      <w:r w:rsidRPr="000C1F19">
        <w:rPr>
          <w:rFonts w:ascii="Corbel" w:hAnsi="Corbel"/>
          <w:sz w:val="24"/>
          <w:szCs w:val="24"/>
        </w:rPr>
        <w:t>eq</w:t>
      </w:r>
      <w:r>
        <w:rPr>
          <w:rFonts w:ascii="Corbel" w:hAnsi="Corbel"/>
          <w:sz w:val="24"/>
          <w:szCs w:val="24"/>
        </w:rPr>
        <w:t>uitable and transparent.</w:t>
      </w:r>
    </w:p>
    <w:p w:rsidR="008C1D21" w:rsidRDefault="008C1D21" w:rsidP="008C1D21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D20563">
        <w:rPr>
          <w:rFonts w:ascii="Corbel" w:hAnsi="Corbel"/>
          <w:sz w:val="24"/>
          <w:szCs w:val="24"/>
        </w:rPr>
        <w:t>The Commonwealth will use the State phasing methodology for Commonwealth participants currently accessing both Commonwealth and State programs</w:t>
      </w:r>
      <w:r>
        <w:rPr>
          <w:rFonts w:ascii="Corbel" w:hAnsi="Corbel"/>
          <w:sz w:val="24"/>
          <w:szCs w:val="24"/>
        </w:rPr>
        <w:t xml:space="preserve">. </w:t>
      </w:r>
      <w:r w:rsidRPr="00561ACA">
        <w:rPr>
          <w:rFonts w:ascii="Corbel" w:hAnsi="Corbel"/>
          <w:sz w:val="24"/>
          <w:szCs w:val="24"/>
        </w:rPr>
        <w:t xml:space="preserve">Participants </w:t>
      </w:r>
      <w:r>
        <w:rPr>
          <w:rFonts w:ascii="Corbel" w:hAnsi="Corbel"/>
          <w:sz w:val="24"/>
          <w:szCs w:val="24"/>
        </w:rPr>
        <w:t>in Commonwealth programs not listed in paragraph</w:t>
      </w:r>
      <w:r w:rsidRPr="00B11C03">
        <w:rPr>
          <w:rFonts w:ascii="Corbel" w:hAnsi="Corbel"/>
          <w:sz w:val="24"/>
          <w:szCs w:val="24"/>
        </w:rPr>
        <w:t xml:space="preserve"> 5 above will be equitably phased into the NDIS.</w:t>
      </w:r>
    </w:p>
    <w:p w:rsidR="00AD5CC3" w:rsidRPr="007F5F89" w:rsidRDefault="00AD5CC3" w:rsidP="00AD5CC3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7F5F89">
        <w:rPr>
          <w:rFonts w:ascii="Corbel" w:hAnsi="Corbel"/>
          <w:sz w:val="24"/>
          <w:szCs w:val="24"/>
        </w:rPr>
        <w:t xml:space="preserve">The above estimated </w:t>
      </w:r>
      <w:r w:rsidR="008B43AC" w:rsidRPr="007F5F89">
        <w:rPr>
          <w:rFonts w:ascii="Corbel" w:hAnsi="Corbel"/>
          <w:sz w:val="24"/>
          <w:szCs w:val="24"/>
        </w:rPr>
        <w:t>participant</w:t>
      </w:r>
      <w:r w:rsidRPr="007F5F89">
        <w:rPr>
          <w:rFonts w:ascii="Corbel" w:hAnsi="Corbel"/>
          <w:sz w:val="24"/>
          <w:szCs w:val="24"/>
        </w:rPr>
        <w:t xml:space="preserve"> intake flow is based on: </w:t>
      </w:r>
    </w:p>
    <w:p w:rsidR="00AD5CC3" w:rsidRPr="00CD0A4A" w:rsidRDefault="000015AF" w:rsidP="00AD5CC3">
      <w:pPr>
        <w:numPr>
          <w:ilvl w:val="1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</w:t>
      </w:r>
      <w:r w:rsidR="00AD5CC3" w:rsidRPr="00CD0A4A">
        <w:rPr>
          <w:rFonts w:ascii="Corbel" w:hAnsi="Corbel"/>
          <w:sz w:val="24"/>
          <w:szCs w:val="24"/>
        </w:rPr>
        <w:t>e known number of people who are currently receiving existing disability services;</w:t>
      </w:r>
    </w:p>
    <w:p w:rsidR="00AD5CC3" w:rsidRPr="00D1438B" w:rsidRDefault="00024F55" w:rsidP="00AD5CC3">
      <w:pPr>
        <w:numPr>
          <w:ilvl w:val="1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known number of people who are on the needs register</w:t>
      </w:r>
      <w:r w:rsidR="004E5B30">
        <w:rPr>
          <w:rFonts w:ascii="Corbel" w:hAnsi="Corbel"/>
          <w:sz w:val="24"/>
          <w:szCs w:val="24"/>
        </w:rPr>
        <w:t xml:space="preserve"> for</w:t>
      </w:r>
      <w:r w:rsidR="00AD5CC3" w:rsidRPr="00D1438B">
        <w:rPr>
          <w:rFonts w:ascii="Corbel" w:hAnsi="Corbel"/>
          <w:sz w:val="24"/>
          <w:szCs w:val="24"/>
        </w:rPr>
        <w:t xml:space="preserve"> e</w:t>
      </w:r>
      <w:r w:rsidR="008B43AC">
        <w:rPr>
          <w:rFonts w:ascii="Corbel" w:hAnsi="Corbel"/>
          <w:sz w:val="24"/>
          <w:szCs w:val="24"/>
        </w:rPr>
        <w:t xml:space="preserve">xisting disability services; </w:t>
      </w:r>
    </w:p>
    <w:p w:rsidR="001650C6" w:rsidRDefault="00AD5CC3">
      <w:pPr>
        <w:numPr>
          <w:ilvl w:val="1"/>
          <w:numId w:val="13"/>
        </w:numPr>
        <w:rPr>
          <w:rFonts w:ascii="Corbel" w:hAnsi="Corbel"/>
          <w:sz w:val="24"/>
          <w:szCs w:val="24"/>
        </w:rPr>
      </w:pPr>
      <w:r w:rsidRPr="00D1438B">
        <w:rPr>
          <w:rFonts w:ascii="Corbel" w:hAnsi="Corbel"/>
          <w:sz w:val="24"/>
          <w:szCs w:val="24"/>
        </w:rPr>
        <w:t xml:space="preserve">an estimate of the likely number of new </w:t>
      </w:r>
      <w:r w:rsidR="008B43AC">
        <w:rPr>
          <w:rFonts w:ascii="Corbel" w:hAnsi="Corbel"/>
          <w:sz w:val="24"/>
          <w:szCs w:val="24"/>
        </w:rPr>
        <w:t>participan</w:t>
      </w:r>
      <w:r w:rsidR="008B43AC" w:rsidRPr="00D1438B">
        <w:rPr>
          <w:rFonts w:ascii="Corbel" w:hAnsi="Corbel"/>
          <w:sz w:val="24"/>
          <w:szCs w:val="24"/>
        </w:rPr>
        <w:t>ts</w:t>
      </w:r>
      <w:r w:rsidRPr="00D1438B">
        <w:rPr>
          <w:rFonts w:ascii="Corbel" w:hAnsi="Corbel"/>
          <w:sz w:val="24"/>
          <w:szCs w:val="24"/>
        </w:rPr>
        <w:t xml:space="preserve"> as yet </w:t>
      </w:r>
      <w:r w:rsidR="008B43AC">
        <w:rPr>
          <w:rFonts w:ascii="Corbel" w:hAnsi="Corbel"/>
          <w:sz w:val="24"/>
          <w:szCs w:val="24"/>
        </w:rPr>
        <w:t xml:space="preserve">not </w:t>
      </w:r>
      <w:r w:rsidRPr="00D1438B">
        <w:rPr>
          <w:rFonts w:ascii="Corbel" w:hAnsi="Corbel"/>
          <w:sz w:val="24"/>
          <w:szCs w:val="24"/>
        </w:rPr>
        <w:t>known to the state or Commonwealth systems  who may meet the acc</w:t>
      </w:r>
      <w:r>
        <w:rPr>
          <w:rFonts w:ascii="Corbel" w:hAnsi="Corbel"/>
          <w:sz w:val="24"/>
          <w:szCs w:val="24"/>
        </w:rPr>
        <w:t>ess requirements of the Scheme, but ar</w:t>
      </w:r>
      <w:r w:rsidR="008B43AC">
        <w:rPr>
          <w:rFonts w:ascii="Corbel" w:hAnsi="Corbel"/>
          <w:sz w:val="24"/>
          <w:szCs w:val="24"/>
        </w:rPr>
        <w:t>e not covered by other programs;</w:t>
      </w:r>
      <w:r w:rsidR="00BD258B">
        <w:rPr>
          <w:rFonts w:ascii="Corbel" w:hAnsi="Corbel"/>
          <w:sz w:val="24"/>
          <w:szCs w:val="24"/>
        </w:rPr>
        <w:t xml:space="preserve"> and</w:t>
      </w:r>
    </w:p>
    <w:p w:rsidR="003D06B9" w:rsidRPr="003D06B9" w:rsidRDefault="008B43AC" w:rsidP="003D06B9">
      <w:pPr>
        <w:numPr>
          <w:ilvl w:val="1"/>
          <w:numId w:val="13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and</w:t>
      </w:r>
      <w:r w:rsidR="003D06B9">
        <w:rPr>
          <w:rFonts w:ascii="Corbel" w:hAnsi="Corbel"/>
          <w:sz w:val="24"/>
          <w:szCs w:val="24"/>
        </w:rPr>
        <w:t xml:space="preserve"> </w:t>
      </w:r>
      <w:r w:rsidRPr="003D06B9">
        <w:rPr>
          <w:rFonts w:ascii="Corbel" w:hAnsi="Corbel"/>
          <w:sz w:val="24"/>
          <w:szCs w:val="24"/>
        </w:rPr>
        <w:t>Agency capacity</w:t>
      </w:r>
      <w:r w:rsidR="00CD0A4A" w:rsidRPr="003D06B9">
        <w:rPr>
          <w:rFonts w:ascii="Corbel" w:hAnsi="Corbel"/>
          <w:sz w:val="24"/>
          <w:szCs w:val="24"/>
        </w:rPr>
        <w:t>.</w:t>
      </w:r>
    </w:p>
    <w:p w:rsidR="000032CF" w:rsidRPr="00414F6D" w:rsidRDefault="00CD0A4A" w:rsidP="00414F6D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Commonwealth and Tasmania will undertake further data management work to revise the estimated participant numbers so that the approach more </w:t>
      </w:r>
      <w:r w:rsidR="006B45C4">
        <w:rPr>
          <w:rFonts w:ascii="Corbel" w:hAnsi="Corbel"/>
          <w:sz w:val="24"/>
          <w:szCs w:val="24"/>
        </w:rPr>
        <w:t>accurately</w:t>
      </w:r>
      <w:r>
        <w:rPr>
          <w:rFonts w:ascii="Corbel" w:hAnsi="Corbel"/>
          <w:sz w:val="24"/>
          <w:szCs w:val="24"/>
        </w:rPr>
        <w:t xml:space="preserve"> reflects the number of </w:t>
      </w:r>
      <w:r w:rsidR="006B45C4">
        <w:rPr>
          <w:rFonts w:ascii="Corbel" w:hAnsi="Corbel"/>
          <w:sz w:val="24"/>
          <w:szCs w:val="24"/>
        </w:rPr>
        <w:t xml:space="preserve">unique </w:t>
      </w:r>
      <w:r>
        <w:rPr>
          <w:rFonts w:ascii="Corbel" w:hAnsi="Corbel"/>
          <w:sz w:val="24"/>
          <w:szCs w:val="24"/>
        </w:rPr>
        <w:t>participant</w:t>
      </w:r>
      <w:r w:rsidR="00630974">
        <w:rPr>
          <w:rFonts w:ascii="Corbel" w:hAnsi="Corbel"/>
          <w:sz w:val="24"/>
          <w:szCs w:val="24"/>
        </w:rPr>
        <w:t>s</w:t>
      </w:r>
      <w:r>
        <w:rPr>
          <w:rFonts w:ascii="Corbel" w:hAnsi="Corbel"/>
          <w:sz w:val="24"/>
          <w:szCs w:val="24"/>
        </w:rPr>
        <w:t xml:space="preserve"> that are accessing more than one service type.</w:t>
      </w:r>
    </w:p>
    <w:p w:rsidR="008667A5" w:rsidRDefault="00AD5CC3" w:rsidP="00AD5CC3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D1438B">
        <w:rPr>
          <w:rFonts w:ascii="Corbel" w:hAnsi="Corbel"/>
          <w:sz w:val="24"/>
          <w:szCs w:val="24"/>
        </w:rPr>
        <w:t>Participant phasing arrangements for 2014-15 and 2015-16 will be under a similar arrangement</w:t>
      </w:r>
      <w:r w:rsidR="00345369">
        <w:rPr>
          <w:rFonts w:ascii="Corbel" w:hAnsi="Corbel"/>
          <w:sz w:val="24"/>
          <w:szCs w:val="24"/>
        </w:rPr>
        <w:t xml:space="preserve"> including in particular allowing for participants seeking supported accommodation and noting that a number of participants that turn 15 during this time will enter the scheme.</w:t>
      </w:r>
      <w:r w:rsidR="00150382">
        <w:rPr>
          <w:rFonts w:ascii="Corbel" w:hAnsi="Corbel"/>
          <w:sz w:val="24"/>
          <w:szCs w:val="24"/>
        </w:rPr>
        <w:t xml:space="preserve">  Any further participants identified in the categories in paragraph </w:t>
      </w:r>
      <w:r w:rsidR="00150382" w:rsidRPr="00150382">
        <w:rPr>
          <w:rFonts w:ascii="Corbel" w:hAnsi="Corbel"/>
          <w:sz w:val="24"/>
          <w:szCs w:val="24"/>
        </w:rPr>
        <w:t>5</w:t>
      </w:r>
      <w:r w:rsidR="00150382">
        <w:rPr>
          <w:rFonts w:ascii="Corbel" w:hAnsi="Corbel"/>
          <w:sz w:val="24"/>
          <w:szCs w:val="24"/>
        </w:rPr>
        <w:t xml:space="preserve"> above</w:t>
      </w:r>
      <w:r w:rsidR="00150382" w:rsidRPr="00150382">
        <w:rPr>
          <w:rFonts w:ascii="Corbel" w:hAnsi="Corbel"/>
          <w:sz w:val="24"/>
          <w:szCs w:val="24"/>
        </w:rPr>
        <w:t xml:space="preserve"> not already phased in</w:t>
      </w:r>
      <w:r w:rsidR="00150382">
        <w:rPr>
          <w:rFonts w:ascii="Corbel" w:hAnsi="Corbel"/>
          <w:sz w:val="24"/>
          <w:szCs w:val="24"/>
        </w:rPr>
        <w:t xml:space="preserve"> during 2013-14 </w:t>
      </w:r>
      <w:r w:rsidR="00150382" w:rsidRPr="00150382">
        <w:rPr>
          <w:rFonts w:ascii="Corbel" w:hAnsi="Corbel"/>
          <w:sz w:val="24"/>
          <w:szCs w:val="24"/>
        </w:rPr>
        <w:t xml:space="preserve">will be phased in </w:t>
      </w:r>
      <w:r w:rsidR="00150382">
        <w:rPr>
          <w:rFonts w:ascii="Corbel" w:hAnsi="Corbel"/>
          <w:sz w:val="24"/>
          <w:szCs w:val="24"/>
        </w:rPr>
        <w:t>during 2014-15.</w:t>
      </w:r>
    </w:p>
    <w:p w:rsidR="00AD5CC3" w:rsidRPr="00D1438B" w:rsidRDefault="00345369" w:rsidP="00AD5CC3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phasing arrangements will be</w:t>
      </w:r>
      <w:r w:rsidR="00AD5CC3" w:rsidRPr="00D1438B">
        <w:rPr>
          <w:rFonts w:ascii="Corbel" w:hAnsi="Corbel"/>
          <w:sz w:val="24"/>
          <w:szCs w:val="24"/>
        </w:rPr>
        <w:t xml:space="preserve"> subject to adjustment taking into account lessons learnt during 2013-14, and will be agreed between the Agency, </w:t>
      </w:r>
      <w:r w:rsidR="00AD5CC3">
        <w:rPr>
          <w:rFonts w:ascii="Corbel" w:hAnsi="Corbel"/>
          <w:sz w:val="24"/>
          <w:szCs w:val="24"/>
        </w:rPr>
        <w:t>Tasmania</w:t>
      </w:r>
      <w:r w:rsidR="00AD5CC3" w:rsidRPr="00D1438B">
        <w:rPr>
          <w:rFonts w:ascii="Corbel" w:hAnsi="Corbel"/>
          <w:sz w:val="24"/>
          <w:szCs w:val="24"/>
        </w:rPr>
        <w:t xml:space="preserve"> and the Commonwealth at a future date, with the expectation that 2014</w:t>
      </w:r>
      <w:r w:rsidR="00AD5CC3" w:rsidRPr="00D1438B">
        <w:rPr>
          <w:rFonts w:ascii="Corbel" w:hAnsi="Corbel"/>
          <w:sz w:val="24"/>
          <w:szCs w:val="24"/>
        </w:rPr>
        <w:noBreakHyphen/>
        <w:t xml:space="preserve">15 numbers will be agreed no later than 28 February 2014. </w:t>
      </w:r>
    </w:p>
    <w:sectPr w:rsidR="00AD5CC3" w:rsidRPr="00D1438B" w:rsidSect="009B46E1">
      <w:headerReference w:type="default" r:id="rId8"/>
      <w:footerReference w:type="default" r:id="rId9"/>
      <w:type w:val="continuous"/>
      <w:pgSz w:w="11906" w:h="16838" w:code="9"/>
      <w:pgMar w:top="709" w:right="1440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F4B" w:rsidRDefault="00072F4B" w:rsidP="00B8784A">
      <w:pPr>
        <w:spacing w:after="0" w:line="240" w:lineRule="auto"/>
      </w:pPr>
      <w:r>
        <w:separator/>
      </w:r>
    </w:p>
  </w:endnote>
  <w:endnote w:type="continuationSeparator" w:id="0">
    <w:p w:rsidR="00072F4B" w:rsidRDefault="00072F4B" w:rsidP="00B8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CD" w:rsidRDefault="00E053C1" w:rsidP="00CD0A4A">
    <w:pPr>
      <w:pStyle w:val="Footer"/>
      <w:jc w:val="right"/>
    </w:pPr>
    <w:r>
      <w:fldChar w:fldCharType="begin"/>
    </w:r>
    <w:r>
      <w:instrText xml:space="preserve"> DATE \@ "d/MM/yyyy h:mm am/pm" </w:instrText>
    </w:r>
    <w:r>
      <w:fldChar w:fldCharType="separate"/>
    </w:r>
    <w:r w:rsidR="00245FB4">
      <w:rPr>
        <w:noProof/>
      </w:rPr>
      <w:t>22/10/2019 10:37 AM</w:t>
    </w:r>
    <w:r>
      <w:rPr>
        <w:noProof/>
      </w:rPr>
      <w:fldChar w:fldCharType="end"/>
    </w:r>
  </w:p>
  <w:p w:rsidR="005C43CD" w:rsidRDefault="00072F4B" w:rsidP="00CD0A4A">
    <w:pPr>
      <w:pStyle w:val="Footer"/>
      <w:jc w:val="right"/>
    </w:pPr>
    <w:sdt>
      <w:sdtPr>
        <w:id w:val="106084799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5C43CD">
              <w:t xml:space="preserve">Page </w:t>
            </w:r>
            <w:r w:rsidR="00782076">
              <w:rPr>
                <w:b/>
                <w:sz w:val="24"/>
                <w:szCs w:val="24"/>
              </w:rPr>
              <w:fldChar w:fldCharType="begin"/>
            </w:r>
            <w:r w:rsidR="005C43CD">
              <w:rPr>
                <w:b/>
              </w:rPr>
              <w:instrText xml:space="preserve"> PAGE </w:instrText>
            </w:r>
            <w:r w:rsidR="00782076">
              <w:rPr>
                <w:b/>
                <w:sz w:val="24"/>
                <w:szCs w:val="24"/>
              </w:rPr>
              <w:fldChar w:fldCharType="separate"/>
            </w:r>
            <w:r w:rsidR="00245FB4">
              <w:rPr>
                <w:b/>
                <w:noProof/>
              </w:rPr>
              <w:t>2</w:t>
            </w:r>
            <w:r w:rsidR="00782076">
              <w:rPr>
                <w:b/>
                <w:sz w:val="24"/>
                <w:szCs w:val="24"/>
              </w:rPr>
              <w:fldChar w:fldCharType="end"/>
            </w:r>
            <w:r w:rsidR="005C43CD">
              <w:t xml:space="preserve"> of </w:t>
            </w:r>
            <w:r w:rsidR="00782076">
              <w:rPr>
                <w:b/>
                <w:sz w:val="24"/>
                <w:szCs w:val="24"/>
              </w:rPr>
              <w:fldChar w:fldCharType="begin"/>
            </w:r>
            <w:r w:rsidR="005C43CD">
              <w:rPr>
                <w:b/>
              </w:rPr>
              <w:instrText xml:space="preserve"> NUMPAGES  </w:instrText>
            </w:r>
            <w:r w:rsidR="00782076">
              <w:rPr>
                <w:b/>
                <w:sz w:val="24"/>
                <w:szCs w:val="24"/>
              </w:rPr>
              <w:fldChar w:fldCharType="separate"/>
            </w:r>
            <w:r w:rsidR="00245FB4">
              <w:rPr>
                <w:b/>
                <w:noProof/>
              </w:rPr>
              <w:t>3</w:t>
            </w:r>
            <w:r w:rsidR="00782076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5C43CD" w:rsidRDefault="005C4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F4B" w:rsidRDefault="00072F4B" w:rsidP="00B8784A">
      <w:pPr>
        <w:spacing w:after="0" w:line="240" w:lineRule="auto"/>
      </w:pPr>
      <w:r>
        <w:separator/>
      </w:r>
    </w:p>
  </w:footnote>
  <w:footnote w:type="continuationSeparator" w:id="0">
    <w:p w:rsidR="00072F4B" w:rsidRDefault="00072F4B" w:rsidP="00B8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CD" w:rsidRPr="008B43AC" w:rsidRDefault="005C43CD" w:rsidP="008B43AC">
    <w:pPr>
      <w:pStyle w:val="Header"/>
      <w:jc w:val="right"/>
      <w:rPr>
        <w:b/>
      </w:rPr>
    </w:pPr>
    <w:r w:rsidRPr="008B43AC">
      <w:rPr>
        <w:b/>
      </w:rPr>
      <w:t>Schedule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0C8"/>
    <w:multiLevelType w:val="hybridMultilevel"/>
    <w:tmpl w:val="2B62A5F8"/>
    <w:lvl w:ilvl="0" w:tplc="0C09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" w15:restartNumberingAfterBreak="0">
    <w:nsid w:val="0E4F3133"/>
    <w:multiLevelType w:val="hybridMultilevel"/>
    <w:tmpl w:val="B37AC524"/>
    <w:lvl w:ilvl="0" w:tplc="B9162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1A9C"/>
    <w:multiLevelType w:val="hybridMultilevel"/>
    <w:tmpl w:val="90C4208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34558"/>
    <w:multiLevelType w:val="hybridMultilevel"/>
    <w:tmpl w:val="0FC8E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050D7"/>
    <w:multiLevelType w:val="hybridMultilevel"/>
    <w:tmpl w:val="6324BED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21F8"/>
    <w:multiLevelType w:val="hybridMultilevel"/>
    <w:tmpl w:val="90C4208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426B4"/>
    <w:multiLevelType w:val="hybridMultilevel"/>
    <w:tmpl w:val="25E2AF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857A0"/>
    <w:multiLevelType w:val="hybridMultilevel"/>
    <w:tmpl w:val="CE9EF8D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E53D20"/>
    <w:multiLevelType w:val="hybridMultilevel"/>
    <w:tmpl w:val="F662CE6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A30CC"/>
    <w:multiLevelType w:val="hybridMultilevel"/>
    <w:tmpl w:val="393401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E587C"/>
    <w:multiLevelType w:val="hybridMultilevel"/>
    <w:tmpl w:val="B8761F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E7D52"/>
    <w:multiLevelType w:val="hybridMultilevel"/>
    <w:tmpl w:val="7F3C87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6640D"/>
    <w:multiLevelType w:val="hybridMultilevel"/>
    <w:tmpl w:val="BE008C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506A19"/>
    <w:multiLevelType w:val="hybridMultilevel"/>
    <w:tmpl w:val="F49A44F4"/>
    <w:lvl w:ilvl="0" w:tplc="DB0C1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54AAC"/>
    <w:multiLevelType w:val="hybridMultilevel"/>
    <w:tmpl w:val="7268A05E"/>
    <w:lvl w:ilvl="0" w:tplc="213AF0E2">
      <w:start w:val="1"/>
      <w:numFmt w:val="decimal"/>
      <w:pStyle w:val="Normalnumbered"/>
      <w:lvlText w:val="%1."/>
      <w:lvlJc w:val="left"/>
      <w:pPr>
        <w:tabs>
          <w:tab w:val="num" w:pos="687"/>
        </w:tabs>
        <w:ind w:left="687" w:hanging="567"/>
      </w:pPr>
      <w:rPr>
        <w:rFonts w:cs="Times New Roman" w:hint="default"/>
        <w:i w:val="0"/>
      </w:rPr>
    </w:lvl>
    <w:lvl w:ilvl="1" w:tplc="BFC22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color w:val="auto"/>
      </w:rPr>
    </w:lvl>
    <w:lvl w:ilvl="2" w:tplc="BA001336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71A8C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8C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181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0CD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6C4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6EB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9"/>
  </w:num>
  <w:num w:numId="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9B"/>
    <w:rsid w:val="000015AF"/>
    <w:rsid w:val="000032CF"/>
    <w:rsid w:val="000064E3"/>
    <w:rsid w:val="00015929"/>
    <w:rsid w:val="00024F55"/>
    <w:rsid w:val="00032A33"/>
    <w:rsid w:val="00053E0B"/>
    <w:rsid w:val="00061ECC"/>
    <w:rsid w:val="00063F8E"/>
    <w:rsid w:val="00064009"/>
    <w:rsid w:val="00072F4B"/>
    <w:rsid w:val="00084AD2"/>
    <w:rsid w:val="000A2681"/>
    <w:rsid w:val="000D4791"/>
    <w:rsid w:val="000F097E"/>
    <w:rsid w:val="000F680C"/>
    <w:rsid w:val="001175AA"/>
    <w:rsid w:val="001218CD"/>
    <w:rsid w:val="00144DBC"/>
    <w:rsid w:val="00150382"/>
    <w:rsid w:val="00161F5B"/>
    <w:rsid w:val="001650C6"/>
    <w:rsid w:val="00170096"/>
    <w:rsid w:val="001747D4"/>
    <w:rsid w:val="001814E4"/>
    <w:rsid w:val="001839C8"/>
    <w:rsid w:val="001908FC"/>
    <w:rsid w:val="00216880"/>
    <w:rsid w:val="00245FB4"/>
    <w:rsid w:val="0025189A"/>
    <w:rsid w:val="00254F18"/>
    <w:rsid w:val="0027688B"/>
    <w:rsid w:val="00295237"/>
    <w:rsid w:val="002A43F2"/>
    <w:rsid w:val="002B7202"/>
    <w:rsid w:val="002D7D19"/>
    <w:rsid w:val="002F2FE2"/>
    <w:rsid w:val="002F5A4D"/>
    <w:rsid w:val="00303171"/>
    <w:rsid w:val="003111B9"/>
    <w:rsid w:val="00322DD0"/>
    <w:rsid w:val="00340589"/>
    <w:rsid w:val="00341BF8"/>
    <w:rsid w:val="00345369"/>
    <w:rsid w:val="00357FF7"/>
    <w:rsid w:val="0036254F"/>
    <w:rsid w:val="00365EFF"/>
    <w:rsid w:val="003775D0"/>
    <w:rsid w:val="00380966"/>
    <w:rsid w:val="003821C3"/>
    <w:rsid w:val="003943BC"/>
    <w:rsid w:val="00397993"/>
    <w:rsid w:val="003D06B9"/>
    <w:rsid w:val="003E5675"/>
    <w:rsid w:val="003F4D29"/>
    <w:rsid w:val="00414F6D"/>
    <w:rsid w:val="0041719D"/>
    <w:rsid w:val="0042018C"/>
    <w:rsid w:val="00430F18"/>
    <w:rsid w:val="0044758E"/>
    <w:rsid w:val="00455FEA"/>
    <w:rsid w:val="00481AA6"/>
    <w:rsid w:val="00490E40"/>
    <w:rsid w:val="0049750E"/>
    <w:rsid w:val="004A15DF"/>
    <w:rsid w:val="004D0D44"/>
    <w:rsid w:val="004E3CC7"/>
    <w:rsid w:val="004E5B30"/>
    <w:rsid w:val="004F267A"/>
    <w:rsid w:val="005130A8"/>
    <w:rsid w:val="00531790"/>
    <w:rsid w:val="005330E0"/>
    <w:rsid w:val="005343B8"/>
    <w:rsid w:val="00547239"/>
    <w:rsid w:val="00560E80"/>
    <w:rsid w:val="00561ACA"/>
    <w:rsid w:val="005644A9"/>
    <w:rsid w:val="00567E47"/>
    <w:rsid w:val="00594DF3"/>
    <w:rsid w:val="005A71ED"/>
    <w:rsid w:val="005C43CD"/>
    <w:rsid w:val="005E5D97"/>
    <w:rsid w:val="005F1FDD"/>
    <w:rsid w:val="00616F5E"/>
    <w:rsid w:val="0061795F"/>
    <w:rsid w:val="00630974"/>
    <w:rsid w:val="006614F4"/>
    <w:rsid w:val="00675056"/>
    <w:rsid w:val="006A5218"/>
    <w:rsid w:val="006B45C4"/>
    <w:rsid w:val="006D53DE"/>
    <w:rsid w:val="006E218E"/>
    <w:rsid w:val="006E51F9"/>
    <w:rsid w:val="006E69EC"/>
    <w:rsid w:val="006F7A8F"/>
    <w:rsid w:val="0070418C"/>
    <w:rsid w:val="00720452"/>
    <w:rsid w:val="00730452"/>
    <w:rsid w:val="00733139"/>
    <w:rsid w:val="00737521"/>
    <w:rsid w:val="00745455"/>
    <w:rsid w:val="00756763"/>
    <w:rsid w:val="00767BA5"/>
    <w:rsid w:val="00782076"/>
    <w:rsid w:val="00784F92"/>
    <w:rsid w:val="00792142"/>
    <w:rsid w:val="00792774"/>
    <w:rsid w:val="007A0059"/>
    <w:rsid w:val="007B7365"/>
    <w:rsid w:val="007C0B29"/>
    <w:rsid w:val="007F5F89"/>
    <w:rsid w:val="008168E1"/>
    <w:rsid w:val="008234AF"/>
    <w:rsid w:val="00831735"/>
    <w:rsid w:val="008349D2"/>
    <w:rsid w:val="00844E03"/>
    <w:rsid w:val="00855418"/>
    <w:rsid w:val="008612F3"/>
    <w:rsid w:val="008667A5"/>
    <w:rsid w:val="00875505"/>
    <w:rsid w:val="008775D4"/>
    <w:rsid w:val="00887CFF"/>
    <w:rsid w:val="008B43AC"/>
    <w:rsid w:val="008C1D21"/>
    <w:rsid w:val="008E012A"/>
    <w:rsid w:val="008E34BE"/>
    <w:rsid w:val="008E7C96"/>
    <w:rsid w:val="008F4AFC"/>
    <w:rsid w:val="00910A95"/>
    <w:rsid w:val="00931C2B"/>
    <w:rsid w:val="00957E46"/>
    <w:rsid w:val="00967ABA"/>
    <w:rsid w:val="009805A1"/>
    <w:rsid w:val="00995636"/>
    <w:rsid w:val="009A2808"/>
    <w:rsid w:val="009B46E1"/>
    <w:rsid w:val="009D0C2B"/>
    <w:rsid w:val="00A1361F"/>
    <w:rsid w:val="00A22AC8"/>
    <w:rsid w:val="00A63454"/>
    <w:rsid w:val="00AB28DB"/>
    <w:rsid w:val="00AB6619"/>
    <w:rsid w:val="00AD5CC3"/>
    <w:rsid w:val="00AE6A10"/>
    <w:rsid w:val="00AE7B9B"/>
    <w:rsid w:val="00AF3F81"/>
    <w:rsid w:val="00AF74B6"/>
    <w:rsid w:val="00B11C03"/>
    <w:rsid w:val="00B11F61"/>
    <w:rsid w:val="00B14C67"/>
    <w:rsid w:val="00B220A5"/>
    <w:rsid w:val="00B3390A"/>
    <w:rsid w:val="00B45337"/>
    <w:rsid w:val="00B6481C"/>
    <w:rsid w:val="00B83434"/>
    <w:rsid w:val="00B8784A"/>
    <w:rsid w:val="00B9073E"/>
    <w:rsid w:val="00B96D62"/>
    <w:rsid w:val="00BD258B"/>
    <w:rsid w:val="00BE749E"/>
    <w:rsid w:val="00BF2A76"/>
    <w:rsid w:val="00C11801"/>
    <w:rsid w:val="00C12CA0"/>
    <w:rsid w:val="00C41011"/>
    <w:rsid w:val="00C724CE"/>
    <w:rsid w:val="00C92B01"/>
    <w:rsid w:val="00CA04DE"/>
    <w:rsid w:val="00CA390D"/>
    <w:rsid w:val="00CB4C95"/>
    <w:rsid w:val="00CC2116"/>
    <w:rsid w:val="00CD0A4A"/>
    <w:rsid w:val="00CD546D"/>
    <w:rsid w:val="00CD5B8F"/>
    <w:rsid w:val="00CE381B"/>
    <w:rsid w:val="00D01C79"/>
    <w:rsid w:val="00D03639"/>
    <w:rsid w:val="00D2050E"/>
    <w:rsid w:val="00D20563"/>
    <w:rsid w:val="00D40DE3"/>
    <w:rsid w:val="00D536A8"/>
    <w:rsid w:val="00D9007E"/>
    <w:rsid w:val="00DA4221"/>
    <w:rsid w:val="00DB3B1F"/>
    <w:rsid w:val="00E0016C"/>
    <w:rsid w:val="00E0042C"/>
    <w:rsid w:val="00E025A9"/>
    <w:rsid w:val="00E053C1"/>
    <w:rsid w:val="00E149BE"/>
    <w:rsid w:val="00E230FC"/>
    <w:rsid w:val="00E51406"/>
    <w:rsid w:val="00E54941"/>
    <w:rsid w:val="00E56822"/>
    <w:rsid w:val="00E60ACF"/>
    <w:rsid w:val="00E71A43"/>
    <w:rsid w:val="00E91985"/>
    <w:rsid w:val="00E92FAA"/>
    <w:rsid w:val="00EA4D19"/>
    <w:rsid w:val="00EB4CED"/>
    <w:rsid w:val="00EC493F"/>
    <w:rsid w:val="00EF38AF"/>
    <w:rsid w:val="00F0339F"/>
    <w:rsid w:val="00F04CDF"/>
    <w:rsid w:val="00F12E6E"/>
    <w:rsid w:val="00F36925"/>
    <w:rsid w:val="00F57336"/>
    <w:rsid w:val="00F60972"/>
    <w:rsid w:val="00F77C3E"/>
    <w:rsid w:val="00FB110F"/>
    <w:rsid w:val="00FB3F3E"/>
    <w:rsid w:val="00FD17B2"/>
    <w:rsid w:val="00FD6BE7"/>
    <w:rsid w:val="00FD76D6"/>
    <w:rsid w:val="00FE12EF"/>
    <w:rsid w:val="00FE47F3"/>
    <w:rsid w:val="00FE7222"/>
    <w:rsid w:val="00FF2F1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051E8-9F68-4174-BD45-6ED5ACB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C3E"/>
    <w:pPr>
      <w:keepNext/>
      <w:spacing w:before="480" w:after="180" w:line="240" w:lineRule="auto"/>
      <w:outlineLvl w:val="0"/>
    </w:pPr>
    <w:rPr>
      <w:rFonts w:ascii="Consolas" w:eastAsia="Times New Roman" w:hAnsi="Consolas"/>
      <w:bCs/>
      <w:caps/>
      <w:color w:val="3D4B67"/>
      <w:kern w:val="32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uiPriority w:val="99"/>
    <w:rsid w:val="00AE7B9B"/>
    <w:pPr>
      <w:numPr>
        <w:numId w:val="1"/>
      </w:numPr>
      <w:spacing w:after="240" w:line="260" w:lineRule="exact"/>
      <w:jc w:val="both"/>
    </w:pPr>
    <w:rPr>
      <w:rFonts w:ascii="Corbel" w:eastAsia="Times New Roman" w:hAnsi="Corbe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AE7B9B"/>
    <w:pPr>
      <w:ind w:left="720"/>
      <w:contextualSpacing/>
    </w:pPr>
  </w:style>
  <w:style w:type="character" w:styleId="BookTitle">
    <w:name w:val="Book Title"/>
    <w:uiPriority w:val="33"/>
    <w:qFormat/>
    <w:rsid w:val="00AE7B9B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83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77C3E"/>
    <w:rPr>
      <w:rFonts w:ascii="Consolas" w:eastAsia="Times New Roman" w:hAnsi="Consolas" w:cs="Arial"/>
      <w:bCs/>
      <w:caps/>
      <w:color w:val="3D4B67"/>
      <w:kern w:val="32"/>
      <w:sz w:val="32"/>
      <w:szCs w:val="36"/>
    </w:rPr>
  </w:style>
  <w:style w:type="character" w:styleId="CommentReference">
    <w:name w:val="annotation reference"/>
    <w:uiPriority w:val="99"/>
    <w:semiHidden/>
    <w:unhideWhenUsed/>
    <w:rsid w:val="0039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79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79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99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B7202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784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784A"/>
    <w:rPr>
      <w:lang w:eastAsia="en-US"/>
    </w:rPr>
  </w:style>
  <w:style w:type="character" w:styleId="EndnoteReference">
    <w:name w:val="endnote reference"/>
    <w:uiPriority w:val="99"/>
    <w:semiHidden/>
    <w:unhideWhenUsed/>
    <w:rsid w:val="00B8784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B4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3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3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9DBC-BDA7-4FBE-BF3E-EBD7B5BF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pmc5254</dc:creator>
  <cp:lastModifiedBy>Toth, Tania</cp:lastModifiedBy>
  <cp:revision>2</cp:revision>
  <cp:lastPrinted>2013-04-16T04:04:00Z</cp:lastPrinted>
  <dcterms:created xsi:type="dcterms:W3CDTF">2016-12-05T23:53:00Z</dcterms:created>
  <dcterms:modified xsi:type="dcterms:W3CDTF">2016-12-05T23:53:00Z</dcterms:modified>
</cp:coreProperties>
</file>