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2AF8A" w14:textId="77777777" w:rsidR="00160D9D" w:rsidRPr="00D92648" w:rsidRDefault="00160D9D" w:rsidP="00160D9D">
      <w:pPr>
        <w:pStyle w:val="Title"/>
      </w:pPr>
      <w:bookmarkStart w:id="0" w:name="_GoBack"/>
      <w:bookmarkEnd w:id="0"/>
    </w:p>
    <w:p w14:paraId="26553858" w14:textId="77777777" w:rsidR="00160D9D" w:rsidRPr="00E76327" w:rsidRDefault="00160D9D" w:rsidP="00160D9D">
      <w:pPr>
        <w:pStyle w:val="Title"/>
        <w:spacing w:before="2400"/>
        <w:contextualSpacing w:val="0"/>
      </w:pPr>
      <w:r w:rsidRPr="00E76327">
        <w:t>Report on the sustainability of the scheme</w:t>
      </w:r>
    </w:p>
    <w:p w14:paraId="2E5F6182" w14:textId="77777777" w:rsidR="00160D9D" w:rsidRPr="00E76327" w:rsidRDefault="00160D9D" w:rsidP="00160D9D">
      <w:pPr>
        <w:pStyle w:val="Title"/>
      </w:pPr>
    </w:p>
    <w:p w14:paraId="1C2C9464" w14:textId="1A53A512" w:rsidR="00160D9D" w:rsidRPr="00E76327" w:rsidRDefault="00160D9D" w:rsidP="00160D9D">
      <w:pPr>
        <w:pStyle w:val="Title"/>
        <w:rPr>
          <w:sz w:val="32"/>
          <w:szCs w:val="32"/>
        </w:rPr>
      </w:pPr>
      <w:r w:rsidRPr="00E76327">
        <w:rPr>
          <w:sz w:val="32"/>
          <w:szCs w:val="32"/>
        </w:rPr>
        <w:t xml:space="preserve">1 July 2013 to </w:t>
      </w:r>
      <w:r w:rsidR="00A2012B" w:rsidRPr="00E76327">
        <w:rPr>
          <w:sz w:val="32"/>
          <w:szCs w:val="32"/>
        </w:rPr>
        <w:t>31 March 2016</w:t>
      </w:r>
    </w:p>
    <w:p w14:paraId="754583D6" w14:textId="77777777" w:rsidR="00160D9D" w:rsidRPr="00E76327" w:rsidRDefault="00160D9D" w:rsidP="00160D9D">
      <w:pPr>
        <w:pStyle w:val="Title"/>
      </w:pPr>
    </w:p>
    <w:p w14:paraId="06DF9BD6" w14:textId="15F056B8" w:rsidR="00160D9D" w:rsidRPr="00E76327" w:rsidRDefault="00A2012B" w:rsidP="00160D9D">
      <w:pPr>
        <w:rPr>
          <w:rStyle w:val="IntenseEmphasis"/>
          <w:color w:val="6B2976" w:themeColor="accent1"/>
        </w:rPr>
      </w:pPr>
      <w:r w:rsidRPr="00E76327">
        <w:rPr>
          <w:rStyle w:val="IntenseEmphasis"/>
          <w:color w:val="6B2976" w:themeColor="accent1"/>
        </w:rPr>
        <w:t xml:space="preserve">April </w:t>
      </w:r>
      <w:r w:rsidR="00A224B2" w:rsidRPr="00E76327">
        <w:rPr>
          <w:rStyle w:val="IntenseEmphasis"/>
          <w:color w:val="6B2976" w:themeColor="accent1"/>
        </w:rPr>
        <w:t>2016</w:t>
      </w:r>
    </w:p>
    <w:p w14:paraId="4B6A1438" w14:textId="77777777" w:rsidR="00160D9D" w:rsidRPr="00A2012B" w:rsidRDefault="00160D9D" w:rsidP="00160D9D">
      <w:pPr>
        <w:spacing w:before="4400"/>
        <w:rPr>
          <w:b/>
          <w:highlight w:val="lightGray"/>
        </w:rPr>
      </w:pPr>
    </w:p>
    <w:p w14:paraId="3F967A04" w14:textId="77777777" w:rsidR="00160D9D" w:rsidRPr="00E76327" w:rsidRDefault="00160D9D" w:rsidP="00160D9D">
      <w:pPr>
        <w:rPr>
          <w:b/>
        </w:rPr>
      </w:pPr>
      <w:r w:rsidRPr="00E76327">
        <w:rPr>
          <w:b/>
        </w:rPr>
        <w:t>Prepared by the Scheme Actuary</w:t>
      </w:r>
    </w:p>
    <w:p w14:paraId="0AD3C4D9" w14:textId="77777777" w:rsidR="00160D9D" w:rsidRPr="00A2012B" w:rsidRDefault="00160D9D" w:rsidP="00160D9D">
      <w:pPr>
        <w:rPr>
          <w:rStyle w:val="BookTitle"/>
          <w:rFonts w:eastAsiaTheme="majorEastAsia" w:cstheme="majorBidi"/>
          <w:b/>
          <w:bCs/>
          <w:i w:val="0"/>
          <w:iCs w:val="0"/>
          <w:smallCaps w:val="0"/>
          <w:spacing w:val="0"/>
          <w:sz w:val="36"/>
          <w:szCs w:val="28"/>
          <w:highlight w:val="lightGray"/>
        </w:rPr>
      </w:pPr>
      <w:r w:rsidRPr="00A2012B">
        <w:rPr>
          <w:rStyle w:val="BookTitle"/>
          <w:i w:val="0"/>
          <w:iCs w:val="0"/>
          <w:smallCaps w:val="0"/>
          <w:spacing w:val="0"/>
          <w:highlight w:val="lightGray"/>
        </w:rPr>
        <w:br w:type="page"/>
      </w:r>
    </w:p>
    <w:p w14:paraId="793360B1" w14:textId="77777777" w:rsidR="00160D9D" w:rsidRPr="00E76327" w:rsidRDefault="00160D9D" w:rsidP="00160D9D">
      <w:pPr>
        <w:pStyle w:val="Heading2"/>
        <w:numPr>
          <w:ilvl w:val="0"/>
          <w:numId w:val="0"/>
        </w:numPr>
        <w:ind w:left="578" w:hanging="578"/>
        <w:rPr>
          <w:rStyle w:val="BookTitle"/>
          <w:bCs/>
          <w:i w:val="0"/>
          <w:iCs w:val="0"/>
          <w:smallCaps w:val="0"/>
          <w:spacing w:val="0"/>
        </w:rPr>
      </w:pPr>
      <w:r w:rsidRPr="00E76327">
        <w:rPr>
          <w:rStyle w:val="BookTitle"/>
          <w:i w:val="0"/>
          <w:iCs w:val="0"/>
          <w:smallCaps w:val="0"/>
          <w:spacing w:val="0"/>
        </w:rPr>
        <w:lastRenderedPageBreak/>
        <w:t>Introduction</w:t>
      </w:r>
    </w:p>
    <w:p w14:paraId="712182B4" w14:textId="403B86A5" w:rsidR="00F96E6F" w:rsidRPr="00E76327" w:rsidRDefault="00160D9D" w:rsidP="00160D9D">
      <w:r w:rsidRPr="00E76327">
        <w:t xml:space="preserve">This report </w:t>
      </w:r>
      <w:r w:rsidR="00F96E6F" w:rsidRPr="00E76327">
        <w:t xml:space="preserve">presents analysis on the delivery of the National Disability Insurance Scheme (NDIS) by the National Disability Agency (NDIA) as at </w:t>
      </w:r>
      <w:r w:rsidR="00D00611">
        <w:t>31 March 2016</w:t>
      </w:r>
      <w:r w:rsidR="00F96E6F" w:rsidRPr="00E76327">
        <w:t>.</w:t>
      </w:r>
    </w:p>
    <w:p w14:paraId="376A4C31" w14:textId="7BB7B18F" w:rsidR="00F96E6F" w:rsidRPr="00E76327" w:rsidRDefault="00F96E6F" w:rsidP="00160D9D">
      <w:r w:rsidRPr="00E76327">
        <w:t>Specifically the analysis includes:</w:t>
      </w:r>
    </w:p>
    <w:p w14:paraId="0B79CCED" w14:textId="14583912" w:rsidR="00160D9D" w:rsidRPr="00E76327" w:rsidRDefault="00160D9D" w:rsidP="00160D9D">
      <w:pPr>
        <w:pStyle w:val="ListParagraph"/>
        <w:numPr>
          <w:ilvl w:val="0"/>
          <w:numId w:val="6"/>
        </w:numPr>
        <w:spacing w:before="200" w:after="0"/>
        <w:ind w:left="357" w:hanging="357"/>
        <w:contextualSpacing w:val="0"/>
      </w:pPr>
      <w:r w:rsidRPr="00E76327">
        <w:rPr>
          <w:b/>
        </w:rPr>
        <w:t>Participant satisfaction</w:t>
      </w:r>
      <w:r w:rsidRPr="00E76327">
        <w:t>. Participant satisfaction r</w:t>
      </w:r>
      <w:r w:rsidR="00E26F40" w:rsidRPr="00E76327">
        <w:t xml:space="preserve">emains high. On a scale of very </w:t>
      </w:r>
      <w:r w:rsidRPr="00E76327">
        <w:t>poor</w:t>
      </w:r>
      <w:r w:rsidR="00E26F40" w:rsidRPr="00E76327">
        <w:t xml:space="preserve"> </w:t>
      </w:r>
      <w:r w:rsidRPr="00E76327">
        <w:t>(</w:t>
      </w:r>
      <w:r w:rsidRPr="00E76327">
        <w:noBreakHyphen/>
        <w:t>2) to very good (+2), with neutral being 0, par</w:t>
      </w:r>
      <w:r w:rsidR="00D67E14" w:rsidRPr="00E76327">
        <w:t>ticipant satisfaction is at 1.6</w:t>
      </w:r>
      <w:r w:rsidR="00D00611" w:rsidRPr="00E76327">
        <w:t>3</w:t>
      </w:r>
      <w:r w:rsidRPr="00E76327">
        <w:t>.</w:t>
      </w:r>
      <w:r w:rsidR="00CD783C">
        <w:t xml:space="preserve"> This is consistent with previous quarters.</w:t>
      </w:r>
    </w:p>
    <w:p w14:paraId="5AB76195" w14:textId="218E2DBD" w:rsidR="00160D9D" w:rsidRPr="00E76327" w:rsidRDefault="00160D9D" w:rsidP="00160D9D">
      <w:pPr>
        <w:pStyle w:val="ListParagraph"/>
        <w:numPr>
          <w:ilvl w:val="0"/>
          <w:numId w:val="6"/>
        </w:numPr>
        <w:spacing w:before="200" w:after="0"/>
        <w:ind w:left="357" w:hanging="357"/>
        <w:contextualSpacing w:val="0"/>
      </w:pPr>
      <w:r w:rsidRPr="00E76327">
        <w:rPr>
          <w:b/>
        </w:rPr>
        <w:t>Participant numbers</w:t>
      </w:r>
      <w:r w:rsidR="00D67E14" w:rsidRPr="00E76327">
        <w:t xml:space="preserve">. </w:t>
      </w:r>
      <w:r w:rsidR="00D00611" w:rsidRPr="00D00611">
        <w:t xml:space="preserve">29,769 participants were eligible for the scheme (100% of the bilateral target). </w:t>
      </w:r>
      <w:r w:rsidRPr="00E76327">
        <w:t xml:space="preserve">This is an increase of </w:t>
      </w:r>
      <w:r w:rsidR="00D00611" w:rsidRPr="00E76327">
        <w:t xml:space="preserve">3,894 </w:t>
      </w:r>
      <w:r w:rsidRPr="00E76327">
        <w:t xml:space="preserve">participants over the quarter. </w:t>
      </w:r>
      <w:r w:rsidR="00D67E14" w:rsidRPr="00E76327">
        <w:t>2</w:t>
      </w:r>
      <w:r w:rsidR="00D00611" w:rsidRPr="00E76327">
        <w:t>4,866</w:t>
      </w:r>
      <w:r w:rsidRPr="00E76327">
        <w:t xml:space="preserve"> part</w:t>
      </w:r>
      <w:r w:rsidR="00D67E14" w:rsidRPr="00E76327">
        <w:t>icipants had an approved plan (8</w:t>
      </w:r>
      <w:r w:rsidR="00D00611" w:rsidRPr="00E76327">
        <w:t>3</w:t>
      </w:r>
      <w:r w:rsidRPr="00E76327">
        <w:t xml:space="preserve">% of the bilateral target), which is an increase of </w:t>
      </w:r>
      <w:r w:rsidR="00861B18" w:rsidRPr="00E76327">
        <w:t>2</w:t>
      </w:r>
      <w:r w:rsidRPr="00E76327">
        <w:t>,</w:t>
      </w:r>
      <w:r w:rsidR="00D67E14" w:rsidRPr="00E76327">
        <w:t>5</w:t>
      </w:r>
      <w:r w:rsidR="00D00611" w:rsidRPr="00E76327">
        <w:t>85</w:t>
      </w:r>
      <w:r w:rsidRPr="00E76327">
        <w:t xml:space="preserve"> participants over the quarter.</w:t>
      </w:r>
    </w:p>
    <w:p w14:paraId="482787E4" w14:textId="1FAC719E" w:rsidR="00160D9D" w:rsidRPr="00E76327" w:rsidRDefault="00160D9D" w:rsidP="00160D9D">
      <w:pPr>
        <w:pStyle w:val="ListParagraph"/>
        <w:numPr>
          <w:ilvl w:val="0"/>
          <w:numId w:val="6"/>
        </w:numPr>
        <w:spacing w:before="200" w:after="0"/>
        <w:ind w:left="357" w:hanging="357"/>
        <w:contextualSpacing w:val="0"/>
      </w:pPr>
      <w:r w:rsidRPr="00E76327">
        <w:rPr>
          <w:b/>
        </w:rPr>
        <w:t>Total scheme costs</w:t>
      </w:r>
      <w:r w:rsidRPr="00E76327">
        <w:t xml:space="preserve">. Considering the number of participants who have entered the scheme and distribution of packages committed to these participants, the scheme is </w:t>
      </w:r>
      <w:r w:rsidR="003C19B0">
        <w:t>within budget for the three year trial period</w:t>
      </w:r>
      <w:r w:rsidR="005A46E9">
        <w:t xml:space="preserve"> (ending 30 June 2016)</w:t>
      </w:r>
      <w:r w:rsidRPr="00E76327">
        <w:t>.</w:t>
      </w:r>
    </w:p>
    <w:p w14:paraId="2F950BD9" w14:textId="77777777" w:rsidR="00160D9D" w:rsidRPr="00E76327" w:rsidRDefault="00160D9D" w:rsidP="00160D9D">
      <w:pPr>
        <w:spacing w:before="200" w:after="0"/>
      </w:pPr>
      <w:r w:rsidRPr="00E76327">
        <w:t>The report also includes information on:</w:t>
      </w:r>
    </w:p>
    <w:p w14:paraId="03F44B64" w14:textId="77777777" w:rsidR="00160D9D" w:rsidRPr="00E76327" w:rsidRDefault="00160D9D" w:rsidP="00160D9D">
      <w:pPr>
        <w:pStyle w:val="ListParagraph"/>
        <w:numPr>
          <w:ilvl w:val="0"/>
          <w:numId w:val="6"/>
        </w:numPr>
        <w:spacing w:before="200" w:after="0"/>
        <w:ind w:left="357" w:hanging="357"/>
        <w:contextualSpacing w:val="0"/>
      </w:pPr>
      <w:r w:rsidRPr="00E76327">
        <w:rPr>
          <w:b/>
        </w:rPr>
        <w:t>The amount of support committed to participants</w:t>
      </w:r>
      <w:r w:rsidRPr="00E76327">
        <w:t>, including trends, the distribution of packages committed to participants, and actual payments made to date.</w:t>
      </w:r>
    </w:p>
    <w:p w14:paraId="4DFD00B6" w14:textId="77777777" w:rsidR="00160D9D" w:rsidRPr="00E76327" w:rsidRDefault="00160D9D" w:rsidP="00160D9D">
      <w:pPr>
        <w:pStyle w:val="ListParagraph"/>
        <w:numPr>
          <w:ilvl w:val="0"/>
          <w:numId w:val="6"/>
        </w:numPr>
        <w:spacing w:before="200" w:after="0"/>
        <w:ind w:left="357" w:hanging="357"/>
        <w:contextualSpacing w:val="0"/>
      </w:pPr>
      <w:r w:rsidRPr="00E76327">
        <w:rPr>
          <w:b/>
        </w:rPr>
        <w:t>Continuous improvement</w:t>
      </w:r>
      <w:r w:rsidRPr="00E76327">
        <w:t xml:space="preserve"> to the scheme to ensure scheme sustainability, including the development of references packages and an outcomes framework.</w:t>
      </w:r>
    </w:p>
    <w:p w14:paraId="7E112798" w14:textId="77777777" w:rsidR="00160D9D" w:rsidRPr="00E76327" w:rsidRDefault="00160D9D" w:rsidP="00160D9D">
      <w:pPr>
        <w:spacing w:before="240"/>
      </w:pPr>
      <w:r w:rsidRPr="00E76327">
        <w:t>It is important to note that it is early stages in the roll out of the NDIS. Scheme experience will emerge over time and allow more thorough analysis of financial sustainability.</w:t>
      </w:r>
    </w:p>
    <w:p w14:paraId="7E5C310B" w14:textId="667D61E8" w:rsidR="00F96E6F" w:rsidRPr="00E76327" w:rsidRDefault="00F96E6F" w:rsidP="00160D9D">
      <w:bookmarkStart w:id="1" w:name="_Toc385491226"/>
      <w:bookmarkStart w:id="2" w:name="_Toc386441704"/>
      <w:bookmarkStart w:id="3" w:name="_Toc393203266"/>
      <w:bookmarkStart w:id="4" w:name="_Toc393438656"/>
      <w:r w:rsidRPr="00E76327">
        <w:t>Concurrent trials are also underway in the South West and Cockburn-Kwinana in Western Australia based on the Western Australia NDIS My Way Model. Information on these trials are not included in this report. Information on the Western Australia</w:t>
      </w:r>
      <w:r w:rsidR="001E2F25">
        <w:t>n</w:t>
      </w:r>
      <w:r w:rsidRPr="00E76327">
        <w:t xml:space="preserve"> NDIS My Way Model trial sites are published separately by the West</w:t>
      </w:r>
      <w:r w:rsidR="005151A3" w:rsidRPr="00E76327">
        <w:t>ern</w:t>
      </w:r>
      <w:r w:rsidRPr="00E76327">
        <w:t xml:space="preserve"> Australian Disability Services Commission.</w:t>
      </w:r>
    </w:p>
    <w:p w14:paraId="7328FE7B" w14:textId="31D2700D" w:rsidR="00160D9D" w:rsidRPr="00A2012B" w:rsidRDefault="00160D9D" w:rsidP="00160D9D">
      <w:pPr>
        <w:rPr>
          <w:rStyle w:val="BookTitle"/>
          <w:b/>
          <w:i w:val="0"/>
          <w:iCs w:val="0"/>
          <w:smallCaps w:val="0"/>
          <w:color w:val="6B2976" w:themeColor="accent1"/>
          <w:spacing w:val="0"/>
          <w:sz w:val="32"/>
          <w:highlight w:val="lightGray"/>
        </w:rPr>
      </w:pPr>
      <w:r w:rsidRPr="00A2012B">
        <w:rPr>
          <w:rStyle w:val="BookTitle"/>
          <w:i w:val="0"/>
          <w:iCs w:val="0"/>
          <w:smallCaps w:val="0"/>
          <w:spacing w:val="0"/>
          <w:highlight w:val="lightGray"/>
        </w:rPr>
        <w:br w:type="page"/>
      </w:r>
    </w:p>
    <w:p w14:paraId="06B7B617" w14:textId="08EC851E" w:rsidR="00160D9D" w:rsidRPr="00E76327" w:rsidRDefault="00160D9D" w:rsidP="00160D9D">
      <w:pPr>
        <w:pStyle w:val="Heading2"/>
        <w:numPr>
          <w:ilvl w:val="0"/>
          <w:numId w:val="0"/>
        </w:numPr>
        <w:ind w:left="578" w:hanging="578"/>
        <w:rPr>
          <w:rStyle w:val="BookTitle"/>
          <w:i w:val="0"/>
          <w:iCs w:val="0"/>
          <w:smallCaps w:val="0"/>
          <w:spacing w:val="0"/>
        </w:rPr>
      </w:pPr>
      <w:r w:rsidRPr="00E76327">
        <w:rPr>
          <w:rStyle w:val="BookTitle"/>
          <w:i w:val="0"/>
          <w:iCs w:val="0"/>
          <w:smallCaps w:val="0"/>
          <w:spacing w:val="0"/>
        </w:rPr>
        <w:lastRenderedPageBreak/>
        <w:t>Scheme experience</w:t>
      </w:r>
      <w:bookmarkEnd w:id="1"/>
      <w:bookmarkEnd w:id="2"/>
      <w:bookmarkEnd w:id="3"/>
      <w:bookmarkEnd w:id="4"/>
      <w:r w:rsidRPr="00E76327">
        <w:rPr>
          <w:rStyle w:val="BookTitle"/>
          <w:i w:val="0"/>
          <w:iCs w:val="0"/>
          <w:smallCaps w:val="0"/>
          <w:spacing w:val="0"/>
        </w:rPr>
        <w:t xml:space="preserve"> (1 July 2013 </w:t>
      </w:r>
      <w:r w:rsidR="00A82612" w:rsidRPr="00E76327">
        <w:rPr>
          <w:rStyle w:val="BookTitle"/>
          <w:i w:val="0"/>
          <w:iCs w:val="0"/>
          <w:smallCaps w:val="0"/>
          <w:spacing w:val="0"/>
        </w:rPr>
        <w:t>to 31 March 2016</w:t>
      </w:r>
      <w:r w:rsidRPr="00E76327">
        <w:rPr>
          <w:rStyle w:val="BookTitle"/>
          <w:i w:val="0"/>
          <w:iCs w:val="0"/>
          <w:smallCaps w:val="0"/>
          <w:spacing w:val="0"/>
        </w:rPr>
        <w:t>)</w:t>
      </w:r>
    </w:p>
    <w:p w14:paraId="50D13824" w14:textId="77777777" w:rsidR="00160D9D" w:rsidRPr="00E76327" w:rsidRDefault="00160D9D" w:rsidP="00160D9D">
      <w:pPr>
        <w:pStyle w:val="Heading3"/>
        <w:numPr>
          <w:ilvl w:val="0"/>
          <w:numId w:val="0"/>
        </w:numPr>
        <w:ind w:left="720" w:hanging="720"/>
      </w:pPr>
      <w:r w:rsidRPr="00E76327">
        <w:t>Participant satisfaction</w:t>
      </w:r>
    </w:p>
    <w:p w14:paraId="0563A83B" w14:textId="74BB88EA" w:rsidR="00160D9D" w:rsidRPr="00E76327" w:rsidRDefault="00160D9D" w:rsidP="00160D9D">
      <w:pPr>
        <w:rPr>
          <w:b/>
          <w:bCs/>
          <w:i/>
          <w:iCs/>
        </w:rPr>
      </w:pPr>
      <w:r w:rsidRPr="00E76327">
        <w:t>Participant satisfaction with the Agency has remained very high in recent months. Satisfaction is reported on a scale of very poor (-2) to very good (+2), with neutral being 0. The participant sati</w:t>
      </w:r>
      <w:r w:rsidR="00464F7D" w:rsidRPr="00E76327">
        <w:t>sfaction level is currently 1.6</w:t>
      </w:r>
      <w:r w:rsidR="00A82612" w:rsidRPr="00E76327">
        <w:t>3</w:t>
      </w:r>
      <w:r w:rsidRPr="00E76327">
        <w:t xml:space="preserve">, consistent with </w:t>
      </w:r>
      <w:r w:rsidR="00464F7D" w:rsidRPr="00E76327">
        <w:t>results since June 2015</w:t>
      </w:r>
      <w:r w:rsidRPr="00E76327">
        <w:t xml:space="preserve">. </w:t>
      </w:r>
    </w:p>
    <w:p w14:paraId="5B39892B" w14:textId="77777777" w:rsidR="00160D9D" w:rsidRPr="00E76327" w:rsidRDefault="00160D9D" w:rsidP="00160D9D">
      <w:pPr>
        <w:pStyle w:val="Heading3"/>
        <w:numPr>
          <w:ilvl w:val="0"/>
          <w:numId w:val="0"/>
        </w:numPr>
        <w:ind w:left="720" w:hanging="720"/>
      </w:pPr>
      <w:r w:rsidRPr="00E76327">
        <w:t xml:space="preserve">Participants </w:t>
      </w:r>
    </w:p>
    <w:p w14:paraId="49501721" w14:textId="58A8FB7B" w:rsidR="00160D9D" w:rsidRPr="00E76327" w:rsidRDefault="00270A06" w:rsidP="00160D9D">
      <w:r w:rsidRPr="00E76327">
        <w:t>As at the 31</w:t>
      </w:r>
      <w:r w:rsidR="00A82612" w:rsidRPr="00E76327">
        <w:t xml:space="preserve"> March 2016</w:t>
      </w:r>
      <w:r w:rsidR="005C515D" w:rsidRPr="00E76327">
        <w:t xml:space="preserve"> (Table </w:t>
      </w:r>
      <w:r w:rsidR="005C515D" w:rsidRPr="00E76327">
        <w:rPr>
          <w:caps/>
          <w:noProof/>
        </w:rPr>
        <w:t>1</w:t>
      </w:r>
      <w:r w:rsidR="005C515D" w:rsidRPr="00E76327">
        <w:t>)</w:t>
      </w:r>
      <w:r w:rsidR="00160D9D" w:rsidRPr="00E76327">
        <w:t>:</w:t>
      </w:r>
    </w:p>
    <w:p w14:paraId="15C4EB60" w14:textId="5EF48E27" w:rsidR="00A82612" w:rsidRPr="00A9509C" w:rsidRDefault="00A82612" w:rsidP="00E76327">
      <w:pPr>
        <w:pStyle w:val="ListParagraph"/>
        <w:numPr>
          <w:ilvl w:val="0"/>
          <w:numId w:val="6"/>
        </w:numPr>
        <w:spacing w:before="200" w:after="0"/>
        <w:ind w:left="357" w:hanging="357"/>
        <w:contextualSpacing w:val="0"/>
      </w:pPr>
      <w:r w:rsidRPr="00A82612">
        <w:t>29,769 participants were eligible for the scheme (100% of the bilateral target)</w:t>
      </w:r>
      <w:r w:rsidR="00CD783C">
        <w:t>.</w:t>
      </w:r>
      <w:r w:rsidR="00E76327" w:rsidRPr="00E76327">
        <w:rPr>
          <w:vertAlign w:val="superscript"/>
        </w:rPr>
        <w:footnoteReference w:id="1"/>
      </w:r>
      <w:r w:rsidR="00A9509C">
        <w:t xml:space="preserve"> </w:t>
      </w:r>
      <w:r w:rsidRPr="00C825D4">
        <w:t>This is an increase of 3,894 participants since 31 December 2015.</w:t>
      </w:r>
    </w:p>
    <w:p w14:paraId="4601C806" w14:textId="77777777" w:rsidR="00A82612" w:rsidRPr="00A82612" w:rsidRDefault="00A82612" w:rsidP="00E76327">
      <w:pPr>
        <w:pStyle w:val="ListParagraph"/>
        <w:numPr>
          <w:ilvl w:val="0"/>
          <w:numId w:val="6"/>
        </w:numPr>
        <w:spacing w:before="200" w:after="0"/>
        <w:ind w:left="357" w:hanging="357"/>
        <w:contextualSpacing w:val="0"/>
      </w:pPr>
      <w:r w:rsidRPr="00A82612">
        <w:t>24,866 participants had an approved plan (83% of the bilateral target). This is an increase of 2,585 participants since 31 December 2015.</w:t>
      </w:r>
    </w:p>
    <w:p w14:paraId="10639FF4" w14:textId="62A3AEE2" w:rsidR="00900AA0" w:rsidRDefault="00160D9D" w:rsidP="00270A06">
      <w:pPr>
        <w:pStyle w:val="ListParagraph"/>
        <w:numPr>
          <w:ilvl w:val="0"/>
          <w:numId w:val="6"/>
        </w:numPr>
        <w:spacing w:before="200" w:after="0"/>
        <w:ind w:left="357" w:hanging="357"/>
        <w:contextualSpacing w:val="0"/>
      </w:pPr>
      <w:r w:rsidRPr="00E76327">
        <w:t xml:space="preserve">The number of participants relative to the bilateral agreements is </w:t>
      </w:r>
      <w:r w:rsidR="00900AA0" w:rsidRPr="00E76327">
        <w:t>lower compared wit</w:t>
      </w:r>
      <w:r w:rsidR="004A586A" w:rsidRPr="00E76327">
        <w:t xml:space="preserve">h the </w:t>
      </w:r>
      <w:r w:rsidR="00A82612" w:rsidRPr="00E76327">
        <w:t xml:space="preserve">December </w:t>
      </w:r>
      <w:r w:rsidR="004A586A" w:rsidRPr="00E76327">
        <w:t>2015 results (</w:t>
      </w:r>
      <w:r w:rsidR="00A82612" w:rsidRPr="00E76327">
        <w:t>100%</w:t>
      </w:r>
      <w:r w:rsidR="001E2F25">
        <w:t xml:space="preserve">, compared with </w:t>
      </w:r>
      <w:r w:rsidR="004A586A" w:rsidRPr="00E76327">
        <w:t>104</w:t>
      </w:r>
      <w:r w:rsidR="00900AA0" w:rsidRPr="00E76327">
        <w:t>%</w:t>
      </w:r>
      <w:r w:rsidR="00A82612" w:rsidRPr="00E76327">
        <w:t>)</w:t>
      </w:r>
      <w:r w:rsidR="00900AA0" w:rsidRPr="00E76327">
        <w:t xml:space="preserve"> and the number of participants with approved plans relative to the bilateral agreements has also decreased compare</w:t>
      </w:r>
      <w:r w:rsidR="004A586A" w:rsidRPr="00E76327">
        <w:t xml:space="preserve">d with the </w:t>
      </w:r>
      <w:r w:rsidR="00A82612" w:rsidRPr="00E76327">
        <w:t xml:space="preserve">December 2015 </w:t>
      </w:r>
      <w:r w:rsidR="004A586A" w:rsidRPr="00E76327">
        <w:t>results (</w:t>
      </w:r>
      <w:r w:rsidR="00A82612" w:rsidRPr="00E76327">
        <w:t>83%</w:t>
      </w:r>
      <w:r w:rsidR="00F24028">
        <w:t>, compared</w:t>
      </w:r>
      <w:r w:rsidR="00A82612" w:rsidRPr="00E76327">
        <w:t xml:space="preserve"> with </w:t>
      </w:r>
      <w:r w:rsidR="004A586A" w:rsidRPr="00E76327">
        <w:t>89</w:t>
      </w:r>
      <w:r w:rsidR="00900AA0" w:rsidRPr="00E76327">
        <w:t>%</w:t>
      </w:r>
      <w:r w:rsidR="00A82612" w:rsidRPr="00E76327">
        <w:t>)</w:t>
      </w:r>
      <w:r w:rsidR="00900AA0" w:rsidRPr="00E76327">
        <w:t xml:space="preserve">. This is </w:t>
      </w:r>
      <w:r w:rsidR="00E76409" w:rsidRPr="00E76327">
        <w:t xml:space="preserve">largely </w:t>
      </w:r>
      <w:r w:rsidR="00900AA0" w:rsidRPr="00E76327">
        <w:t xml:space="preserve">due to the </w:t>
      </w:r>
      <w:r w:rsidR="00E76409" w:rsidRPr="00E76327">
        <w:t>reduction in the number of plans approved in the South Australian trial site</w:t>
      </w:r>
      <w:r w:rsidR="00A82612" w:rsidRPr="00E76327">
        <w:t xml:space="preserve">, along with </w:t>
      </w:r>
      <w:r w:rsidR="005D2FF4" w:rsidRPr="00926C37">
        <w:t>the January 2016 holiday season</w:t>
      </w:r>
      <w:r w:rsidR="0062325D">
        <w:t>,</w:t>
      </w:r>
      <w:r w:rsidR="00FF435E">
        <w:t xml:space="preserve"> and the transition </w:t>
      </w:r>
      <w:r w:rsidR="0062325D">
        <w:t xml:space="preserve">to a </w:t>
      </w:r>
      <w:r w:rsidR="00FF435E">
        <w:t>new IT system</w:t>
      </w:r>
      <w:r w:rsidR="00A82612" w:rsidRPr="00E76327">
        <w:t>.</w:t>
      </w:r>
    </w:p>
    <w:p w14:paraId="5875B040" w14:textId="6A8CDB5B" w:rsidR="00677E48" w:rsidRPr="00E76327" w:rsidRDefault="00677E48" w:rsidP="00270A06">
      <w:pPr>
        <w:pStyle w:val="ListParagraph"/>
        <w:numPr>
          <w:ilvl w:val="0"/>
          <w:numId w:val="6"/>
        </w:numPr>
        <w:spacing w:before="200" w:after="0"/>
        <w:ind w:left="357" w:hanging="357"/>
        <w:contextualSpacing w:val="0"/>
      </w:pPr>
      <w:r>
        <w:t xml:space="preserve">In the South Australian trial site, the bilateral number of 5,085 was reached on 31 August 2015 and has since been revised to 8,500 effective from February 2016. </w:t>
      </w:r>
      <w:r w:rsidR="00173C45">
        <w:t>T</w:t>
      </w:r>
      <w:r>
        <w:t>he bilateral target</w:t>
      </w:r>
      <w:r w:rsidR="00173C45">
        <w:t>s</w:t>
      </w:r>
      <w:r>
        <w:t xml:space="preserve"> for the Tasmanian </w:t>
      </w:r>
      <w:r w:rsidR="00173C45">
        <w:t xml:space="preserve">and Barwon </w:t>
      </w:r>
      <w:r>
        <w:t>trial site</w:t>
      </w:r>
      <w:r w:rsidR="00173C45">
        <w:t>s</w:t>
      </w:r>
      <w:r>
        <w:t xml:space="preserve"> ha</w:t>
      </w:r>
      <w:r w:rsidR="00173C45">
        <w:t>ve</w:t>
      </w:r>
      <w:r>
        <w:t xml:space="preserve"> </w:t>
      </w:r>
      <w:r w:rsidR="00173C45">
        <w:t xml:space="preserve">also </w:t>
      </w:r>
      <w:r>
        <w:t>been revised to 1,125</w:t>
      </w:r>
      <w:r w:rsidR="00173C45">
        <w:t xml:space="preserve"> and 5,289 respectively</w:t>
      </w:r>
      <w:r>
        <w:t>.</w:t>
      </w:r>
      <w:r w:rsidR="00CD783C" w:rsidRPr="00CD783C">
        <w:rPr>
          <w:vertAlign w:val="superscript"/>
        </w:rPr>
        <w:t xml:space="preserve"> </w:t>
      </w:r>
      <w:r w:rsidR="00CD783C" w:rsidRPr="00E76327">
        <w:rPr>
          <w:vertAlign w:val="superscript"/>
        </w:rPr>
        <w:footnoteReference w:id="2"/>
      </w:r>
    </w:p>
    <w:p w14:paraId="58FC18F3" w14:textId="77777777" w:rsidR="00160D9D" w:rsidRPr="00E76327" w:rsidRDefault="00160D9D" w:rsidP="00160D9D">
      <w:pPr>
        <w:pStyle w:val="ListParagraph"/>
        <w:numPr>
          <w:ilvl w:val="0"/>
          <w:numId w:val="6"/>
        </w:numPr>
        <w:spacing w:before="200" w:after="0"/>
        <w:ind w:left="357" w:hanging="357"/>
        <w:contextualSpacing w:val="0"/>
      </w:pPr>
      <w:r w:rsidRPr="00E76327">
        <w:t xml:space="preserve">The </w:t>
      </w:r>
      <w:r w:rsidR="0093791A" w:rsidRPr="00E76327">
        <w:t>actuarial baseline model used a different methodology to determine the likely number of participants in each trial site. This analysis resulted in different estimates to the bilateral agreements. The number of participants in the scheme to date compared with the actuarial baseline model is included in Appendix A. As the trial sites were resourced in line with the bilateral agreements, the estimated number of participants in the actuarial model is difficult to achieve</w:t>
      </w:r>
      <w:r w:rsidRPr="00E76327">
        <w:t>.</w:t>
      </w:r>
    </w:p>
    <w:p w14:paraId="5A55FCCA" w14:textId="77777777" w:rsidR="00F60EB4" w:rsidRPr="00A2012B" w:rsidRDefault="00F60EB4">
      <w:pPr>
        <w:rPr>
          <w:b/>
          <w:bCs/>
          <w:sz w:val="20"/>
          <w:szCs w:val="20"/>
          <w:highlight w:val="lightGray"/>
        </w:rPr>
      </w:pPr>
      <w:bookmarkStart w:id="5" w:name="_Ref401844915"/>
    </w:p>
    <w:p w14:paraId="2FCFBB68" w14:textId="77777777" w:rsidR="005C515D" w:rsidRPr="00A2012B" w:rsidRDefault="005C515D">
      <w:pPr>
        <w:rPr>
          <w:b/>
          <w:bCs/>
          <w:sz w:val="20"/>
          <w:szCs w:val="20"/>
          <w:highlight w:val="lightGray"/>
        </w:rPr>
        <w:sectPr w:rsidR="005C515D" w:rsidRPr="00A2012B" w:rsidSect="00583806">
          <w:footerReference w:type="default" r:id="rId8"/>
          <w:headerReference w:type="first" r:id="rId9"/>
          <w:pgSz w:w="11906" w:h="16838"/>
          <w:pgMar w:top="1701" w:right="1304" w:bottom="794" w:left="1304" w:header="851" w:footer="851" w:gutter="0"/>
          <w:cols w:space="708"/>
          <w:titlePg/>
          <w:docGrid w:linePitch="360"/>
        </w:sectPr>
      </w:pPr>
    </w:p>
    <w:p w14:paraId="4F555F72" w14:textId="77777777" w:rsidR="00F60EB4" w:rsidRPr="00A2012B" w:rsidRDefault="00F60EB4">
      <w:pPr>
        <w:rPr>
          <w:b/>
          <w:bCs/>
          <w:sz w:val="20"/>
          <w:szCs w:val="20"/>
          <w:highlight w:val="lightGray"/>
        </w:rPr>
      </w:pPr>
    </w:p>
    <w:p w14:paraId="193B6A03" w14:textId="67E90231" w:rsidR="00160D9D" w:rsidRPr="00E76327" w:rsidRDefault="00160D9D" w:rsidP="00160D9D">
      <w:pPr>
        <w:pStyle w:val="Caption"/>
        <w:keepNext/>
        <w:spacing w:before="240"/>
        <w:rPr>
          <w:caps w:val="0"/>
          <w:sz w:val="20"/>
          <w:szCs w:val="20"/>
        </w:rPr>
      </w:pPr>
      <w:bookmarkStart w:id="6" w:name="_Ref435170102"/>
      <w:r w:rsidRPr="00E76327">
        <w:rPr>
          <w:caps w:val="0"/>
          <w:sz w:val="20"/>
          <w:szCs w:val="20"/>
        </w:rPr>
        <w:t xml:space="preserve">Table </w:t>
      </w:r>
      <w:r w:rsidR="005C515D" w:rsidRPr="00E76327">
        <w:rPr>
          <w:caps w:val="0"/>
          <w:noProof/>
          <w:sz w:val="20"/>
          <w:szCs w:val="20"/>
        </w:rPr>
        <w:t>1</w:t>
      </w:r>
      <w:bookmarkEnd w:id="5"/>
      <w:bookmarkEnd w:id="6"/>
      <w:r w:rsidRPr="00E76327">
        <w:rPr>
          <w:caps w:val="0"/>
          <w:sz w:val="20"/>
          <w:szCs w:val="20"/>
        </w:rPr>
        <w:t xml:space="preserve"> Eligible participants and participants with approved plans</w:t>
      </w:r>
    </w:p>
    <w:tbl>
      <w:tblPr>
        <w:tblW w:w="14634" w:type="dxa"/>
        <w:tblInd w:w="108" w:type="dxa"/>
        <w:tblLayout w:type="fixed"/>
        <w:tblLook w:val="04A0" w:firstRow="1" w:lastRow="0" w:firstColumn="1" w:lastColumn="0" w:noHBand="0" w:noVBand="1"/>
      </w:tblPr>
      <w:tblGrid>
        <w:gridCol w:w="4820"/>
        <w:gridCol w:w="1071"/>
        <w:gridCol w:w="1071"/>
        <w:gridCol w:w="1071"/>
        <w:gridCol w:w="1071"/>
        <w:gridCol w:w="1071"/>
        <w:gridCol w:w="1071"/>
        <w:gridCol w:w="1071"/>
        <w:gridCol w:w="1071"/>
        <w:gridCol w:w="1246"/>
      </w:tblGrid>
      <w:tr w:rsidR="001F269A" w:rsidRPr="00A2012B" w14:paraId="6066C7AD" w14:textId="77777777" w:rsidTr="00E76327">
        <w:trPr>
          <w:trHeight w:val="282"/>
        </w:trPr>
        <w:tc>
          <w:tcPr>
            <w:tcW w:w="4820" w:type="dxa"/>
            <w:tcBorders>
              <w:top w:val="single" w:sz="4" w:space="0" w:color="auto"/>
              <w:left w:val="nil"/>
              <w:bottom w:val="single" w:sz="4" w:space="0" w:color="auto"/>
              <w:right w:val="nil"/>
            </w:tcBorders>
            <w:shd w:val="clear" w:color="000000" w:fill="B1A0C7"/>
            <w:noWrap/>
            <w:vAlign w:val="center"/>
            <w:hideMark/>
          </w:tcPr>
          <w:p w14:paraId="175EC784" w14:textId="4D613D02" w:rsidR="00AD0F32" w:rsidRPr="00E76327" w:rsidRDefault="00AD0F32" w:rsidP="00A8261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1 July 2013 to 3</w:t>
            </w:r>
            <w:r w:rsidR="009B69FE" w:rsidRPr="00E76327">
              <w:rPr>
                <w:rFonts w:eastAsia="Times New Roman" w:cs="Arial"/>
                <w:b/>
                <w:bCs/>
                <w:color w:val="000000"/>
                <w:sz w:val="20"/>
                <w:szCs w:val="20"/>
                <w:lang w:eastAsia="en-AU"/>
              </w:rPr>
              <w:t xml:space="preserve">1 </w:t>
            </w:r>
            <w:r w:rsidR="00A82612" w:rsidRPr="00E76327">
              <w:rPr>
                <w:rFonts w:eastAsia="Times New Roman" w:cs="Arial"/>
                <w:b/>
                <w:bCs/>
                <w:color w:val="000000"/>
                <w:sz w:val="20"/>
                <w:szCs w:val="20"/>
                <w:lang w:eastAsia="en-AU"/>
              </w:rPr>
              <w:t>March 2016</w:t>
            </w:r>
          </w:p>
        </w:tc>
        <w:tc>
          <w:tcPr>
            <w:tcW w:w="1071" w:type="dxa"/>
            <w:tcBorders>
              <w:top w:val="single" w:sz="4" w:space="0" w:color="auto"/>
              <w:left w:val="nil"/>
              <w:bottom w:val="single" w:sz="4" w:space="0" w:color="auto"/>
              <w:right w:val="nil"/>
            </w:tcBorders>
            <w:shd w:val="clear" w:color="000000" w:fill="B1A0C7"/>
            <w:vAlign w:val="center"/>
          </w:tcPr>
          <w:p w14:paraId="2A18BEF0"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NSW</w:t>
            </w:r>
          </w:p>
          <w:p w14:paraId="1261C892"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16"/>
                <w:szCs w:val="20"/>
                <w:lang w:eastAsia="en-AU"/>
              </w:rPr>
              <w:t>(Hunter)</w:t>
            </w:r>
          </w:p>
        </w:tc>
        <w:tc>
          <w:tcPr>
            <w:tcW w:w="1071" w:type="dxa"/>
            <w:tcBorders>
              <w:top w:val="single" w:sz="4" w:space="0" w:color="auto"/>
              <w:left w:val="nil"/>
              <w:bottom w:val="single" w:sz="4" w:space="0" w:color="auto"/>
              <w:right w:val="nil"/>
            </w:tcBorders>
            <w:shd w:val="clear" w:color="000000" w:fill="B1A0C7"/>
            <w:noWrap/>
            <w:vAlign w:val="center"/>
            <w:hideMark/>
          </w:tcPr>
          <w:p w14:paraId="4C58322D"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NSW</w:t>
            </w:r>
          </w:p>
          <w:p w14:paraId="6E89B778" w14:textId="77777777" w:rsidR="00AD0F32" w:rsidRPr="00E76327" w:rsidRDefault="00AD0F32" w:rsidP="001C0F30">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16"/>
                <w:szCs w:val="20"/>
                <w:lang w:eastAsia="en-AU"/>
              </w:rPr>
              <w:t>(N</w:t>
            </w:r>
            <w:r w:rsidR="001C0F30" w:rsidRPr="00E76327">
              <w:rPr>
                <w:rFonts w:eastAsia="Times New Roman" w:cs="Arial"/>
                <w:b/>
                <w:bCs/>
                <w:color w:val="000000"/>
                <w:sz w:val="16"/>
                <w:szCs w:val="20"/>
                <w:lang w:eastAsia="en-AU"/>
              </w:rPr>
              <w:t xml:space="preserve">epean </w:t>
            </w:r>
            <w:r w:rsidRPr="00E76327">
              <w:rPr>
                <w:rFonts w:eastAsia="Times New Roman" w:cs="Arial"/>
                <w:b/>
                <w:bCs/>
                <w:color w:val="000000"/>
                <w:sz w:val="16"/>
                <w:szCs w:val="20"/>
                <w:lang w:eastAsia="en-AU"/>
              </w:rPr>
              <w:t>B</w:t>
            </w:r>
            <w:r w:rsidR="001C0F30" w:rsidRPr="00E76327">
              <w:rPr>
                <w:rFonts w:eastAsia="Times New Roman" w:cs="Arial"/>
                <w:b/>
                <w:bCs/>
                <w:color w:val="000000"/>
                <w:sz w:val="16"/>
                <w:szCs w:val="20"/>
                <w:lang w:eastAsia="en-AU"/>
              </w:rPr>
              <w:t xml:space="preserve">lue </w:t>
            </w:r>
            <w:r w:rsidRPr="00E76327">
              <w:rPr>
                <w:rFonts w:eastAsia="Times New Roman" w:cs="Arial"/>
                <w:b/>
                <w:bCs/>
                <w:color w:val="000000"/>
                <w:sz w:val="16"/>
                <w:szCs w:val="20"/>
                <w:lang w:eastAsia="en-AU"/>
              </w:rPr>
              <w:t>M</w:t>
            </w:r>
            <w:r w:rsidR="001C0F30" w:rsidRPr="00E76327">
              <w:rPr>
                <w:rFonts w:eastAsia="Times New Roman" w:cs="Arial"/>
                <w:b/>
                <w:bCs/>
                <w:color w:val="000000"/>
                <w:sz w:val="16"/>
                <w:szCs w:val="20"/>
                <w:lang w:eastAsia="en-AU"/>
              </w:rPr>
              <w:t>ountains</w:t>
            </w:r>
            <w:r w:rsidRPr="00E76327">
              <w:rPr>
                <w:rFonts w:eastAsia="Times New Roman" w:cs="Arial"/>
                <w:b/>
                <w:bCs/>
                <w:color w:val="000000"/>
                <w:sz w:val="16"/>
                <w:szCs w:val="20"/>
                <w:lang w:eastAsia="en-AU"/>
              </w:rPr>
              <w:t>)</w:t>
            </w:r>
          </w:p>
        </w:tc>
        <w:tc>
          <w:tcPr>
            <w:tcW w:w="1071" w:type="dxa"/>
            <w:tcBorders>
              <w:top w:val="single" w:sz="4" w:space="0" w:color="auto"/>
              <w:left w:val="nil"/>
              <w:bottom w:val="single" w:sz="4" w:space="0" w:color="auto"/>
              <w:right w:val="nil"/>
            </w:tcBorders>
            <w:shd w:val="clear" w:color="000000" w:fill="B1A0C7"/>
            <w:noWrap/>
            <w:vAlign w:val="center"/>
            <w:hideMark/>
          </w:tcPr>
          <w:p w14:paraId="34506F9B"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SA</w:t>
            </w:r>
          </w:p>
        </w:tc>
        <w:tc>
          <w:tcPr>
            <w:tcW w:w="1071" w:type="dxa"/>
            <w:tcBorders>
              <w:top w:val="single" w:sz="4" w:space="0" w:color="auto"/>
              <w:left w:val="nil"/>
              <w:bottom w:val="single" w:sz="4" w:space="0" w:color="auto"/>
              <w:right w:val="nil"/>
            </w:tcBorders>
            <w:shd w:val="clear" w:color="000000" w:fill="B1A0C7"/>
            <w:noWrap/>
            <w:vAlign w:val="center"/>
            <w:hideMark/>
          </w:tcPr>
          <w:p w14:paraId="0CD64E46"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TAS</w:t>
            </w:r>
          </w:p>
        </w:tc>
        <w:tc>
          <w:tcPr>
            <w:tcW w:w="1071" w:type="dxa"/>
            <w:tcBorders>
              <w:top w:val="single" w:sz="4" w:space="0" w:color="auto"/>
              <w:left w:val="nil"/>
              <w:bottom w:val="single" w:sz="4" w:space="0" w:color="auto"/>
              <w:right w:val="nil"/>
            </w:tcBorders>
            <w:shd w:val="clear" w:color="000000" w:fill="B1A0C7"/>
            <w:noWrap/>
            <w:vAlign w:val="center"/>
            <w:hideMark/>
          </w:tcPr>
          <w:p w14:paraId="1485996A"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VIC</w:t>
            </w:r>
          </w:p>
        </w:tc>
        <w:tc>
          <w:tcPr>
            <w:tcW w:w="1071" w:type="dxa"/>
            <w:tcBorders>
              <w:top w:val="single" w:sz="4" w:space="0" w:color="auto"/>
              <w:left w:val="nil"/>
              <w:bottom w:val="single" w:sz="4" w:space="0" w:color="auto"/>
              <w:right w:val="nil"/>
            </w:tcBorders>
            <w:shd w:val="clear" w:color="000000" w:fill="B1A0C7"/>
            <w:noWrap/>
            <w:vAlign w:val="center"/>
            <w:hideMark/>
          </w:tcPr>
          <w:p w14:paraId="645B4402"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ACT</w:t>
            </w:r>
          </w:p>
        </w:tc>
        <w:tc>
          <w:tcPr>
            <w:tcW w:w="1071" w:type="dxa"/>
            <w:tcBorders>
              <w:top w:val="single" w:sz="4" w:space="0" w:color="auto"/>
              <w:left w:val="nil"/>
              <w:bottom w:val="single" w:sz="4" w:space="0" w:color="auto"/>
              <w:right w:val="nil"/>
            </w:tcBorders>
            <w:shd w:val="clear" w:color="000000" w:fill="B1A0C7"/>
            <w:noWrap/>
            <w:vAlign w:val="center"/>
            <w:hideMark/>
          </w:tcPr>
          <w:p w14:paraId="1C4CEC07"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NT</w:t>
            </w:r>
          </w:p>
        </w:tc>
        <w:tc>
          <w:tcPr>
            <w:tcW w:w="1071" w:type="dxa"/>
            <w:tcBorders>
              <w:top w:val="single" w:sz="4" w:space="0" w:color="auto"/>
              <w:left w:val="nil"/>
              <w:bottom w:val="single" w:sz="4" w:space="0" w:color="auto"/>
              <w:right w:val="nil"/>
            </w:tcBorders>
            <w:shd w:val="clear" w:color="000000" w:fill="B1A0C7"/>
            <w:noWrap/>
            <w:vAlign w:val="center"/>
            <w:hideMark/>
          </w:tcPr>
          <w:p w14:paraId="4E078037"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WA</w:t>
            </w:r>
          </w:p>
        </w:tc>
        <w:tc>
          <w:tcPr>
            <w:tcW w:w="1246" w:type="dxa"/>
            <w:tcBorders>
              <w:top w:val="single" w:sz="4" w:space="0" w:color="auto"/>
              <w:left w:val="nil"/>
              <w:bottom w:val="single" w:sz="4" w:space="0" w:color="auto"/>
              <w:right w:val="nil"/>
            </w:tcBorders>
            <w:shd w:val="clear" w:color="000000" w:fill="B1A0C7"/>
            <w:noWrap/>
            <w:vAlign w:val="center"/>
            <w:hideMark/>
          </w:tcPr>
          <w:p w14:paraId="10CE9640" w14:textId="77777777" w:rsidR="00AD0F32" w:rsidRPr="00E76327" w:rsidRDefault="00AD0F32" w:rsidP="00AD0F3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Total</w:t>
            </w:r>
          </w:p>
        </w:tc>
      </w:tr>
      <w:tr w:rsidR="00A82612" w:rsidRPr="00A2012B" w14:paraId="08983FD5" w14:textId="77777777" w:rsidTr="00E76327">
        <w:trPr>
          <w:trHeight w:val="717"/>
        </w:trPr>
        <w:tc>
          <w:tcPr>
            <w:tcW w:w="4820" w:type="dxa"/>
            <w:tcBorders>
              <w:top w:val="nil"/>
              <w:left w:val="nil"/>
              <w:bottom w:val="nil"/>
              <w:right w:val="nil"/>
            </w:tcBorders>
            <w:shd w:val="clear" w:color="000000" w:fill="F2F2F2"/>
            <w:noWrap/>
            <w:vAlign w:val="center"/>
            <w:hideMark/>
          </w:tcPr>
          <w:p w14:paraId="62071B0D" w14:textId="77777777" w:rsidR="00A82612" w:rsidRPr="00E76327" w:rsidRDefault="00A82612" w:rsidP="00A82612">
            <w:pPr>
              <w:spacing w:after="0" w:line="240" w:lineRule="auto"/>
              <w:rPr>
                <w:rFonts w:eastAsia="Times New Roman" w:cs="Arial"/>
                <w:color w:val="000000"/>
                <w:sz w:val="20"/>
                <w:szCs w:val="20"/>
                <w:lang w:eastAsia="en-AU"/>
              </w:rPr>
            </w:pPr>
            <w:r w:rsidRPr="00E76327">
              <w:rPr>
                <w:rFonts w:eastAsia="Times New Roman" w:cs="Arial"/>
                <w:color w:val="000000"/>
                <w:sz w:val="20"/>
                <w:szCs w:val="20"/>
                <w:lang w:eastAsia="en-AU"/>
              </w:rPr>
              <w:t>Number of expected participants (bilateral agreements)</w:t>
            </w:r>
            <w:r w:rsidRPr="00E76327">
              <w:rPr>
                <w:rStyle w:val="FootnoteReference"/>
                <w:caps/>
                <w:sz w:val="20"/>
                <w:szCs w:val="20"/>
              </w:rPr>
              <w:t xml:space="preserve"> </w:t>
            </w:r>
            <w:r w:rsidRPr="00E76327">
              <w:rPr>
                <w:rStyle w:val="FootnoteReference"/>
                <w:caps/>
                <w:sz w:val="20"/>
                <w:szCs w:val="20"/>
              </w:rPr>
              <w:footnoteReference w:id="3"/>
            </w:r>
            <w:r w:rsidRPr="00E76327">
              <w:rPr>
                <w:rStyle w:val="FootnoteReference"/>
                <w:caps/>
                <w:sz w:val="20"/>
                <w:szCs w:val="20"/>
              </w:rPr>
              <w:t>,</w:t>
            </w:r>
            <w:r w:rsidRPr="00E76327">
              <w:rPr>
                <w:rStyle w:val="FootnoteReference"/>
                <w:caps/>
                <w:sz w:val="20"/>
                <w:szCs w:val="20"/>
              </w:rPr>
              <w:footnoteReference w:id="4"/>
            </w:r>
          </w:p>
        </w:tc>
        <w:tc>
          <w:tcPr>
            <w:tcW w:w="1071" w:type="dxa"/>
            <w:tcBorders>
              <w:top w:val="nil"/>
              <w:left w:val="nil"/>
              <w:bottom w:val="nil"/>
              <w:right w:val="nil"/>
            </w:tcBorders>
            <w:shd w:val="clear" w:color="000000" w:fill="F2F2F2"/>
            <w:vAlign w:val="center"/>
          </w:tcPr>
          <w:p w14:paraId="45A5AE72" w14:textId="266E5590" w:rsidR="00A82612" w:rsidRPr="00E76327" w:rsidRDefault="00A9509C" w:rsidP="00A82612">
            <w:pPr>
              <w:jc w:val="center"/>
              <w:rPr>
                <w:rFonts w:eastAsia="Times New Roman" w:cs="Arial"/>
                <w:color w:val="000000"/>
                <w:sz w:val="20"/>
                <w:szCs w:val="20"/>
                <w:lang w:eastAsia="en-AU"/>
              </w:rPr>
            </w:pPr>
            <w:r w:rsidRPr="00E76327">
              <w:rPr>
                <w:rFonts w:eastAsia="Times New Roman" w:cs="Arial"/>
                <w:color w:val="000000"/>
                <w:sz w:val="20"/>
                <w:szCs w:val="20"/>
                <w:lang w:eastAsia="en-AU"/>
              </w:rPr>
              <w:t>8,841</w:t>
            </w:r>
          </w:p>
        </w:tc>
        <w:tc>
          <w:tcPr>
            <w:tcW w:w="1071" w:type="dxa"/>
            <w:tcBorders>
              <w:top w:val="nil"/>
              <w:left w:val="nil"/>
              <w:bottom w:val="nil"/>
              <w:right w:val="nil"/>
            </w:tcBorders>
            <w:shd w:val="clear" w:color="000000" w:fill="F2F2F2"/>
            <w:noWrap/>
            <w:vAlign w:val="center"/>
          </w:tcPr>
          <w:p w14:paraId="00221466" w14:textId="71D53500" w:rsidR="00A82612" w:rsidRPr="00E76327" w:rsidRDefault="00A9509C" w:rsidP="00A82612">
            <w:pPr>
              <w:jc w:val="center"/>
              <w:rPr>
                <w:rFonts w:eastAsia="Times New Roman" w:cs="Arial"/>
                <w:color w:val="000000"/>
                <w:sz w:val="20"/>
                <w:szCs w:val="20"/>
                <w:lang w:eastAsia="en-AU"/>
              </w:rPr>
            </w:pPr>
            <w:r w:rsidRPr="00E76327">
              <w:rPr>
                <w:rFonts w:eastAsia="Times New Roman" w:cs="Arial"/>
                <w:color w:val="000000"/>
                <w:sz w:val="20"/>
                <w:szCs w:val="20"/>
                <w:lang w:eastAsia="en-AU"/>
              </w:rPr>
              <w:t>1,400</w:t>
            </w:r>
          </w:p>
        </w:tc>
        <w:tc>
          <w:tcPr>
            <w:tcW w:w="1071" w:type="dxa"/>
            <w:tcBorders>
              <w:top w:val="nil"/>
              <w:left w:val="nil"/>
              <w:bottom w:val="nil"/>
              <w:right w:val="nil"/>
            </w:tcBorders>
            <w:shd w:val="clear" w:color="000000" w:fill="F2F2F2"/>
            <w:noWrap/>
            <w:vAlign w:val="center"/>
          </w:tcPr>
          <w:p w14:paraId="36753D62" w14:textId="1B5F29FA" w:rsidR="00A82612" w:rsidRPr="00E76327" w:rsidRDefault="00A82612" w:rsidP="00A82612">
            <w:pPr>
              <w:jc w:val="center"/>
              <w:rPr>
                <w:rFonts w:eastAsia="Times New Roman" w:cs="Arial"/>
                <w:color w:val="000000"/>
                <w:sz w:val="20"/>
                <w:szCs w:val="20"/>
                <w:lang w:eastAsia="en-AU"/>
              </w:rPr>
            </w:pPr>
            <w:r w:rsidRPr="00E76327">
              <w:rPr>
                <w:rFonts w:cs="Arial"/>
                <w:color w:val="000000"/>
                <w:sz w:val="20"/>
                <w:szCs w:val="20"/>
              </w:rPr>
              <w:t>6,451</w:t>
            </w:r>
          </w:p>
        </w:tc>
        <w:tc>
          <w:tcPr>
            <w:tcW w:w="1071" w:type="dxa"/>
            <w:tcBorders>
              <w:top w:val="nil"/>
              <w:left w:val="nil"/>
              <w:bottom w:val="nil"/>
              <w:right w:val="nil"/>
            </w:tcBorders>
            <w:shd w:val="clear" w:color="000000" w:fill="F2F2F2"/>
            <w:noWrap/>
            <w:vAlign w:val="center"/>
          </w:tcPr>
          <w:p w14:paraId="4AC0B883" w14:textId="2CDA21BB" w:rsidR="00A82612" w:rsidRPr="00E76327" w:rsidRDefault="00A82612" w:rsidP="00A82612">
            <w:pPr>
              <w:jc w:val="center"/>
              <w:rPr>
                <w:rFonts w:eastAsia="Times New Roman" w:cs="Arial"/>
                <w:color w:val="000000"/>
                <w:sz w:val="20"/>
                <w:szCs w:val="20"/>
                <w:lang w:eastAsia="en-AU"/>
              </w:rPr>
            </w:pPr>
            <w:r w:rsidRPr="00E76327">
              <w:rPr>
                <w:rFonts w:cs="Arial"/>
                <w:color w:val="000000"/>
                <w:sz w:val="20"/>
                <w:szCs w:val="20"/>
              </w:rPr>
              <w:t>1,031</w:t>
            </w:r>
          </w:p>
        </w:tc>
        <w:tc>
          <w:tcPr>
            <w:tcW w:w="1071" w:type="dxa"/>
            <w:tcBorders>
              <w:top w:val="nil"/>
              <w:left w:val="nil"/>
              <w:bottom w:val="nil"/>
              <w:right w:val="nil"/>
            </w:tcBorders>
            <w:shd w:val="clear" w:color="000000" w:fill="F2F2F2"/>
            <w:noWrap/>
            <w:vAlign w:val="center"/>
          </w:tcPr>
          <w:p w14:paraId="5E734EA2" w14:textId="474CC878" w:rsidR="00A82612" w:rsidRPr="00E76327" w:rsidRDefault="00A82612" w:rsidP="00A82612">
            <w:pPr>
              <w:jc w:val="center"/>
              <w:rPr>
                <w:rFonts w:eastAsia="Times New Roman" w:cs="Arial"/>
                <w:color w:val="000000"/>
                <w:sz w:val="20"/>
                <w:szCs w:val="20"/>
                <w:lang w:eastAsia="en-AU"/>
              </w:rPr>
            </w:pPr>
            <w:r w:rsidRPr="00E76327">
              <w:rPr>
                <w:rFonts w:cs="Arial"/>
                <w:color w:val="000000"/>
                <w:sz w:val="20"/>
                <w:szCs w:val="20"/>
              </w:rPr>
              <w:t>4,955</w:t>
            </w:r>
          </w:p>
        </w:tc>
        <w:tc>
          <w:tcPr>
            <w:tcW w:w="1071" w:type="dxa"/>
            <w:tcBorders>
              <w:top w:val="nil"/>
              <w:left w:val="nil"/>
              <w:bottom w:val="nil"/>
              <w:right w:val="nil"/>
            </w:tcBorders>
            <w:shd w:val="clear" w:color="000000" w:fill="F2F2F2"/>
            <w:noWrap/>
            <w:vAlign w:val="center"/>
          </w:tcPr>
          <w:p w14:paraId="089C7CEA" w14:textId="67B36CA6" w:rsidR="00A82612" w:rsidRPr="00E76327" w:rsidRDefault="00A82612" w:rsidP="00A82612">
            <w:pPr>
              <w:jc w:val="center"/>
              <w:rPr>
                <w:rFonts w:eastAsia="Times New Roman" w:cs="Arial"/>
                <w:color w:val="000000"/>
                <w:sz w:val="20"/>
                <w:szCs w:val="20"/>
                <w:lang w:eastAsia="en-AU"/>
              </w:rPr>
            </w:pPr>
            <w:r w:rsidRPr="00E76327">
              <w:rPr>
                <w:rFonts w:cs="Arial"/>
                <w:color w:val="000000"/>
                <w:sz w:val="20"/>
                <w:szCs w:val="20"/>
              </w:rPr>
              <w:t>3,651</w:t>
            </w:r>
          </w:p>
        </w:tc>
        <w:tc>
          <w:tcPr>
            <w:tcW w:w="1071" w:type="dxa"/>
            <w:tcBorders>
              <w:top w:val="nil"/>
              <w:left w:val="nil"/>
              <w:bottom w:val="nil"/>
              <w:right w:val="nil"/>
            </w:tcBorders>
            <w:shd w:val="clear" w:color="000000" w:fill="F2F2F2"/>
            <w:noWrap/>
            <w:vAlign w:val="center"/>
          </w:tcPr>
          <w:p w14:paraId="7670CB3C" w14:textId="695BF9F6" w:rsidR="00A82612" w:rsidRPr="00E76327" w:rsidRDefault="00A82612" w:rsidP="00A82612">
            <w:pPr>
              <w:jc w:val="center"/>
              <w:rPr>
                <w:rFonts w:eastAsia="Times New Roman" w:cs="Arial"/>
                <w:color w:val="000000"/>
                <w:sz w:val="20"/>
                <w:szCs w:val="20"/>
                <w:lang w:eastAsia="en-AU"/>
              </w:rPr>
            </w:pPr>
            <w:r w:rsidRPr="00E76327">
              <w:rPr>
                <w:rFonts w:cs="Arial"/>
                <w:color w:val="000000"/>
                <w:sz w:val="20"/>
                <w:szCs w:val="20"/>
              </w:rPr>
              <w:t>154</w:t>
            </w:r>
          </w:p>
        </w:tc>
        <w:tc>
          <w:tcPr>
            <w:tcW w:w="1071" w:type="dxa"/>
            <w:tcBorders>
              <w:top w:val="nil"/>
              <w:left w:val="nil"/>
              <w:bottom w:val="nil"/>
              <w:right w:val="nil"/>
            </w:tcBorders>
            <w:shd w:val="clear" w:color="000000" w:fill="F2F2F2"/>
            <w:noWrap/>
            <w:vAlign w:val="center"/>
          </w:tcPr>
          <w:p w14:paraId="6031BFC5" w14:textId="08915485" w:rsidR="00A82612" w:rsidRPr="00E76327" w:rsidRDefault="00A82612" w:rsidP="00A82612">
            <w:pPr>
              <w:jc w:val="center"/>
              <w:rPr>
                <w:rFonts w:eastAsia="Times New Roman" w:cs="Arial"/>
                <w:color w:val="000000"/>
                <w:sz w:val="20"/>
                <w:szCs w:val="20"/>
                <w:lang w:eastAsia="en-AU"/>
              </w:rPr>
            </w:pPr>
            <w:r w:rsidRPr="00E76327">
              <w:rPr>
                <w:rFonts w:cs="Arial"/>
                <w:color w:val="000000"/>
                <w:sz w:val="20"/>
                <w:szCs w:val="20"/>
              </w:rPr>
              <w:t>3,422</w:t>
            </w:r>
          </w:p>
        </w:tc>
        <w:tc>
          <w:tcPr>
            <w:tcW w:w="1246" w:type="dxa"/>
            <w:tcBorders>
              <w:top w:val="nil"/>
              <w:left w:val="nil"/>
              <w:bottom w:val="nil"/>
              <w:right w:val="nil"/>
            </w:tcBorders>
            <w:shd w:val="clear" w:color="000000" w:fill="F2F2F2"/>
            <w:noWrap/>
            <w:vAlign w:val="center"/>
          </w:tcPr>
          <w:p w14:paraId="6F96D5E2" w14:textId="4A643959" w:rsidR="00A82612" w:rsidRPr="00E76327" w:rsidRDefault="00A9509C" w:rsidP="00A82612">
            <w:pPr>
              <w:jc w:val="center"/>
              <w:rPr>
                <w:rFonts w:eastAsia="Times New Roman" w:cs="Arial"/>
                <w:color w:val="000000"/>
                <w:sz w:val="20"/>
                <w:szCs w:val="20"/>
                <w:lang w:eastAsia="en-AU"/>
              </w:rPr>
            </w:pPr>
            <w:r w:rsidRPr="00E76327">
              <w:rPr>
                <w:rFonts w:eastAsia="Times New Roman" w:cs="Arial"/>
                <w:color w:val="000000"/>
                <w:sz w:val="20"/>
                <w:szCs w:val="20"/>
                <w:lang w:eastAsia="en-AU"/>
              </w:rPr>
              <w:t>29,905</w:t>
            </w:r>
          </w:p>
        </w:tc>
      </w:tr>
      <w:tr w:rsidR="00A9509C" w:rsidRPr="00A9509C" w14:paraId="45F58914" w14:textId="77777777" w:rsidTr="00E76327">
        <w:trPr>
          <w:trHeight w:val="723"/>
        </w:trPr>
        <w:tc>
          <w:tcPr>
            <w:tcW w:w="4820" w:type="dxa"/>
            <w:tcBorders>
              <w:top w:val="nil"/>
              <w:left w:val="nil"/>
              <w:bottom w:val="nil"/>
              <w:right w:val="nil"/>
            </w:tcBorders>
            <w:shd w:val="clear" w:color="000000" w:fill="FFFFFF"/>
            <w:noWrap/>
            <w:vAlign w:val="center"/>
            <w:hideMark/>
          </w:tcPr>
          <w:p w14:paraId="53D58440" w14:textId="77777777" w:rsidR="00A9509C" w:rsidRPr="00E76327" w:rsidRDefault="00A9509C" w:rsidP="00A9509C">
            <w:pPr>
              <w:spacing w:after="0" w:line="240" w:lineRule="auto"/>
              <w:rPr>
                <w:rFonts w:eastAsia="Times New Roman" w:cs="Arial"/>
                <w:color w:val="000000"/>
                <w:sz w:val="20"/>
                <w:szCs w:val="20"/>
                <w:lang w:eastAsia="en-AU"/>
              </w:rPr>
            </w:pPr>
            <w:r w:rsidRPr="00E76327">
              <w:rPr>
                <w:rFonts w:eastAsia="Times New Roman" w:cs="Arial"/>
                <w:color w:val="000000"/>
                <w:sz w:val="20"/>
                <w:szCs w:val="20"/>
                <w:lang w:eastAsia="en-AU"/>
              </w:rPr>
              <w:t>Number of participants (active &amp; inactive participants)</w:t>
            </w:r>
          </w:p>
        </w:tc>
        <w:tc>
          <w:tcPr>
            <w:tcW w:w="1071" w:type="dxa"/>
            <w:tcBorders>
              <w:top w:val="nil"/>
              <w:left w:val="nil"/>
              <w:bottom w:val="nil"/>
              <w:right w:val="nil"/>
            </w:tcBorders>
            <w:shd w:val="clear" w:color="000000" w:fill="FFFFFF"/>
            <w:vAlign w:val="center"/>
          </w:tcPr>
          <w:p w14:paraId="413F7C18" w14:textId="01F8ECAB" w:rsidR="00A9509C" w:rsidRPr="00E76327" w:rsidRDefault="00A9509C" w:rsidP="00A9509C">
            <w:pPr>
              <w:jc w:val="center"/>
              <w:rPr>
                <w:rFonts w:eastAsia="Times New Roman" w:cs="Arial"/>
                <w:color w:val="000000"/>
                <w:sz w:val="20"/>
                <w:szCs w:val="20"/>
                <w:lang w:eastAsia="en-AU"/>
              </w:rPr>
            </w:pPr>
            <w:r w:rsidRPr="00E76327">
              <w:rPr>
                <w:rFonts w:eastAsia="Times New Roman" w:cs="Arial"/>
                <w:color w:val="000000"/>
                <w:sz w:val="20"/>
                <w:szCs w:val="20"/>
                <w:lang w:eastAsia="en-AU"/>
              </w:rPr>
              <w:t>7,167</w:t>
            </w:r>
          </w:p>
        </w:tc>
        <w:tc>
          <w:tcPr>
            <w:tcW w:w="1071" w:type="dxa"/>
            <w:tcBorders>
              <w:top w:val="nil"/>
              <w:left w:val="nil"/>
              <w:bottom w:val="nil"/>
              <w:right w:val="nil"/>
            </w:tcBorders>
            <w:shd w:val="clear" w:color="000000" w:fill="FFFFFF"/>
            <w:noWrap/>
            <w:vAlign w:val="center"/>
          </w:tcPr>
          <w:p w14:paraId="3B886D53" w14:textId="459C0DB9" w:rsidR="00A9509C" w:rsidRPr="00E76327" w:rsidRDefault="00A9509C" w:rsidP="00A9509C">
            <w:pPr>
              <w:jc w:val="center"/>
              <w:rPr>
                <w:rFonts w:eastAsia="Times New Roman" w:cs="Arial"/>
                <w:color w:val="000000"/>
                <w:sz w:val="20"/>
                <w:szCs w:val="20"/>
                <w:lang w:eastAsia="en-AU"/>
              </w:rPr>
            </w:pPr>
            <w:r w:rsidRPr="00E76327">
              <w:rPr>
                <w:rFonts w:eastAsia="Times New Roman" w:cs="Arial"/>
                <w:color w:val="000000"/>
                <w:sz w:val="20"/>
                <w:szCs w:val="20"/>
                <w:lang w:eastAsia="en-AU"/>
              </w:rPr>
              <w:t>1,299</w:t>
            </w:r>
          </w:p>
        </w:tc>
        <w:tc>
          <w:tcPr>
            <w:tcW w:w="1071" w:type="dxa"/>
            <w:tcBorders>
              <w:top w:val="nil"/>
              <w:left w:val="nil"/>
              <w:bottom w:val="nil"/>
              <w:right w:val="nil"/>
            </w:tcBorders>
            <w:shd w:val="clear" w:color="000000" w:fill="FFFFFF"/>
            <w:noWrap/>
            <w:vAlign w:val="center"/>
          </w:tcPr>
          <w:p w14:paraId="7BD6E35D" w14:textId="0EC7557E"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7,788</w:t>
            </w:r>
          </w:p>
        </w:tc>
        <w:tc>
          <w:tcPr>
            <w:tcW w:w="1071" w:type="dxa"/>
            <w:tcBorders>
              <w:top w:val="nil"/>
              <w:left w:val="nil"/>
              <w:bottom w:val="nil"/>
              <w:right w:val="nil"/>
            </w:tcBorders>
            <w:shd w:val="clear" w:color="000000" w:fill="FFFFFF"/>
            <w:noWrap/>
            <w:vAlign w:val="center"/>
          </w:tcPr>
          <w:p w14:paraId="7DDD5B4C" w14:textId="102780BE"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1,279</w:t>
            </w:r>
          </w:p>
        </w:tc>
        <w:tc>
          <w:tcPr>
            <w:tcW w:w="1071" w:type="dxa"/>
            <w:tcBorders>
              <w:top w:val="nil"/>
              <w:left w:val="nil"/>
              <w:bottom w:val="nil"/>
              <w:right w:val="nil"/>
            </w:tcBorders>
            <w:shd w:val="clear" w:color="000000" w:fill="FFFFFF"/>
            <w:noWrap/>
            <w:vAlign w:val="center"/>
          </w:tcPr>
          <w:p w14:paraId="30045DD5" w14:textId="5682B4D1"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5,515</w:t>
            </w:r>
          </w:p>
        </w:tc>
        <w:tc>
          <w:tcPr>
            <w:tcW w:w="1071" w:type="dxa"/>
            <w:tcBorders>
              <w:top w:val="nil"/>
              <w:left w:val="nil"/>
              <w:bottom w:val="nil"/>
              <w:right w:val="nil"/>
            </w:tcBorders>
            <w:shd w:val="clear" w:color="000000" w:fill="FFFFFF"/>
            <w:noWrap/>
            <w:vAlign w:val="center"/>
          </w:tcPr>
          <w:p w14:paraId="32908B86" w14:textId="6F5F8DD0"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4,292</w:t>
            </w:r>
          </w:p>
        </w:tc>
        <w:tc>
          <w:tcPr>
            <w:tcW w:w="1071" w:type="dxa"/>
            <w:tcBorders>
              <w:top w:val="nil"/>
              <w:left w:val="nil"/>
              <w:bottom w:val="nil"/>
              <w:right w:val="nil"/>
            </w:tcBorders>
            <w:shd w:val="clear" w:color="000000" w:fill="FFFFFF"/>
            <w:noWrap/>
            <w:vAlign w:val="center"/>
          </w:tcPr>
          <w:p w14:paraId="6E4550AB" w14:textId="3FD0673D"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138</w:t>
            </w:r>
          </w:p>
        </w:tc>
        <w:tc>
          <w:tcPr>
            <w:tcW w:w="1071" w:type="dxa"/>
            <w:tcBorders>
              <w:top w:val="nil"/>
              <w:left w:val="nil"/>
              <w:bottom w:val="nil"/>
              <w:right w:val="nil"/>
            </w:tcBorders>
            <w:shd w:val="clear" w:color="000000" w:fill="FFFFFF"/>
            <w:noWrap/>
            <w:vAlign w:val="center"/>
          </w:tcPr>
          <w:p w14:paraId="7434AAC7" w14:textId="3915609C"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2,291</w:t>
            </w:r>
          </w:p>
        </w:tc>
        <w:tc>
          <w:tcPr>
            <w:tcW w:w="1246" w:type="dxa"/>
            <w:tcBorders>
              <w:top w:val="nil"/>
              <w:left w:val="nil"/>
              <w:bottom w:val="nil"/>
              <w:right w:val="nil"/>
            </w:tcBorders>
            <w:shd w:val="clear" w:color="000000" w:fill="FFFFFF"/>
            <w:noWrap/>
            <w:vAlign w:val="center"/>
          </w:tcPr>
          <w:p w14:paraId="23887B79" w14:textId="04280529" w:rsidR="00A9509C" w:rsidRPr="00E76327" w:rsidRDefault="00A9509C" w:rsidP="00A9509C">
            <w:pPr>
              <w:jc w:val="center"/>
              <w:rPr>
                <w:rFonts w:eastAsia="Times New Roman" w:cs="Arial"/>
                <w:color w:val="000000"/>
                <w:sz w:val="20"/>
                <w:szCs w:val="20"/>
                <w:lang w:eastAsia="en-AU"/>
              </w:rPr>
            </w:pPr>
            <w:r w:rsidRPr="00E76327">
              <w:rPr>
                <w:rFonts w:eastAsia="Times New Roman" w:cs="Arial"/>
                <w:color w:val="000000"/>
                <w:sz w:val="20"/>
                <w:szCs w:val="20"/>
                <w:lang w:eastAsia="en-AU"/>
              </w:rPr>
              <w:t>29,769</w:t>
            </w:r>
          </w:p>
        </w:tc>
      </w:tr>
      <w:tr w:rsidR="00A9509C" w:rsidRPr="00A9509C" w14:paraId="61B85BDD" w14:textId="77777777" w:rsidTr="00E76327">
        <w:trPr>
          <w:trHeight w:val="654"/>
        </w:trPr>
        <w:tc>
          <w:tcPr>
            <w:tcW w:w="4820" w:type="dxa"/>
            <w:tcBorders>
              <w:top w:val="nil"/>
              <w:left w:val="nil"/>
              <w:bottom w:val="nil"/>
              <w:right w:val="nil"/>
            </w:tcBorders>
            <w:shd w:val="clear" w:color="000000" w:fill="F2F2F2"/>
            <w:noWrap/>
            <w:vAlign w:val="center"/>
            <w:hideMark/>
          </w:tcPr>
          <w:p w14:paraId="77989FFA" w14:textId="77777777" w:rsidR="00A9509C" w:rsidRPr="00E76327" w:rsidRDefault="00A9509C" w:rsidP="00A9509C">
            <w:pPr>
              <w:spacing w:after="0" w:line="240" w:lineRule="auto"/>
              <w:rPr>
                <w:rFonts w:eastAsia="Times New Roman" w:cs="Arial"/>
                <w:i/>
                <w:iCs/>
                <w:color w:val="000000"/>
                <w:sz w:val="20"/>
                <w:szCs w:val="20"/>
                <w:lang w:eastAsia="en-AU"/>
              </w:rPr>
            </w:pPr>
            <w:r w:rsidRPr="00E76327">
              <w:rPr>
                <w:rFonts w:eastAsia="Times New Roman" w:cs="Arial"/>
                <w:i/>
                <w:iCs/>
                <w:color w:val="000000"/>
                <w:sz w:val="20"/>
                <w:szCs w:val="20"/>
                <w:lang w:eastAsia="en-AU"/>
              </w:rPr>
              <w:t xml:space="preserve">Percentage deemed eligible compared with expected </w:t>
            </w:r>
          </w:p>
        </w:tc>
        <w:tc>
          <w:tcPr>
            <w:tcW w:w="1071" w:type="dxa"/>
            <w:tcBorders>
              <w:top w:val="nil"/>
              <w:left w:val="nil"/>
              <w:bottom w:val="nil"/>
              <w:right w:val="nil"/>
            </w:tcBorders>
            <w:shd w:val="clear" w:color="000000" w:fill="F2F2F2"/>
            <w:vAlign w:val="center"/>
          </w:tcPr>
          <w:p w14:paraId="353E2040" w14:textId="0E5AAA1F" w:rsidR="00A9509C" w:rsidRPr="00E76327" w:rsidRDefault="00A9509C" w:rsidP="00C825D4">
            <w:pPr>
              <w:jc w:val="center"/>
              <w:rPr>
                <w:rFonts w:eastAsia="Times New Roman" w:cs="Arial"/>
                <w:i/>
                <w:color w:val="000000"/>
                <w:sz w:val="20"/>
                <w:szCs w:val="20"/>
                <w:lang w:eastAsia="en-AU"/>
              </w:rPr>
            </w:pPr>
            <w:r w:rsidRPr="00E76327">
              <w:rPr>
                <w:rFonts w:eastAsia="Times New Roman" w:cs="Arial"/>
                <w:i/>
                <w:color w:val="000000"/>
                <w:sz w:val="20"/>
                <w:szCs w:val="20"/>
                <w:lang w:eastAsia="en-AU"/>
              </w:rPr>
              <w:t>81%</w:t>
            </w:r>
          </w:p>
        </w:tc>
        <w:tc>
          <w:tcPr>
            <w:tcW w:w="1071" w:type="dxa"/>
            <w:tcBorders>
              <w:top w:val="nil"/>
              <w:left w:val="nil"/>
              <w:bottom w:val="nil"/>
              <w:right w:val="nil"/>
            </w:tcBorders>
            <w:shd w:val="clear" w:color="000000" w:fill="F2F2F2"/>
            <w:noWrap/>
            <w:vAlign w:val="center"/>
          </w:tcPr>
          <w:p w14:paraId="2B67F66B" w14:textId="473D31E4" w:rsidR="00A9509C" w:rsidRPr="00E76327" w:rsidRDefault="00A9509C">
            <w:pPr>
              <w:jc w:val="center"/>
              <w:rPr>
                <w:rFonts w:eastAsia="Times New Roman" w:cs="Arial"/>
                <w:i/>
                <w:color w:val="000000"/>
                <w:sz w:val="20"/>
                <w:szCs w:val="20"/>
                <w:lang w:eastAsia="en-AU"/>
              </w:rPr>
            </w:pPr>
            <w:r w:rsidRPr="00E76327">
              <w:rPr>
                <w:rFonts w:eastAsia="Times New Roman" w:cs="Arial"/>
                <w:i/>
                <w:color w:val="000000"/>
                <w:sz w:val="20"/>
                <w:szCs w:val="20"/>
                <w:lang w:eastAsia="en-AU"/>
              </w:rPr>
              <w:t>93%</w:t>
            </w:r>
          </w:p>
        </w:tc>
        <w:tc>
          <w:tcPr>
            <w:tcW w:w="1071" w:type="dxa"/>
            <w:tcBorders>
              <w:top w:val="nil"/>
              <w:left w:val="nil"/>
              <w:bottom w:val="nil"/>
              <w:right w:val="nil"/>
            </w:tcBorders>
            <w:shd w:val="clear" w:color="000000" w:fill="F2F2F2"/>
            <w:noWrap/>
            <w:vAlign w:val="center"/>
          </w:tcPr>
          <w:p w14:paraId="4E651F11" w14:textId="11AFCE60" w:rsidR="00A9509C" w:rsidRPr="00E76327" w:rsidRDefault="00A9509C" w:rsidP="00A9509C">
            <w:pPr>
              <w:jc w:val="center"/>
              <w:rPr>
                <w:rFonts w:eastAsia="Times New Roman" w:cs="Arial"/>
                <w:i/>
                <w:color w:val="000000"/>
                <w:sz w:val="20"/>
                <w:szCs w:val="20"/>
                <w:lang w:eastAsia="en-AU"/>
              </w:rPr>
            </w:pPr>
            <w:r w:rsidRPr="00E76327">
              <w:rPr>
                <w:rFonts w:cs="Arial"/>
                <w:i/>
                <w:iCs/>
                <w:color w:val="000000"/>
                <w:sz w:val="20"/>
                <w:szCs w:val="20"/>
              </w:rPr>
              <w:t>121%</w:t>
            </w:r>
          </w:p>
        </w:tc>
        <w:tc>
          <w:tcPr>
            <w:tcW w:w="1071" w:type="dxa"/>
            <w:tcBorders>
              <w:top w:val="nil"/>
              <w:left w:val="nil"/>
              <w:bottom w:val="nil"/>
              <w:right w:val="nil"/>
            </w:tcBorders>
            <w:shd w:val="clear" w:color="000000" w:fill="F2F2F2"/>
            <w:noWrap/>
            <w:vAlign w:val="center"/>
          </w:tcPr>
          <w:p w14:paraId="1865B1DC" w14:textId="208CE47C" w:rsidR="00A9509C" w:rsidRPr="00E76327" w:rsidRDefault="00A9509C" w:rsidP="00A9509C">
            <w:pPr>
              <w:jc w:val="center"/>
              <w:rPr>
                <w:rFonts w:eastAsia="Times New Roman" w:cs="Arial"/>
                <w:i/>
                <w:color w:val="000000"/>
                <w:sz w:val="20"/>
                <w:szCs w:val="20"/>
                <w:lang w:eastAsia="en-AU"/>
              </w:rPr>
            </w:pPr>
            <w:r w:rsidRPr="00E76327">
              <w:rPr>
                <w:rFonts w:cs="Arial"/>
                <w:i/>
                <w:iCs/>
                <w:color w:val="000000"/>
                <w:sz w:val="20"/>
                <w:szCs w:val="20"/>
              </w:rPr>
              <w:t>124%</w:t>
            </w:r>
          </w:p>
        </w:tc>
        <w:tc>
          <w:tcPr>
            <w:tcW w:w="1071" w:type="dxa"/>
            <w:tcBorders>
              <w:top w:val="nil"/>
              <w:left w:val="nil"/>
              <w:bottom w:val="nil"/>
              <w:right w:val="nil"/>
            </w:tcBorders>
            <w:shd w:val="clear" w:color="000000" w:fill="F2F2F2"/>
            <w:noWrap/>
            <w:vAlign w:val="center"/>
          </w:tcPr>
          <w:p w14:paraId="106500DE" w14:textId="582637F2" w:rsidR="00A9509C" w:rsidRPr="00E76327" w:rsidRDefault="00A9509C" w:rsidP="00A9509C">
            <w:pPr>
              <w:jc w:val="center"/>
              <w:rPr>
                <w:rFonts w:eastAsia="Times New Roman" w:cs="Arial"/>
                <w:i/>
                <w:color w:val="000000"/>
                <w:sz w:val="20"/>
                <w:szCs w:val="20"/>
                <w:lang w:eastAsia="en-AU"/>
              </w:rPr>
            </w:pPr>
            <w:r w:rsidRPr="00E76327">
              <w:rPr>
                <w:rFonts w:cs="Arial"/>
                <w:i/>
                <w:iCs/>
                <w:color w:val="000000"/>
                <w:sz w:val="20"/>
                <w:szCs w:val="20"/>
              </w:rPr>
              <w:t>111%</w:t>
            </w:r>
          </w:p>
        </w:tc>
        <w:tc>
          <w:tcPr>
            <w:tcW w:w="1071" w:type="dxa"/>
            <w:tcBorders>
              <w:top w:val="nil"/>
              <w:left w:val="nil"/>
              <w:bottom w:val="nil"/>
              <w:right w:val="nil"/>
            </w:tcBorders>
            <w:shd w:val="clear" w:color="000000" w:fill="F2F2F2"/>
            <w:noWrap/>
            <w:vAlign w:val="center"/>
          </w:tcPr>
          <w:p w14:paraId="0DDF041E" w14:textId="4D3D2305" w:rsidR="00A9509C" w:rsidRPr="00E76327" w:rsidRDefault="00A9509C" w:rsidP="00A9509C">
            <w:pPr>
              <w:jc w:val="center"/>
              <w:rPr>
                <w:rFonts w:eastAsia="Times New Roman" w:cs="Arial"/>
                <w:i/>
                <w:color w:val="000000"/>
                <w:sz w:val="20"/>
                <w:szCs w:val="20"/>
                <w:lang w:eastAsia="en-AU"/>
              </w:rPr>
            </w:pPr>
            <w:r w:rsidRPr="00E76327">
              <w:rPr>
                <w:rFonts w:cs="Arial"/>
                <w:i/>
                <w:iCs/>
                <w:color w:val="000000"/>
                <w:sz w:val="20"/>
                <w:szCs w:val="20"/>
              </w:rPr>
              <w:t>118%</w:t>
            </w:r>
          </w:p>
        </w:tc>
        <w:tc>
          <w:tcPr>
            <w:tcW w:w="1071" w:type="dxa"/>
            <w:tcBorders>
              <w:top w:val="nil"/>
              <w:left w:val="nil"/>
              <w:bottom w:val="nil"/>
              <w:right w:val="nil"/>
            </w:tcBorders>
            <w:shd w:val="clear" w:color="000000" w:fill="F2F2F2"/>
            <w:noWrap/>
            <w:vAlign w:val="center"/>
          </w:tcPr>
          <w:p w14:paraId="3FADA09B" w14:textId="3D754411" w:rsidR="00A9509C" w:rsidRPr="00E76327" w:rsidRDefault="00A9509C" w:rsidP="00A9509C">
            <w:pPr>
              <w:jc w:val="center"/>
              <w:rPr>
                <w:rFonts w:eastAsia="Times New Roman" w:cs="Arial"/>
                <w:i/>
                <w:color w:val="000000"/>
                <w:sz w:val="20"/>
                <w:szCs w:val="20"/>
                <w:lang w:eastAsia="en-AU"/>
              </w:rPr>
            </w:pPr>
            <w:r w:rsidRPr="00E76327">
              <w:rPr>
                <w:rFonts w:cs="Arial"/>
                <w:i/>
                <w:iCs/>
                <w:color w:val="000000"/>
                <w:sz w:val="20"/>
                <w:szCs w:val="20"/>
              </w:rPr>
              <w:t>90%</w:t>
            </w:r>
          </w:p>
        </w:tc>
        <w:tc>
          <w:tcPr>
            <w:tcW w:w="1071" w:type="dxa"/>
            <w:tcBorders>
              <w:top w:val="nil"/>
              <w:left w:val="nil"/>
              <w:bottom w:val="nil"/>
              <w:right w:val="nil"/>
            </w:tcBorders>
            <w:shd w:val="clear" w:color="000000" w:fill="F2F2F2"/>
            <w:noWrap/>
            <w:vAlign w:val="center"/>
          </w:tcPr>
          <w:p w14:paraId="02F72C82" w14:textId="56C1246E" w:rsidR="00A9509C" w:rsidRPr="00E76327" w:rsidRDefault="00A9509C" w:rsidP="00A9509C">
            <w:pPr>
              <w:jc w:val="center"/>
              <w:rPr>
                <w:rFonts w:eastAsia="Times New Roman" w:cs="Arial"/>
                <w:i/>
                <w:color w:val="000000"/>
                <w:sz w:val="20"/>
                <w:szCs w:val="20"/>
                <w:lang w:eastAsia="en-AU"/>
              </w:rPr>
            </w:pPr>
            <w:r w:rsidRPr="00E76327">
              <w:rPr>
                <w:rFonts w:cs="Arial"/>
                <w:i/>
                <w:iCs/>
                <w:color w:val="000000"/>
                <w:sz w:val="20"/>
                <w:szCs w:val="20"/>
              </w:rPr>
              <w:t>67%</w:t>
            </w:r>
          </w:p>
        </w:tc>
        <w:tc>
          <w:tcPr>
            <w:tcW w:w="1246" w:type="dxa"/>
            <w:tcBorders>
              <w:top w:val="nil"/>
              <w:left w:val="nil"/>
              <w:bottom w:val="nil"/>
              <w:right w:val="nil"/>
            </w:tcBorders>
            <w:shd w:val="clear" w:color="000000" w:fill="F2F2F2"/>
            <w:noWrap/>
            <w:vAlign w:val="center"/>
          </w:tcPr>
          <w:p w14:paraId="5F7334AB" w14:textId="4A9F6B26" w:rsidR="00A9509C" w:rsidRPr="00E76327" w:rsidRDefault="00A9509C" w:rsidP="00A9509C">
            <w:pPr>
              <w:jc w:val="center"/>
              <w:rPr>
                <w:rFonts w:eastAsia="Times New Roman" w:cs="Arial"/>
                <w:i/>
                <w:color w:val="000000"/>
                <w:sz w:val="20"/>
                <w:szCs w:val="20"/>
                <w:lang w:eastAsia="en-AU"/>
              </w:rPr>
            </w:pPr>
            <w:r w:rsidRPr="00E76327">
              <w:rPr>
                <w:rFonts w:eastAsia="Times New Roman" w:cs="Arial"/>
                <w:i/>
                <w:color w:val="000000"/>
                <w:sz w:val="20"/>
                <w:szCs w:val="20"/>
                <w:lang w:eastAsia="en-AU"/>
              </w:rPr>
              <w:t>100%</w:t>
            </w:r>
          </w:p>
        </w:tc>
      </w:tr>
      <w:tr w:rsidR="00A9509C" w:rsidRPr="00A9509C" w14:paraId="7B9E21E7" w14:textId="77777777" w:rsidTr="00E76327">
        <w:trPr>
          <w:trHeight w:val="891"/>
        </w:trPr>
        <w:tc>
          <w:tcPr>
            <w:tcW w:w="4820" w:type="dxa"/>
            <w:tcBorders>
              <w:top w:val="nil"/>
              <w:left w:val="nil"/>
              <w:bottom w:val="nil"/>
              <w:right w:val="nil"/>
            </w:tcBorders>
            <w:shd w:val="clear" w:color="auto" w:fill="auto"/>
            <w:noWrap/>
            <w:vAlign w:val="center"/>
            <w:hideMark/>
          </w:tcPr>
          <w:p w14:paraId="78A912A9" w14:textId="77777777" w:rsidR="00A9509C" w:rsidRPr="00E76327" w:rsidRDefault="00A9509C" w:rsidP="00A9509C">
            <w:pPr>
              <w:spacing w:after="0" w:line="240" w:lineRule="auto"/>
              <w:rPr>
                <w:rFonts w:eastAsia="Times New Roman" w:cs="Arial"/>
                <w:color w:val="000000"/>
                <w:sz w:val="20"/>
                <w:szCs w:val="20"/>
                <w:lang w:eastAsia="en-AU"/>
              </w:rPr>
            </w:pPr>
            <w:r w:rsidRPr="00E76327">
              <w:rPr>
                <w:rFonts w:eastAsia="Times New Roman" w:cs="Arial"/>
                <w:color w:val="000000"/>
                <w:sz w:val="20"/>
                <w:szCs w:val="20"/>
                <w:lang w:eastAsia="en-AU"/>
              </w:rPr>
              <w:t>Number of participants with current approved plans (active &amp; inactive participants)</w:t>
            </w:r>
          </w:p>
        </w:tc>
        <w:tc>
          <w:tcPr>
            <w:tcW w:w="1071" w:type="dxa"/>
            <w:tcBorders>
              <w:top w:val="nil"/>
              <w:left w:val="nil"/>
              <w:bottom w:val="nil"/>
              <w:right w:val="nil"/>
            </w:tcBorders>
            <w:vAlign w:val="center"/>
          </w:tcPr>
          <w:p w14:paraId="093DD462" w14:textId="60DE6CD1" w:rsidR="00A9509C" w:rsidRPr="00E76327" w:rsidRDefault="00A9509C" w:rsidP="00A9509C">
            <w:pPr>
              <w:jc w:val="center"/>
              <w:rPr>
                <w:rFonts w:eastAsia="Times New Roman" w:cs="Arial"/>
                <w:color w:val="000000"/>
                <w:sz w:val="20"/>
                <w:szCs w:val="20"/>
                <w:lang w:eastAsia="en-AU"/>
              </w:rPr>
            </w:pPr>
            <w:r w:rsidRPr="00E76327">
              <w:rPr>
                <w:rFonts w:eastAsia="Times New Roman" w:cs="Arial"/>
                <w:color w:val="000000"/>
                <w:sz w:val="20"/>
                <w:szCs w:val="20"/>
                <w:lang w:eastAsia="en-AU"/>
              </w:rPr>
              <w:t>6,510</w:t>
            </w:r>
          </w:p>
        </w:tc>
        <w:tc>
          <w:tcPr>
            <w:tcW w:w="1071" w:type="dxa"/>
            <w:tcBorders>
              <w:top w:val="nil"/>
              <w:left w:val="nil"/>
              <w:bottom w:val="nil"/>
              <w:right w:val="nil"/>
            </w:tcBorders>
            <w:shd w:val="clear" w:color="auto" w:fill="auto"/>
            <w:noWrap/>
            <w:vAlign w:val="center"/>
            <w:hideMark/>
          </w:tcPr>
          <w:p w14:paraId="2409782A" w14:textId="500169DD" w:rsidR="00A9509C" w:rsidRPr="00E76327" w:rsidRDefault="00A9509C" w:rsidP="00C825D4">
            <w:pPr>
              <w:jc w:val="center"/>
              <w:rPr>
                <w:rFonts w:eastAsia="Times New Roman" w:cs="Arial"/>
                <w:color w:val="000000"/>
                <w:sz w:val="20"/>
                <w:szCs w:val="20"/>
                <w:lang w:eastAsia="en-AU"/>
              </w:rPr>
            </w:pPr>
            <w:r w:rsidRPr="00E76327">
              <w:rPr>
                <w:rFonts w:eastAsia="Times New Roman" w:cs="Arial"/>
                <w:color w:val="000000"/>
                <w:sz w:val="20"/>
                <w:szCs w:val="20"/>
                <w:lang w:eastAsia="en-AU"/>
              </w:rPr>
              <w:t>1,083</w:t>
            </w:r>
          </w:p>
        </w:tc>
        <w:tc>
          <w:tcPr>
            <w:tcW w:w="1071" w:type="dxa"/>
            <w:tcBorders>
              <w:top w:val="nil"/>
              <w:left w:val="nil"/>
              <w:bottom w:val="nil"/>
              <w:right w:val="nil"/>
            </w:tcBorders>
            <w:shd w:val="clear" w:color="auto" w:fill="auto"/>
            <w:noWrap/>
            <w:vAlign w:val="center"/>
            <w:hideMark/>
          </w:tcPr>
          <w:p w14:paraId="1A539E74" w14:textId="61471841"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5,825</w:t>
            </w:r>
          </w:p>
        </w:tc>
        <w:tc>
          <w:tcPr>
            <w:tcW w:w="1071" w:type="dxa"/>
            <w:tcBorders>
              <w:top w:val="nil"/>
              <w:left w:val="nil"/>
              <w:bottom w:val="nil"/>
              <w:right w:val="nil"/>
            </w:tcBorders>
            <w:shd w:val="clear" w:color="auto" w:fill="auto"/>
            <w:noWrap/>
            <w:vAlign w:val="center"/>
            <w:hideMark/>
          </w:tcPr>
          <w:p w14:paraId="14F28EA7" w14:textId="7F7A4EB3"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1,135</w:t>
            </w:r>
          </w:p>
        </w:tc>
        <w:tc>
          <w:tcPr>
            <w:tcW w:w="1071" w:type="dxa"/>
            <w:tcBorders>
              <w:top w:val="nil"/>
              <w:left w:val="nil"/>
              <w:bottom w:val="nil"/>
              <w:right w:val="nil"/>
            </w:tcBorders>
            <w:shd w:val="clear" w:color="auto" w:fill="auto"/>
            <w:noWrap/>
            <w:vAlign w:val="center"/>
            <w:hideMark/>
          </w:tcPr>
          <w:p w14:paraId="38574D39" w14:textId="122A281C"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4,867</w:t>
            </w:r>
          </w:p>
        </w:tc>
        <w:tc>
          <w:tcPr>
            <w:tcW w:w="1071" w:type="dxa"/>
            <w:tcBorders>
              <w:top w:val="nil"/>
              <w:left w:val="nil"/>
              <w:bottom w:val="nil"/>
              <w:right w:val="nil"/>
            </w:tcBorders>
            <w:shd w:val="clear" w:color="auto" w:fill="auto"/>
            <w:noWrap/>
            <w:vAlign w:val="center"/>
            <w:hideMark/>
          </w:tcPr>
          <w:p w14:paraId="083A5229" w14:textId="7651700B"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3,429</w:t>
            </w:r>
          </w:p>
        </w:tc>
        <w:tc>
          <w:tcPr>
            <w:tcW w:w="1071" w:type="dxa"/>
            <w:tcBorders>
              <w:top w:val="nil"/>
              <w:left w:val="nil"/>
              <w:bottom w:val="nil"/>
              <w:right w:val="nil"/>
            </w:tcBorders>
            <w:shd w:val="clear" w:color="auto" w:fill="auto"/>
            <w:noWrap/>
            <w:vAlign w:val="center"/>
            <w:hideMark/>
          </w:tcPr>
          <w:p w14:paraId="406EA930" w14:textId="2D4446D7"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135</w:t>
            </w:r>
          </w:p>
        </w:tc>
        <w:tc>
          <w:tcPr>
            <w:tcW w:w="1071" w:type="dxa"/>
            <w:tcBorders>
              <w:top w:val="nil"/>
              <w:left w:val="nil"/>
              <w:bottom w:val="nil"/>
              <w:right w:val="nil"/>
            </w:tcBorders>
            <w:shd w:val="clear" w:color="auto" w:fill="auto"/>
            <w:noWrap/>
            <w:vAlign w:val="center"/>
            <w:hideMark/>
          </w:tcPr>
          <w:p w14:paraId="705D7C6A" w14:textId="2F5E6EDD" w:rsidR="00A9509C" w:rsidRPr="00E76327" w:rsidRDefault="00A9509C" w:rsidP="00A9509C">
            <w:pPr>
              <w:jc w:val="center"/>
              <w:rPr>
                <w:rFonts w:eastAsia="Times New Roman" w:cs="Arial"/>
                <w:color w:val="000000"/>
                <w:sz w:val="20"/>
                <w:szCs w:val="20"/>
                <w:lang w:eastAsia="en-AU"/>
              </w:rPr>
            </w:pPr>
            <w:r w:rsidRPr="00E76327">
              <w:rPr>
                <w:rFonts w:cs="Arial"/>
                <w:color w:val="000000"/>
                <w:sz w:val="20"/>
                <w:szCs w:val="20"/>
              </w:rPr>
              <w:t>1,882</w:t>
            </w:r>
          </w:p>
        </w:tc>
        <w:tc>
          <w:tcPr>
            <w:tcW w:w="1246" w:type="dxa"/>
            <w:tcBorders>
              <w:top w:val="nil"/>
              <w:left w:val="nil"/>
              <w:bottom w:val="nil"/>
              <w:right w:val="nil"/>
            </w:tcBorders>
            <w:shd w:val="clear" w:color="000000" w:fill="FFFFFF"/>
            <w:noWrap/>
            <w:vAlign w:val="center"/>
            <w:hideMark/>
          </w:tcPr>
          <w:p w14:paraId="4D7AD083" w14:textId="54CFD612" w:rsidR="00A9509C" w:rsidRPr="00E76327" w:rsidRDefault="00A9509C" w:rsidP="00C825D4">
            <w:pPr>
              <w:jc w:val="center"/>
              <w:rPr>
                <w:rFonts w:eastAsia="Times New Roman" w:cs="Arial"/>
                <w:color w:val="000000"/>
                <w:sz w:val="20"/>
                <w:szCs w:val="20"/>
                <w:lang w:eastAsia="en-AU"/>
              </w:rPr>
            </w:pPr>
            <w:r w:rsidRPr="00E76327">
              <w:rPr>
                <w:rFonts w:eastAsia="Times New Roman" w:cs="Arial"/>
                <w:color w:val="000000"/>
                <w:sz w:val="20"/>
                <w:szCs w:val="20"/>
                <w:lang w:eastAsia="en-AU"/>
              </w:rPr>
              <w:t>24,866</w:t>
            </w:r>
          </w:p>
        </w:tc>
      </w:tr>
      <w:tr w:rsidR="00A9509C" w:rsidRPr="00A9509C" w14:paraId="7CBB3B19" w14:textId="77777777" w:rsidTr="00E76327">
        <w:trPr>
          <w:trHeight w:val="771"/>
        </w:trPr>
        <w:tc>
          <w:tcPr>
            <w:tcW w:w="4820" w:type="dxa"/>
            <w:tcBorders>
              <w:top w:val="nil"/>
              <w:left w:val="nil"/>
              <w:bottom w:val="single" w:sz="4" w:space="0" w:color="auto"/>
              <w:right w:val="nil"/>
            </w:tcBorders>
            <w:shd w:val="clear" w:color="000000" w:fill="F2F2F2"/>
            <w:noWrap/>
            <w:vAlign w:val="center"/>
            <w:hideMark/>
          </w:tcPr>
          <w:p w14:paraId="7C87A5D5" w14:textId="77777777" w:rsidR="00A9509C" w:rsidRPr="00E76327" w:rsidRDefault="00A9509C" w:rsidP="00A9509C">
            <w:pPr>
              <w:spacing w:after="0" w:line="240" w:lineRule="auto"/>
              <w:rPr>
                <w:rFonts w:eastAsia="Times New Roman" w:cs="Arial"/>
                <w:i/>
                <w:iCs/>
                <w:color w:val="000000"/>
                <w:sz w:val="20"/>
                <w:szCs w:val="20"/>
                <w:lang w:eastAsia="en-AU"/>
              </w:rPr>
            </w:pPr>
            <w:r w:rsidRPr="00E76327">
              <w:rPr>
                <w:rFonts w:eastAsia="Times New Roman" w:cs="Arial"/>
                <w:i/>
                <w:iCs/>
                <w:color w:val="000000"/>
                <w:sz w:val="20"/>
                <w:szCs w:val="20"/>
                <w:lang w:eastAsia="en-AU"/>
              </w:rPr>
              <w:t xml:space="preserve">Percentage with approved plans compared with expected </w:t>
            </w:r>
          </w:p>
        </w:tc>
        <w:tc>
          <w:tcPr>
            <w:tcW w:w="1071" w:type="dxa"/>
            <w:tcBorders>
              <w:top w:val="nil"/>
              <w:left w:val="nil"/>
              <w:bottom w:val="single" w:sz="4" w:space="0" w:color="auto"/>
              <w:right w:val="nil"/>
            </w:tcBorders>
            <w:shd w:val="clear" w:color="000000" w:fill="F2F2F2"/>
            <w:vAlign w:val="center"/>
          </w:tcPr>
          <w:p w14:paraId="7AF1D396" w14:textId="44545CCF" w:rsidR="00A9509C" w:rsidRPr="00E76327" w:rsidRDefault="00A9509C" w:rsidP="00C825D4">
            <w:pPr>
              <w:jc w:val="center"/>
              <w:rPr>
                <w:rFonts w:cs="Arial"/>
                <w:i/>
                <w:iCs/>
                <w:color w:val="000000"/>
                <w:sz w:val="20"/>
                <w:szCs w:val="20"/>
              </w:rPr>
            </w:pPr>
            <w:r w:rsidRPr="00E76327">
              <w:rPr>
                <w:rFonts w:cs="Arial"/>
                <w:i/>
                <w:iCs/>
                <w:color w:val="000000"/>
                <w:sz w:val="20"/>
                <w:szCs w:val="20"/>
              </w:rPr>
              <w:t>74%</w:t>
            </w:r>
          </w:p>
        </w:tc>
        <w:tc>
          <w:tcPr>
            <w:tcW w:w="1071" w:type="dxa"/>
            <w:tcBorders>
              <w:top w:val="nil"/>
              <w:left w:val="nil"/>
              <w:bottom w:val="single" w:sz="4" w:space="0" w:color="auto"/>
              <w:right w:val="nil"/>
            </w:tcBorders>
            <w:shd w:val="clear" w:color="000000" w:fill="F2F2F2"/>
            <w:noWrap/>
            <w:vAlign w:val="center"/>
          </w:tcPr>
          <w:p w14:paraId="2A4F2165" w14:textId="73795D18" w:rsidR="00A9509C" w:rsidRPr="00E76327" w:rsidRDefault="00A9509C" w:rsidP="00A9509C">
            <w:pPr>
              <w:jc w:val="center"/>
              <w:rPr>
                <w:rFonts w:cs="Arial"/>
                <w:i/>
                <w:iCs/>
                <w:color w:val="000000"/>
                <w:sz w:val="20"/>
                <w:szCs w:val="20"/>
              </w:rPr>
            </w:pPr>
            <w:r w:rsidRPr="00E76327">
              <w:rPr>
                <w:rFonts w:cs="Arial"/>
                <w:i/>
                <w:iCs/>
                <w:color w:val="000000"/>
                <w:sz w:val="20"/>
                <w:szCs w:val="20"/>
              </w:rPr>
              <w:t>77%</w:t>
            </w:r>
          </w:p>
        </w:tc>
        <w:tc>
          <w:tcPr>
            <w:tcW w:w="1071" w:type="dxa"/>
            <w:tcBorders>
              <w:top w:val="nil"/>
              <w:left w:val="nil"/>
              <w:bottom w:val="single" w:sz="4" w:space="0" w:color="auto"/>
              <w:right w:val="nil"/>
            </w:tcBorders>
            <w:shd w:val="clear" w:color="000000" w:fill="F2F2F2"/>
            <w:noWrap/>
            <w:vAlign w:val="center"/>
          </w:tcPr>
          <w:p w14:paraId="38C0FBEE" w14:textId="11F55124" w:rsidR="00A9509C" w:rsidRPr="00E76327" w:rsidRDefault="00A9509C" w:rsidP="00A9509C">
            <w:pPr>
              <w:jc w:val="center"/>
              <w:rPr>
                <w:rFonts w:cs="Arial"/>
                <w:i/>
                <w:iCs/>
                <w:color w:val="000000"/>
                <w:sz w:val="20"/>
                <w:szCs w:val="20"/>
              </w:rPr>
            </w:pPr>
            <w:r w:rsidRPr="00E76327">
              <w:rPr>
                <w:rFonts w:cs="Arial"/>
                <w:i/>
                <w:iCs/>
                <w:color w:val="000000"/>
                <w:sz w:val="20"/>
                <w:szCs w:val="20"/>
              </w:rPr>
              <w:t>90%</w:t>
            </w:r>
          </w:p>
        </w:tc>
        <w:tc>
          <w:tcPr>
            <w:tcW w:w="1071" w:type="dxa"/>
            <w:tcBorders>
              <w:top w:val="nil"/>
              <w:left w:val="nil"/>
              <w:bottom w:val="single" w:sz="4" w:space="0" w:color="auto"/>
              <w:right w:val="nil"/>
            </w:tcBorders>
            <w:shd w:val="clear" w:color="000000" w:fill="F2F2F2"/>
            <w:noWrap/>
            <w:vAlign w:val="center"/>
          </w:tcPr>
          <w:p w14:paraId="5E8DA3F0" w14:textId="0B368974" w:rsidR="00A9509C" w:rsidRPr="00E76327" w:rsidRDefault="00A9509C" w:rsidP="00A9509C">
            <w:pPr>
              <w:jc w:val="center"/>
              <w:rPr>
                <w:rFonts w:cs="Arial"/>
                <w:i/>
                <w:iCs/>
                <w:color w:val="000000"/>
                <w:sz w:val="20"/>
                <w:szCs w:val="20"/>
              </w:rPr>
            </w:pPr>
            <w:r w:rsidRPr="00E76327">
              <w:rPr>
                <w:rFonts w:cs="Arial"/>
                <w:i/>
                <w:iCs/>
                <w:color w:val="000000"/>
                <w:sz w:val="20"/>
                <w:szCs w:val="20"/>
              </w:rPr>
              <w:t>110%</w:t>
            </w:r>
          </w:p>
        </w:tc>
        <w:tc>
          <w:tcPr>
            <w:tcW w:w="1071" w:type="dxa"/>
            <w:tcBorders>
              <w:top w:val="nil"/>
              <w:left w:val="nil"/>
              <w:bottom w:val="single" w:sz="4" w:space="0" w:color="auto"/>
              <w:right w:val="nil"/>
            </w:tcBorders>
            <w:shd w:val="clear" w:color="000000" w:fill="F2F2F2"/>
            <w:noWrap/>
            <w:vAlign w:val="center"/>
          </w:tcPr>
          <w:p w14:paraId="7AD71D27" w14:textId="4643E388" w:rsidR="00A9509C" w:rsidRPr="00E76327" w:rsidRDefault="00A9509C" w:rsidP="00A9509C">
            <w:pPr>
              <w:jc w:val="center"/>
              <w:rPr>
                <w:rFonts w:cs="Arial"/>
                <w:i/>
                <w:iCs/>
                <w:color w:val="000000"/>
                <w:sz w:val="20"/>
                <w:szCs w:val="20"/>
              </w:rPr>
            </w:pPr>
            <w:r w:rsidRPr="00E76327">
              <w:rPr>
                <w:rFonts w:cs="Arial"/>
                <w:i/>
                <w:iCs/>
                <w:color w:val="000000"/>
                <w:sz w:val="20"/>
                <w:szCs w:val="20"/>
              </w:rPr>
              <w:t>98%</w:t>
            </w:r>
          </w:p>
        </w:tc>
        <w:tc>
          <w:tcPr>
            <w:tcW w:w="1071" w:type="dxa"/>
            <w:tcBorders>
              <w:top w:val="nil"/>
              <w:left w:val="nil"/>
              <w:bottom w:val="single" w:sz="4" w:space="0" w:color="auto"/>
              <w:right w:val="nil"/>
            </w:tcBorders>
            <w:shd w:val="clear" w:color="000000" w:fill="F2F2F2"/>
            <w:noWrap/>
            <w:vAlign w:val="center"/>
          </w:tcPr>
          <w:p w14:paraId="298661BF" w14:textId="357CC1AE" w:rsidR="00A9509C" w:rsidRPr="00E76327" w:rsidRDefault="00A9509C" w:rsidP="00A9509C">
            <w:pPr>
              <w:jc w:val="center"/>
              <w:rPr>
                <w:rFonts w:cs="Arial"/>
                <w:i/>
                <w:iCs/>
                <w:color w:val="000000"/>
                <w:sz w:val="20"/>
                <w:szCs w:val="20"/>
              </w:rPr>
            </w:pPr>
            <w:r w:rsidRPr="00E76327">
              <w:rPr>
                <w:rFonts w:cs="Arial"/>
                <w:i/>
                <w:iCs/>
                <w:color w:val="000000"/>
                <w:sz w:val="20"/>
                <w:szCs w:val="20"/>
              </w:rPr>
              <w:t>94%</w:t>
            </w:r>
          </w:p>
        </w:tc>
        <w:tc>
          <w:tcPr>
            <w:tcW w:w="1071" w:type="dxa"/>
            <w:tcBorders>
              <w:top w:val="nil"/>
              <w:left w:val="nil"/>
              <w:bottom w:val="single" w:sz="4" w:space="0" w:color="auto"/>
              <w:right w:val="nil"/>
            </w:tcBorders>
            <w:shd w:val="clear" w:color="000000" w:fill="F2F2F2"/>
            <w:noWrap/>
            <w:vAlign w:val="center"/>
          </w:tcPr>
          <w:p w14:paraId="2360AA8A" w14:textId="0E1F11EC" w:rsidR="00A9509C" w:rsidRPr="00E76327" w:rsidRDefault="00A9509C" w:rsidP="00A9509C">
            <w:pPr>
              <w:jc w:val="center"/>
              <w:rPr>
                <w:rFonts w:cs="Arial"/>
                <w:i/>
                <w:iCs/>
                <w:color w:val="000000"/>
                <w:sz w:val="20"/>
                <w:szCs w:val="20"/>
              </w:rPr>
            </w:pPr>
            <w:r w:rsidRPr="00E76327">
              <w:rPr>
                <w:rFonts w:cs="Arial"/>
                <w:i/>
                <w:iCs/>
                <w:color w:val="000000"/>
                <w:sz w:val="20"/>
                <w:szCs w:val="20"/>
              </w:rPr>
              <w:t>88%</w:t>
            </w:r>
          </w:p>
        </w:tc>
        <w:tc>
          <w:tcPr>
            <w:tcW w:w="1071" w:type="dxa"/>
            <w:tcBorders>
              <w:top w:val="nil"/>
              <w:left w:val="nil"/>
              <w:bottom w:val="single" w:sz="4" w:space="0" w:color="auto"/>
              <w:right w:val="nil"/>
            </w:tcBorders>
            <w:shd w:val="clear" w:color="000000" w:fill="F2F2F2"/>
            <w:noWrap/>
            <w:vAlign w:val="center"/>
            <w:hideMark/>
          </w:tcPr>
          <w:p w14:paraId="4E7B34EB" w14:textId="58FF38D0" w:rsidR="00A9509C" w:rsidRPr="00E76327" w:rsidRDefault="00A9509C" w:rsidP="00A9509C">
            <w:pPr>
              <w:jc w:val="center"/>
              <w:rPr>
                <w:rFonts w:cs="Arial"/>
                <w:i/>
                <w:iCs/>
                <w:color w:val="000000"/>
                <w:sz w:val="20"/>
                <w:szCs w:val="20"/>
              </w:rPr>
            </w:pPr>
            <w:r w:rsidRPr="00E76327">
              <w:rPr>
                <w:rFonts w:cs="Arial"/>
                <w:i/>
                <w:iCs/>
                <w:color w:val="000000"/>
                <w:sz w:val="20"/>
                <w:szCs w:val="20"/>
              </w:rPr>
              <w:t>55%</w:t>
            </w:r>
          </w:p>
        </w:tc>
        <w:tc>
          <w:tcPr>
            <w:tcW w:w="1246" w:type="dxa"/>
            <w:tcBorders>
              <w:top w:val="nil"/>
              <w:left w:val="nil"/>
              <w:bottom w:val="single" w:sz="4" w:space="0" w:color="auto"/>
              <w:right w:val="nil"/>
            </w:tcBorders>
            <w:shd w:val="clear" w:color="000000" w:fill="F2F2F2"/>
            <w:noWrap/>
            <w:vAlign w:val="center"/>
            <w:hideMark/>
          </w:tcPr>
          <w:p w14:paraId="67A9EB78" w14:textId="5233789A" w:rsidR="00A9509C" w:rsidRPr="00E76327" w:rsidRDefault="00A9509C" w:rsidP="00A9509C">
            <w:pPr>
              <w:jc w:val="center"/>
              <w:rPr>
                <w:rFonts w:cs="Arial"/>
                <w:i/>
                <w:iCs/>
                <w:color w:val="000000"/>
                <w:sz w:val="20"/>
                <w:szCs w:val="20"/>
              </w:rPr>
            </w:pPr>
            <w:r w:rsidRPr="00E76327">
              <w:rPr>
                <w:rFonts w:cs="Arial"/>
                <w:i/>
                <w:iCs/>
                <w:color w:val="000000"/>
                <w:sz w:val="20"/>
                <w:szCs w:val="20"/>
              </w:rPr>
              <w:t>83%</w:t>
            </w:r>
          </w:p>
        </w:tc>
      </w:tr>
    </w:tbl>
    <w:p w14:paraId="35D72C7D" w14:textId="77777777" w:rsidR="00160D9D" w:rsidRPr="00A2012B" w:rsidRDefault="00160D9D" w:rsidP="00160D9D">
      <w:pPr>
        <w:rPr>
          <w:highlight w:val="lightGray"/>
        </w:rPr>
      </w:pPr>
    </w:p>
    <w:p w14:paraId="1AD27B5F" w14:textId="77777777" w:rsidR="00F60EB4" w:rsidRPr="00A2012B" w:rsidRDefault="00F60EB4">
      <w:pPr>
        <w:rPr>
          <w:rFonts w:eastAsiaTheme="majorEastAsia" w:cstheme="majorBidi"/>
          <w:b/>
          <w:bCs/>
          <w:i/>
          <w:color w:val="6B2976" w:themeColor="accent1"/>
          <w:sz w:val="24"/>
          <w:highlight w:val="lightGray"/>
        </w:rPr>
        <w:sectPr w:rsidR="00F60EB4" w:rsidRPr="00A2012B" w:rsidSect="00F60EB4">
          <w:headerReference w:type="first" r:id="rId10"/>
          <w:pgSz w:w="16838" w:h="11906" w:orient="landscape"/>
          <w:pgMar w:top="1304" w:right="1701" w:bottom="1304" w:left="794" w:header="851" w:footer="851" w:gutter="0"/>
          <w:cols w:space="708"/>
          <w:titlePg/>
          <w:docGrid w:linePitch="360"/>
        </w:sectPr>
      </w:pPr>
    </w:p>
    <w:p w14:paraId="30D4100D" w14:textId="77777777" w:rsidR="00160D9D" w:rsidRPr="00E76327" w:rsidRDefault="00160D9D" w:rsidP="00160D9D">
      <w:pPr>
        <w:pStyle w:val="Heading3"/>
        <w:numPr>
          <w:ilvl w:val="0"/>
          <w:numId w:val="0"/>
        </w:numPr>
        <w:ind w:left="720" w:hanging="720"/>
      </w:pPr>
      <w:r w:rsidRPr="00E76327">
        <w:lastRenderedPageBreak/>
        <w:t>Trends in plan approvals</w:t>
      </w:r>
    </w:p>
    <w:p w14:paraId="527896A4" w14:textId="58FC7EBE" w:rsidR="00160D9D" w:rsidRPr="00E76327" w:rsidRDefault="00DE0092" w:rsidP="00160D9D">
      <w:r w:rsidRPr="00E76327">
        <w:t>Figure</w:t>
      </w:r>
      <w:r w:rsidRPr="00E76327">
        <w:rPr>
          <w:sz w:val="20"/>
          <w:szCs w:val="20"/>
        </w:rPr>
        <w:t xml:space="preserve"> </w:t>
      </w:r>
      <w:r w:rsidRPr="00E76327">
        <w:rPr>
          <w:caps/>
          <w:noProof/>
          <w:sz w:val="20"/>
          <w:szCs w:val="20"/>
        </w:rPr>
        <w:t>1</w:t>
      </w:r>
      <w:r w:rsidR="00160D9D" w:rsidRPr="00E76327">
        <w:t xml:space="preserve"> and </w:t>
      </w:r>
      <w:r w:rsidRPr="00E76327">
        <w:t>Figure</w:t>
      </w:r>
      <w:r w:rsidRPr="00E76327">
        <w:rPr>
          <w:sz w:val="20"/>
          <w:szCs w:val="20"/>
        </w:rPr>
        <w:t xml:space="preserve"> </w:t>
      </w:r>
      <w:r w:rsidRPr="00E76327">
        <w:rPr>
          <w:caps/>
          <w:noProof/>
          <w:sz w:val="20"/>
          <w:szCs w:val="20"/>
        </w:rPr>
        <w:t>2</w:t>
      </w:r>
      <w:r w:rsidR="00160D9D" w:rsidRPr="00E76327">
        <w:t xml:space="preserve"> show participants with approved plans by month compared with the bilateral agreements and the actuarial model.</w:t>
      </w:r>
    </w:p>
    <w:p w14:paraId="605FF751" w14:textId="554963BB" w:rsidR="005837F8" w:rsidRDefault="005837F8" w:rsidP="005837F8">
      <w:pPr>
        <w:spacing w:before="200"/>
      </w:pPr>
      <w:r>
        <w:t>In the March 2016 quarter, plan reviews represented more than half of the plans approved in the New South Wales - Hunter (68%)</w:t>
      </w:r>
      <w:r w:rsidR="005D2FF4">
        <w:t>, South Australian (70%</w:t>
      </w:r>
      <w:r>
        <w:t>), Tasmanian (79%), Victorian (96%) and Western Australian trial sites (70%).</w:t>
      </w:r>
    </w:p>
    <w:p w14:paraId="5E862DB4" w14:textId="7CCE6A8E" w:rsidR="00CD16C8" w:rsidRDefault="00CD16C8" w:rsidP="00CD16C8">
      <w:pPr>
        <w:spacing w:before="200"/>
      </w:pPr>
      <w:r>
        <w:t xml:space="preserve">In all trial sites, there were a low number of first plans approved in January 2016 </w:t>
      </w:r>
      <w:r w:rsidR="00711375">
        <w:t>due to the holiday season, and February due to the transition to a new IT system.</w:t>
      </w:r>
    </w:p>
    <w:p w14:paraId="5C942B54" w14:textId="5D0FD502" w:rsidR="00CD16C8" w:rsidRDefault="00CD16C8" w:rsidP="00CD16C8">
      <w:pPr>
        <w:spacing w:before="200"/>
      </w:pPr>
      <w:r>
        <w:t xml:space="preserve">The number of first plan approvals in the New South Wales (Hunter) trial site has decreased slightly since the previous quarter. However, the </w:t>
      </w:r>
      <w:r w:rsidR="005D2FF4">
        <w:t xml:space="preserve">total </w:t>
      </w:r>
      <w:r>
        <w:t xml:space="preserve">number of plans approved by month increased throughout the quarter. </w:t>
      </w:r>
    </w:p>
    <w:p w14:paraId="1642ABA5" w14:textId="0E8A14FA" w:rsidR="00CD16C8" w:rsidRDefault="00CD16C8" w:rsidP="00CD16C8">
      <w:pPr>
        <w:spacing w:before="200"/>
      </w:pPr>
      <w:r>
        <w:t xml:space="preserve">In the South Australian trial site, the </w:t>
      </w:r>
      <w:r w:rsidR="00D67DC1">
        <w:t xml:space="preserve">revised bilateral target </w:t>
      </w:r>
      <w:r>
        <w:t>resulted in a large increase in first plan approvals in the March 2016 quarter.</w:t>
      </w:r>
    </w:p>
    <w:p w14:paraId="7D01DACC" w14:textId="77777777" w:rsidR="009821EF" w:rsidRDefault="00CD16C8" w:rsidP="00E76327">
      <w:pPr>
        <w:spacing w:before="200"/>
      </w:pPr>
      <w:r>
        <w:t xml:space="preserve">The number of participants receiving their first approved plan in the Australian Capital Territory trial site this quarter was lower than the bilateral target. </w:t>
      </w:r>
    </w:p>
    <w:p w14:paraId="47FADF53" w14:textId="4B33B57A" w:rsidR="00CD16C8" w:rsidRDefault="00CD16C8" w:rsidP="00E76327">
      <w:pPr>
        <w:spacing w:before="200"/>
      </w:pPr>
      <w:r>
        <w:t>In the Victorian trial site, there were a high number of plan reviews in</w:t>
      </w:r>
      <w:r w:rsidR="00926C37">
        <w:t xml:space="preserve"> February 2016 and March 2016. </w:t>
      </w:r>
    </w:p>
    <w:p w14:paraId="5AD66640" w14:textId="38DA48A4" w:rsidR="00D74A3B" w:rsidRPr="00E76327" w:rsidRDefault="00D74A3B" w:rsidP="00D74A3B">
      <w:r w:rsidRPr="00E76327">
        <w:t xml:space="preserve">On 1 July 2015, an early roll out to full scheme commenced in the New South Wales (Nepean Blue Mountains) site with plans being approved from 1 September 2015. </w:t>
      </w:r>
      <w:r w:rsidR="00CD16C8">
        <w:t>The number of first plan approvals were slightly higher than the bilateral target f</w:t>
      </w:r>
      <w:r w:rsidR="005D2FF4">
        <w:t>or February 2016 and March 2016.</w:t>
      </w:r>
      <w:r w:rsidR="00CD16C8">
        <w:t xml:space="preserve"> </w:t>
      </w:r>
      <w:r w:rsidR="005D2FF4">
        <w:t>T</w:t>
      </w:r>
      <w:r w:rsidR="00CD16C8">
        <w:t>his balances the lower than expected number of first plan approvals in January 2016 due to the holiday season.</w:t>
      </w:r>
    </w:p>
    <w:p w14:paraId="6E1D9ACF" w14:textId="77777777" w:rsidR="00160D9D" w:rsidRPr="00E76327" w:rsidRDefault="00160D9D" w:rsidP="00160D9D">
      <w:pPr>
        <w:pStyle w:val="TablesandFigures"/>
        <w:spacing w:before="200"/>
        <w:sectPr w:rsidR="00160D9D" w:rsidRPr="00E76327" w:rsidSect="00583806">
          <w:pgSz w:w="11906" w:h="16838"/>
          <w:pgMar w:top="1701" w:right="1304" w:bottom="794" w:left="1304" w:header="851" w:footer="851" w:gutter="0"/>
          <w:cols w:space="708"/>
          <w:titlePg/>
          <w:docGrid w:linePitch="360"/>
        </w:sectPr>
      </w:pPr>
    </w:p>
    <w:p w14:paraId="00C8F72E" w14:textId="77777777" w:rsidR="00160D9D" w:rsidRPr="00A2012B" w:rsidRDefault="00160D9D" w:rsidP="00160D9D">
      <w:pPr>
        <w:rPr>
          <w:sz w:val="2"/>
          <w:highlight w:val="lightGray"/>
        </w:rPr>
      </w:pPr>
    </w:p>
    <w:p w14:paraId="38BF5C7B" w14:textId="14FE84A8" w:rsidR="00160D9D" w:rsidRPr="00E76327" w:rsidRDefault="00160D9D" w:rsidP="00160D9D">
      <w:pPr>
        <w:pStyle w:val="Caption"/>
        <w:keepNext/>
        <w:rPr>
          <w:caps w:val="0"/>
          <w:sz w:val="20"/>
          <w:szCs w:val="20"/>
        </w:rPr>
      </w:pPr>
      <w:bookmarkStart w:id="7" w:name="_Ref401909200"/>
      <w:r w:rsidRPr="00E76327">
        <w:rPr>
          <w:caps w:val="0"/>
          <w:sz w:val="20"/>
          <w:szCs w:val="20"/>
        </w:rPr>
        <w:t xml:space="preserve">Figure </w:t>
      </w:r>
      <w:r w:rsidR="00DE0092" w:rsidRPr="00E76327">
        <w:rPr>
          <w:caps w:val="0"/>
          <w:noProof/>
          <w:sz w:val="20"/>
          <w:szCs w:val="20"/>
        </w:rPr>
        <w:t>1</w:t>
      </w:r>
      <w:bookmarkEnd w:id="7"/>
      <w:r w:rsidRPr="00E76327">
        <w:rPr>
          <w:caps w:val="0"/>
          <w:sz w:val="20"/>
          <w:szCs w:val="20"/>
        </w:rPr>
        <w:t xml:space="preserve"> Participants with approved plans by month compared with the bilateral agreemen</w:t>
      </w:r>
      <w:r w:rsidR="00EA5CF2" w:rsidRPr="00E76327">
        <w:rPr>
          <w:caps w:val="0"/>
          <w:sz w:val="20"/>
          <w:szCs w:val="20"/>
        </w:rPr>
        <w:t xml:space="preserve">ts and the actuarial model – </w:t>
      </w:r>
      <w:r w:rsidR="000163F5" w:rsidRPr="00E76327">
        <w:rPr>
          <w:caps w:val="0"/>
          <w:sz w:val="20"/>
          <w:szCs w:val="20"/>
        </w:rPr>
        <w:t>NSW (</w:t>
      </w:r>
      <w:r w:rsidR="00EA5CF2" w:rsidRPr="00E76327">
        <w:rPr>
          <w:caps w:val="0"/>
          <w:sz w:val="20"/>
          <w:szCs w:val="20"/>
        </w:rPr>
        <w:t>Hunter</w:t>
      </w:r>
      <w:r w:rsidR="000163F5" w:rsidRPr="00E76327">
        <w:rPr>
          <w:caps w:val="0"/>
          <w:sz w:val="20"/>
          <w:szCs w:val="20"/>
        </w:rPr>
        <w:t>)</w:t>
      </w:r>
      <w:r w:rsidRPr="00E76327">
        <w:rPr>
          <w:caps w:val="0"/>
          <w:sz w:val="20"/>
          <w:szCs w:val="20"/>
        </w:rPr>
        <w:t>, SA, TAS and VIC trial sites</w:t>
      </w:r>
    </w:p>
    <w:p w14:paraId="0F62A379" w14:textId="110E6522" w:rsidR="00D74A3B" w:rsidRPr="00E76327" w:rsidRDefault="00280D7C" w:rsidP="00073321">
      <w:bookmarkStart w:id="8" w:name="_Ref401909230"/>
      <w:r w:rsidRPr="00E76327">
        <w:rPr>
          <w:noProof/>
          <w:lang w:eastAsia="en-AU"/>
        </w:rPr>
        <w:drawing>
          <wp:inline distT="0" distB="0" distL="0" distR="0" wp14:anchorId="696862A0" wp14:editId="649BF1BC">
            <wp:extent cx="4476307" cy="1917542"/>
            <wp:effectExtent l="0" t="0" r="635" b="6985"/>
            <wp:docPr id="8" name="Picture 8" descr="This graph shows the number of approved plans on the vertical axis and the month of approval on the horizontal axis. The graph shows both first plans, as well as any subsequent plan reviews.&#10;&#10;For the Hunter trial site, there were very few plans approved in July 2013. The number of approved plans from August 2013 to January 2014 was generally steady, at around 150 per month. There were a large number of plans approved in February and March, with 300 plans approved in February and over 500 in March 2014. March 2015 also saw a major increase in both the number of approved plans, at over 300, and the number of plan reviews. Since then, the number of first plans and plan reviews have continued at this level. There was a drop in number of approved plans from July 2015, there has been a steady increase since but it remains under under both the bilateral and actuarial targets. The number of plan reviews have been increasing over the March 2016 quarter." title="NSW (Hunter)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5537" cy="1934347"/>
                    </a:xfrm>
                    <a:prstGeom prst="rect">
                      <a:avLst/>
                    </a:prstGeom>
                    <a:noFill/>
                    <a:ln>
                      <a:noFill/>
                    </a:ln>
                  </pic:spPr>
                </pic:pic>
              </a:graphicData>
            </a:graphic>
          </wp:inline>
        </w:drawing>
      </w:r>
      <w:r w:rsidRPr="00E76327">
        <w:rPr>
          <w:noProof/>
          <w:lang w:eastAsia="en-AU"/>
        </w:rPr>
        <w:drawing>
          <wp:inline distT="0" distB="0" distL="0" distR="0" wp14:anchorId="0A3FA168" wp14:editId="55E6C5BF">
            <wp:extent cx="4380614" cy="1912387"/>
            <wp:effectExtent l="0" t="0" r="1270" b="0"/>
            <wp:docPr id="9" name="Picture 9" descr="This graph shows the number of approved plans on the vertical axis and the month of approval on the horizontal axis. The graph shows both first plans, as well as any subsequent plan reviews.&#10;&#10;For South Australia, the number of participants with approved plans generally increased each month from July 2013, peaking at around 220 in March 2014. There was a drop in the number of plans approved in April 2014 to around 100 however since then, the number of plans approved has steadily increased each month to over 600 in June 2015. The bilateral target of 5,085 was reached on August 31, as a result the number of approved plans has decreased in the September 2015 quarter and further decreased in the December 2015 quarter. The number of approved plans has increased in February 2016 and March 2016." title="SA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5523" cy="1923261"/>
                    </a:xfrm>
                    <a:prstGeom prst="rect">
                      <a:avLst/>
                    </a:prstGeom>
                    <a:noFill/>
                    <a:ln>
                      <a:noFill/>
                    </a:ln>
                  </pic:spPr>
                </pic:pic>
              </a:graphicData>
            </a:graphic>
          </wp:inline>
        </w:drawing>
      </w:r>
    </w:p>
    <w:p w14:paraId="110133E9" w14:textId="775B4363" w:rsidR="00760A0C" w:rsidRPr="00E76327" w:rsidRDefault="00280D7C" w:rsidP="00073321">
      <w:r w:rsidRPr="00E76327">
        <w:rPr>
          <w:noProof/>
          <w:lang w:eastAsia="en-AU"/>
        </w:rPr>
        <w:drawing>
          <wp:inline distT="0" distB="0" distL="0" distR="0" wp14:anchorId="44E1F045" wp14:editId="4CB60969">
            <wp:extent cx="4500537" cy="1945758"/>
            <wp:effectExtent l="0" t="0" r="0" b="0"/>
            <wp:docPr id="10" name="Picture 10" descr="This graph shows the number of approved plans on the vertical axis and the month of approval on the horizontal axis. The graph shows both first plans, as well as any subsequent plan reviews.&#10;&#10;For Tasmania, the number of participants with approved plans is generally in line with both the bilateral agreement and the actuarial model. With the exception of July 2013, the average number of participants with approved plans each month was around 70 during the first year of the scheme. Since July 2014, the focus has been on plan reviews." title="TAS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0089" cy="1954211"/>
                    </a:xfrm>
                    <a:prstGeom prst="rect">
                      <a:avLst/>
                    </a:prstGeom>
                    <a:noFill/>
                    <a:ln>
                      <a:noFill/>
                    </a:ln>
                  </pic:spPr>
                </pic:pic>
              </a:graphicData>
            </a:graphic>
          </wp:inline>
        </w:drawing>
      </w:r>
      <w:r w:rsidRPr="00E76327">
        <w:rPr>
          <w:noProof/>
          <w:lang w:eastAsia="en-AU"/>
        </w:rPr>
        <w:drawing>
          <wp:inline distT="0" distB="0" distL="0" distR="0" wp14:anchorId="37F47171" wp14:editId="61CE207F">
            <wp:extent cx="4391246" cy="1911839"/>
            <wp:effectExtent l="0" t="0" r="0" b="0"/>
            <wp:docPr id="11" name="Picture 11" descr="This graph shows the number of approved plans on the vertical axis and the month of approval on the horizontal axis. The graph shows both first plans, as well as any subsequent plan reviews.&#10;&#10;For Victoria, there were very few participants with approved plans in July. Between August 2013 and January 2014, the average number of participants with approved plans was generally around 200 per month. There were a large number of participants with approved plans in February and March 2014, over 400 plans per month. In April 2014, very few plans were approved but numbers increased again in May and June 2014. Since July 2014, the number of plan reviews has increased significantly." title="VIC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776" cy="1924260"/>
                    </a:xfrm>
                    <a:prstGeom prst="rect">
                      <a:avLst/>
                    </a:prstGeom>
                    <a:noFill/>
                    <a:ln>
                      <a:noFill/>
                    </a:ln>
                  </pic:spPr>
                </pic:pic>
              </a:graphicData>
            </a:graphic>
          </wp:inline>
        </w:drawing>
      </w:r>
    </w:p>
    <w:p w14:paraId="562600E5" w14:textId="0581FEBC" w:rsidR="00160D9D" w:rsidRPr="00E76327" w:rsidRDefault="00160D9D" w:rsidP="00160D9D">
      <w:pPr>
        <w:pStyle w:val="Caption"/>
        <w:keepNext/>
        <w:rPr>
          <w:szCs w:val="20"/>
        </w:rPr>
      </w:pPr>
      <w:r w:rsidRPr="00E76327">
        <w:rPr>
          <w:caps w:val="0"/>
          <w:sz w:val="20"/>
          <w:szCs w:val="20"/>
        </w:rPr>
        <w:lastRenderedPageBreak/>
        <w:t xml:space="preserve">Figure </w:t>
      </w:r>
      <w:r w:rsidR="00DE0092" w:rsidRPr="00E76327">
        <w:rPr>
          <w:caps w:val="0"/>
          <w:noProof/>
          <w:sz w:val="20"/>
          <w:szCs w:val="20"/>
        </w:rPr>
        <w:t>2</w:t>
      </w:r>
      <w:bookmarkEnd w:id="8"/>
      <w:r w:rsidRPr="00E76327">
        <w:rPr>
          <w:caps w:val="0"/>
          <w:sz w:val="20"/>
          <w:szCs w:val="20"/>
        </w:rPr>
        <w:t xml:space="preserve"> Participants with approved plans by month compared with the bilateral agreements and t</w:t>
      </w:r>
      <w:r w:rsidR="00EA5CF2" w:rsidRPr="00E76327">
        <w:rPr>
          <w:caps w:val="0"/>
          <w:sz w:val="20"/>
          <w:szCs w:val="20"/>
        </w:rPr>
        <w:t>he actuarial model – ACT, NT,</w:t>
      </w:r>
      <w:r w:rsidRPr="00E76327">
        <w:rPr>
          <w:caps w:val="0"/>
          <w:sz w:val="20"/>
          <w:szCs w:val="20"/>
        </w:rPr>
        <w:t xml:space="preserve"> </w:t>
      </w:r>
      <w:r w:rsidR="00081C15" w:rsidRPr="00E76327">
        <w:rPr>
          <w:caps w:val="0"/>
          <w:sz w:val="20"/>
          <w:szCs w:val="20"/>
        </w:rPr>
        <w:t xml:space="preserve">and </w:t>
      </w:r>
      <w:r w:rsidRPr="00E76327">
        <w:rPr>
          <w:caps w:val="0"/>
          <w:sz w:val="20"/>
          <w:szCs w:val="20"/>
        </w:rPr>
        <w:t>WA</w:t>
      </w:r>
      <w:r w:rsidR="00EA5CF2" w:rsidRPr="00E76327">
        <w:rPr>
          <w:caps w:val="0"/>
          <w:sz w:val="20"/>
          <w:szCs w:val="20"/>
        </w:rPr>
        <w:t xml:space="preserve"> </w:t>
      </w:r>
      <w:r w:rsidR="00081C15" w:rsidRPr="00E76327">
        <w:rPr>
          <w:caps w:val="0"/>
          <w:sz w:val="20"/>
          <w:szCs w:val="20"/>
        </w:rPr>
        <w:t>trial sites</w:t>
      </w:r>
      <w:r w:rsidR="00EA5CF2" w:rsidRPr="00E76327">
        <w:rPr>
          <w:caps w:val="0"/>
          <w:sz w:val="20"/>
          <w:szCs w:val="20"/>
        </w:rPr>
        <w:t xml:space="preserve"> </w:t>
      </w:r>
      <w:r w:rsidR="00081C15" w:rsidRPr="00E76327">
        <w:rPr>
          <w:caps w:val="0"/>
          <w:sz w:val="20"/>
          <w:szCs w:val="20"/>
        </w:rPr>
        <w:t xml:space="preserve">and NSW </w:t>
      </w:r>
      <w:r w:rsidR="000163F5" w:rsidRPr="00E76327">
        <w:rPr>
          <w:caps w:val="0"/>
          <w:sz w:val="20"/>
          <w:szCs w:val="20"/>
        </w:rPr>
        <w:t>(</w:t>
      </w:r>
      <w:r w:rsidR="00EA5CF2" w:rsidRPr="00E76327">
        <w:rPr>
          <w:caps w:val="0"/>
          <w:sz w:val="20"/>
          <w:szCs w:val="20"/>
        </w:rPr>
        <w:t>Nepean Blue Mountains</w:t>
      </w:r>
      <w:r w:rsidR="000163F5" w:rsidRPr="00E76327">
        <w:rPr>
          <w:caps w:val="0"/>
          <w:sz w:val="20"/>
          <w:szCs w:val="20"/>
        </w:rPr>
        <w:t>)</w:t>
      </w:r>
      <w:r w:rsidRPr="00E76327">
        <w:rPr>
          <w:caps w:val="0"/>
          <w:sz w:val="20"/>
          <w:szCs w:val="20"/>
        </w:rPr>
        <w:t xml:space="preserve"> site</w:t>
      </w:r>
      <w:r w:rsidRPr="00E76327">
        <w:rPr>
          <w:rStyle w:val="FootnoteReference"/>
          <w:caps w:val="0"/>
          <w:sz w:val="20"/>
          <w:szCs w:val="20"/>
        </w:rPr>
        <w:footnoteReference w:id="5"/>
      </w:r>
    </w:p>
    <w:p w14:paraId="3636F28B" w14:textId="08BAED12" w:rsidR="00D74A3B" w:rsidRPr="00E76327" w:rsidRDefault="0051736C" w:rsidP="00073321">
      <w:pPr>
        <w:rPr>
          <w:lang w:eastAsia="en-AU"/>
        </w:rPr>
        <w:sectPr w:rsidR="00D74A3B" w:rsidRPr="00E76327" w:rsidSect="0094427D">
          <w:headerReference w:type="first" r:id="rId15"/>
          <w:pgSz w:w="16838" w:h="11906" w:orient="landscape"/>
          <w:pgMar w:top="1440" w:right="1956" w:bottom="1440" w:left="851" w:header="850" w:footer="851" w:gutter="0"/>
          <w:cols w:space="708"/>
          <w:docGrid w:linePitch="360"/>
        </w:sectPr>
      </w:pPr>
      <w:r w:rsidRPr="00E76327">
        <w:rPr>
          <w:noProof/>
          <w:lang w:eastAsia="en-AU"/>
        </w:rPr>
        <w:drawing>
          <wp:inline distT="0" distB="0" distL="0" distR="0" wp14:anchorId="05377A88" wp14:editId="66675C35">
            <wp:extent cx="4384127" cy="1998920"/>
            <wp:effectExtent l="0" t="0" r="0" b="1905"/>
            <wp:docPr id="12" name="Picture 12" descr="This graph shows the number of approved plans on the vertical axis and month of approval on the horizontal axis. The graph shows only first plans - there have been very few plan reviews in this trial site.&#10;&#10;In the ACT trial site, the majority of plan approvals for the first quarter were in the month of September. The second quarter of 2014/15 averaged about 100 plan approvals per month. The third quarter of 2014/15 averaged close to 150 plans per month, peaking in March at around 250 plan approvals. The fourth quarter of 2014/15 and first quarter of 2015/16 followed a similar pattern. Since October 2015, the pattern of gradual increase across each quarter has flattened and remained around 250 first plan approvals each month. First plan approvals in March 2016 quarter have dropped below both the bilateral and actuarial targets. " title="ACT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8587" cy="2000954"/>
                    </a:xfrm>
                    <a:prstGeom prst="rect">
                      <a:avLst/>
                    </a:prstGeom>
                    <a:noFill/>
                    <a:ln>
                      <a:noFill/>
                    </a:ln>
                  </pic:spPr>
                </pic:pic>
              </a:graphicData>
            </a:graphic>
          </wp:inline>
        </w:drawing>
      </w:r>
      <w:r w:rsidRPr="00E76327">
        <w:rPr>
          <w:noProof/>
          <w:lang w:eastAsia="en-AU"/>
        </w:rPr>
        <w:drawing>
          <wp:inline distT="0" distB="0" distL="0" distR="0" wp14:anchorId="322ED647" wp14:editId="734DE309">
            <wp:extent cx="4496083" cy="1988289"/>
            <wp:effectExtent l="0" t="0" r="0" b="0"/>
            <wp:docPr id="13" name="Picture 13" descr="This graph shows the number of approved plans on the vertical axis and month of approval on the horizontal axis. The graph shows only first plans - there have been very few plan reviews in this trial site.&#10;&#10;For the NT trial site, the majority of plan approvals were in the months of August and September 2014. There were an additional nine participants with their first plan approved in June 2015.&#10;&#10;No plan approvals were scheduled in the first month of operations, and there have been few plan approvals to date, as expected due to the size of the trial site.&#10;&#10;A new engagement officer was recently hired in the Northern Territory which has seen a spike in approved plans. In September 2015 there were 30 plans approved which is almost triple the amount approved in recent months. The number of approved plans have since dropped, with the highest in December 2015 of 14. The number of plan approvals has increased slightly to reach 10 in March 2016." title="NT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2442" cy="1995523"/>
                    </a:xfrm>
                    <a:prstGeom prst="rect">
                      <a:avLst/>
                    </a:prstGeom>
                    <a:noFill/>
                    <a:ln>
                      <a:noFill/>
                    </a:ln>
                  </pic:spPr>
                </pic:pic>
              </a:graphicData>
            </a:graphic>
          </wp:inline>
        </w:drawing>
      </w:r>
      <w:r w:rsidRPr="00E76327">
        <w:rPr>
          <w:noProof/>
          <w:lang w:eastAsia="en-AU"/>
        </w:rPr>
        <w:drawing>
          <wp:inline distT="0" distB="0" distL="0" distR="0" wp14:anchorId="3D71EDA5" wp14:editId="1DC7A7AA">
            <wp:extent cx="4426096" cy="2041451"/>
            <wp:effectExtent l="0" t="0" r="0" b="0"/>
            <wp:docPr id="27" name="Picture 27" descr="This graph shows the number of approved plans on the vertical axis and month of approval on the horizontal axis. The graph shows only first plans - there have been very few plan reviews in this trial site.&#10;&#10;No plan approvals were scheduled in the first month of operations. The number of plans approved peaked in March 2015 at around 280.&#10;&#10;September 2015 saw the first round of plan reviews commence.&#10;&#10;For this new trial site in 2014/15, the majority of plan approvals for the first quarter were in the month of September. The second quarter of 2014/15 averaged about 100 plan approvals per month. The third quarter of 2014/15 averaged close to 150 plans per month, peaking in March at around 275 plan approvals. Since September 2015, there has been a large increase in plan reviews. Since October 2015, the number of first plan approvals remains significantly lower than bilateral and actuarial targets. " title="WA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9334" cy="2047557"/>
                    </a:xfrm>
                    <a:prstGeom prst="rect">
                      <a:avLst/>
                    </a:prstGeom>
                    <a:noFill/>
                    <a:ln>
                      <a:noFill/>
                    </a:ln>
                  </pic:spPr>
                </pic:pic>
              </a:graphicData>
            </a:graphic>
          </wp:inline>
        </w:drawing>
      </w:r>
      <w:r w:rsidRPr="00E76327">
        <w:rPr>
          <w:noProof/>
          <w:lang w:eastAsia="en-AU"/>
        </w:rPr>
        <w:drawing>
          <wp:inline distT="0" distB="0" distL="0" distR="0" wp14:anchorId="4EEB3490" wp14:editId="2D9C16DF">
            <wp:extent cx="4428429" cy="2052083"/>
            <wp:effectExtent l="0" t="0" r="0" b="0"/>
            <wp:docPr id="30" name="Picture 30" descr="This graph shows the number of approved plans on the vertical axis and month of approval on the horizontal axis. The graph shows only first plans - there have been no plan reviews in this trial site.&#10;&#10;In the first month of operations 50 participants recieved an approved plan. The expected number of plan approved is 200 per month, which was met in December 2015. The number of plan approvals in March 2016 quarter has largely remains around the bilateral target. " title="NSW (Nepean Blue Mountians) participants with approved plans by month compared with the bilateral agreements and the actuari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3728" cy="2059172"/>
                    </a:xfrm>
                    <a:prstGeom prst="rect">
                      <a:avLst/>
                    </a:prstGeom>
                    <a:noFill/>
                    <a:ln>
                      <a:noFill/>
                    </a:ln>
                  </pic:spPr>
                </pic:pic>
              </a:graphicData>
            </a:graphic>
          </wp:inline>
        </w:drawing>
      </w:r>
    </w:p>
    <w:p w14:paraId="75038F7E" w14:textId="77777777" w:rsidR="00160D9D" w:rsidRPr="00E76327" w:rsidRDefault="00160D9D" w:rsidP="00EA5CF2">
      <w:pPr>
        <w:pStyle w:val="Heading3"/>
        <w:numPr>
          <w:ilvl w:val="0"/>
          <w:numId w:val="0"/>
        </w:numPr>
      </w:pPr>
      <w:r w:rsidRPr="00E76327">
        <w:lastRenderedPageBreak/>
        <w:t xml:space="preserve">Committed support </w:t>
      </w:r>
    </w:p>
    <w:p w14:paraId="24A4BC2D" w14:textId="15DAB3C3" w:rsidR="00160D9D" w:rsidRPr="00E76327" w:rsidRDefault="009308AE" w:rsidP="00160D9D">
      <w:r w:rsidRPr="00C825D4">
        <w:t xml:space="preserve">As at 31 March 2016, 24,866 participants (active and inactive) have approved plans, and $1,960.9 million of support has been committed to these participants </w:t>
      </w:r>
      <w:r w:rsidR="00160D9D" w:rsidRPr="00E76327">
        <w:t>(</w:t>
      </w:r>
      <w:r w:rsidR="00DE0092" w:rsidRPr="00E76327">
        <w:t xml:space="preserve">Table </w:t>
      </w:r>
      <w:r w:rsidR="00DE0092" w:rsidRPr="00E76327">
        <w:rPr>
          <w:noProof/>
        </w:rPr>
        <w:t>2</w:t>
      </w:r>
      <w:r w:rsidR="00160D9D" w:rsidRPr="00E76327">
        <w:t>).</w:t>
      </w:r>
    </w:p>
    <w:p w14:paraId="4E5ABEDB" w14:textId="3ED004D7" w:rsidR="00B104E6" w:rsidRPr="00711375" w:rsidRDefault="00B104E6" w:rsidP="00B104E6">
      <w:r w:rsidRPr="00E76327">
        <w:t xml:space="preserve">Of this </w:t>
      </w:r>
      <w:r w:rsidR="009308AE" w:rsidRPr="00C825D4">
        <w:t>$1,960.</w:t>
      </w:r>
      <w:r w:rsidR="009308AE" w:rsidRPr="00711375">
        <w:t xml:space="preserve">9 </w:t>
      </w:r>
      <w:r w:rsidRPr="00711375">
        <w:t>million:</w:t>
      </w:r>
    </w:p>
    <w:p w14:paraId="386022B8" w14:textId="4D569142" w:rsidR="00EA0D92" w:rsidRPr="00711375" w:rsidRDefault="00B104E6" w:rsidP="0048651E">
      <w:pPr>
        <w:pStyle w:val="ListParagraph"/>
        <w:numPr>
          <w:ilvl w:val="0"/>
          <w:numId w:val="12"/>
        </w:numPr>
      </w:pPr>
      <w:r w:rsidRPr="00711375">
        <w:t>It is estimated that $141.0 million (</w:t>
      </w:r>
      <w:r w:rsidR="009308AE" w:rsidRPr="00711375">
        <w:t>7</w:t>
      </w:r>
      <w:r w:rsidRPr="00711375">
        <w:t xml:space="preserve">%) was provided in 2013-14 (including actual paid to date). The funding envelope based on the bilateral agreements for 2013-14 is $148.8 million, including cash and in-kind. Hence, for participants who have entered the scheme in the first year, committed support for 2013-14 is around 95% of the funding envelope </w:t>
      </w:r>
      <w:r w:rsidR="00160D9D" w:rsidRPr="00711375">
        <w:t>(</w:t>
      </w:r>
      <w:r w:rsidR="00DE0092" w:rsidRPr="00711375">
        <w:t xml:space="preserve">Table </w:t>
      </w:r>
      <w:r w:rsidR="00DE0092" w:rsidRPr="00711375">
        <w:rPr>
          <w:noProof/>
        </w:rPr>
        <w:t>2</w:t>
      </w:r>
      <w:r w:rsidR="00160D9D" w:rsidRPr="00711375">
        <w:t>).</w:t>
      </w:r>
      <w:r w:rsidR="00160D9D" w:rsidRPr="00711375">
        <w:rPr>
          <w:rStyle w:val="FootnoteReference"/>
        </w:rPr>
        <w:footnoteReference w:id="6"/>
      </w:r>
    </w:p>
    <w:p w14:paraId="134ABB0F" w14:textId="77777777" w:rsidR="00EA0D92" w:rsidRPr="00711375" w:rsidRDefault="00EA0D92" w:rsidP="00EA0D92">
      <w:pPr>
        <w:pStyle w:val="ListParagraph"/>
      </w:pPr>
    </w:p>
    <w:p w14:paraId="011A722F" w14:textId="21FC37F2" w:rsidR="00EA0D92" w:rsidRPr="00711375" w:rsidRDefault="009308AE" w:rsidP="0048651E">
      <w:pPr>
        <w:pStyle w:val="ListParagraph"/>
        <w:numPr>
          <w:ilvl w:val="0"/>
          <w:numId w:val="12"/>
        </w:numPr>
      </w:pPr>
      <w:r w:rsidRPr="00711375">
        <w:t xml:space="preserve">$504.7 million (26%) is estimated to be provided in 2014-15. This compares with the funding envelope based on the bilateral agreements for 2014-15 of $456.9 million, including both cash and in-kind. Therefore, for participants who have entered the scheme to date, committed support for 2014-15 is around 110% of the funding envelope for 2014-15 </w:t>
      </w:r>
      <w:r w:rsidR="00160D9D" w:rsidRPr="00711375">
        <w:t>(</w:t>
      </w:r>
      <w:r w:rsidR="00DE0092" w:rsidRPr="00711375">
        <w:t>Table 2</w:t>
      </w:r>
      <w:r w:rsidR="00160D9D" w:rsidRPr="00711375">
        <w:t>).</w:t>
      </w:r>
    </w:p>
    <w:p w14:paraId="5A3BA55C" w14:textId="1B079630" w:rsidR="00B104E6" w:rsidRPr="00711375" w:rsidRDefault="00B104E6" w:rsidP="00EA0D92">
      <w:pPr>
        <w:pStyle w:val="ListParagraph"/>
      </w:pPr>
    </w:p>
    <w:p w14:paraId="683E6DA9" w14:textId="5B3E7105" w:rsidR="0025610A" w:rsidRPr="00711375" w:rsidRDefault="009308AE" w:rsidP="0025610A">
      <w:pPr>
        <w:pStyle w:val="ListParagraph"/>
        <w:numPr>
          <w:ilvl w:val="0"/>
          <w:numId w:val="12"/>
        </w:numPr>
      </w:pPr>
      <w:r w:rsidRPr="00711375">
        <w:t>$848.5 million (43%) is estimated to be provided in 2015-16. The funding envelope based on the bilateral agreements for 2015-16 is $871.9 million, including both cash and in-kind. Thus, for participants who have entered the scheme to date, committed support for 2015-16 is 97% of the funding envelope for 2015-16.</w:t>
      </w:r>
    </w:p>
    <w:p w14:paraId="3E01E0AF" w14:textId="77777777" w:rsidR="0025610A" w:rsidRPr="00711375" w:rsidRDefault="0025610A" w:rsidP="0025610A">
      <w:pPr>
        <w:pStyle w:val="ListParagraph"/>
        <w:ind w:left="360"/>
      </w:pPr>
    </w:p>
    <w:p w14:paraId="69156FD1" w14:textId="0582BC3D" w:rsidR="0025610A" w:rsidRPr="00711375" w:rsidRDefault="009308AE" w:rsidP="0025610A">
      <w:pPr>
        <w:pStyle w:val="ListParagraph"/>
        <w:numPr>
          <w:ilvl w:val="0"/>
          <w:numId w:val="12"/>
        </w:numPr>
      </w:pPr>
      <w:r w:rsidRPr="00711375">
        <w:t>$466.7 million (24%) is expected to be provided in 2016-17 and beyond.</w:t>
      </w:r>
    </w:p>
    <w:p w14:paraId="23198493" w14:textId="77777777" w:rsidR="00711375" w:rsidRPr="00711375" w:rsidRDefault="00711375" w:rsidP="00711375">
      <w:pPr>
        <w:pStyle w:val="ListParagraph"/>
      </w:pPr>
    </w:p>
    <w:p w14:paraId="50E7FED0" w14:textId="39C938E8" w:rsidR="00EA0D92" w:rsidRPr="00711375" w:rsidRDefault="00711375" w:rsidP="00711375">
      <w:pPr>
        <w:pStyle w:val="ListParagraph"/>
        <w:numPr>
          <w:ilvl w:val="0"/>
          <w:numId w:val="12"/>
        </w:numPr>
        <w:rPr>
          <w:b/>
          <w:bCs/>
          <w:sz w:val="20"/>
          <w:szCs w:val="20"/>
        </w:rPr>
      </w:pPr>
      <w:bookmarkStart w:id="9" w:name="_Ref401845465"/>
      <w:r w:rsidRPr="00711375">
        <w:t>Note: committed support exceeds the funding envelope in 2014-15 and is close to the funding envelope in 2015-16. However, as not all committed support is being utilised, an actual deficit will not arise</w:t>
      </w:r>
      <w:r w:rsidR="00B734B4">
        <w:t>. That is, t</w:t>
      </w:r>
      <w:r w:rsidR="004E1580">
        <w:t>he scheme will be within the budget for the three years of trial</w:t>
      </w:r>
      <w:r w:rsidRPr="00711375">
        <w:t xml:space="preserve">. Further, due to the phasing of participants into the scheme during the trial period comparing committed support with the bilateral agreement does not reflect full scheme costs. </w:t>
      </w:r>
      <w:r w:rsidR="00EA0D92" w:rsidRPr="00711375">
        <w:rPr>
          <w:caps/>
          <w:sz w:val="20"/>
          <w:szCs w:val="20"/>
        </w:rPr>
        <w:br w:type="page"/>
      </w:r>
    </w:p>
    <w:p w14:paraId="2AD629C3" w14:textId="66A7DD77" w:rsidR="00160D9D" w:rsidRPr="00E76327" w:rsidRDefault="00160D9D" w:rsidP="00160D9D">
      <w:pPr>
        <w:pStyle w:val="Caption"/>
        <w:keepNext/>
        <w:rPr>
          <w:caps w:val="0"/>
          <w:sz w:val="20"/>
          <w:szCs w:val="20"/>
          <w:vertAlign w:val="superscript"/>
        </w:rPr>
      </w:pPr>
      <w:r w:rsidRPr="00711375">
        <w:rPr>
          <w:caps w:val="0"/>
          <w:sz w:val="20"/>
          <w:szCs w:val="20"/>
        </w:rPr>
        <w:lastRenderedPageBreak/>
        <w:t xml:space="preserve">Table </w:t>
      </w:r>
      <w:r w:rsidR="00DE0092" w:rsidRPr="00711375">
        <w:rPr>
          <w:caps w:val="0"/>
          <w:noProof/>
          <w:sz w:val="20"/>
          <w:szCs w:val="20"/>
        </w:rPr>
        <w:t>2</w:t>
      </w:r>
      <w:bookmarkEnd w:id="9"/>
      <w:r w:rsidRPr="00711375">
        <w:rPr>
          <w:caps w:val="0"/>
          <w:sz w:val="20"/>
          <w:szCs w:val="20"/>
        </w:rPr>
        <w:t xml:space="preserve"> Committed support to date and amount committed to be provided</w:t>
      </w:r>
      <w:r w:rsidR="0061344D" w:rsidRPr="00711375">
        <w:rPr>
          <w:caps w:val="0"/>
          <w:sz w:val="20"/>
          <w:szCs w:val="20"/>
        </w:rPr>
        <w:t xml:space="preserve"> in 2013-14, 2014-15, 2015-16 and 2016-17</w:t>
      </w:r>
    </w:p>
    <w:tbl>
      <w:tblPr>
        <w:tblW w:w="9942" w:type="dxa"/>
        <w:tblInd w:w="108" w:type="dxa"/>
        <w:tblLayout w:type="fixed"/>
        <w:tblLook w:val="04A0" w:firstRow="1" w:lastRow="0" w:firstColumn="1" w:lastColumn="0" w:noHBand="0" w:noVBand="1"/>
      </w:tblPr>
      <w:tblGrid>
        <w:gridCol w:w="2796"/>
        <w:gridCol w:w="1176"/>
        <w:gridCol w:w="423"/>
        <w:gridCol w:w="1559"/>
        <w:gridCol w:w="850"/>
        <w:gridCol w:w="1414"/>
        <w:gridCol w:w="862"/>
        <w:gridCol w:w="862"/>
      </w:tblGrid>
      <w:tr w:rsidR="00160D9D" w:rsidRPr="009308AE" w14:paraId="1B282E57" w14:textId="77777777" w:rsidTr="004D3EA8">
        <w:trPr>
          <w:gridAfter w:val="1"/>
          <w:wAfter w:w="862" w:type="dxa"/>
          <w:trHeight w:val="543"/>
        </w:trPr>
        <w:tc>
          <w:tcPr>
            <w:tcW w:w="2796" w:type="dxa"/>
            <w:tcBorders>
              <w:top w:val="single" w:sz="4" w:space="0" w:color="auto"/>
              <w:left w:val="nil"/>
              <w:bottom w:val="single" w:sz="4" w:space="0" w:color="auto"/>
              <w:right w:val="nil"/>
            </w:tcBorders>
            <w:shd w:val="clear" w:color="000000" w:fill="B1A0C7"/>
            <w:noWrap/>
            <w:vAlign w:val="center"/>
            <w:hideMark/>
          </w:tcPr>
          <w:p w14:paraId="750CE46B" w14:textId="77777777" w:rsidR="00160D9D" w:rsidRPr="00E76327" w:rsidRDefault="00160D9D"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1176" w:type="dxa"/>
            <w:tcBorders>
              <w:top w:val="single" w:sz="4" w:space="0" w:color="auto"/>
              <w:left w:val="nil"/>
              <w:bottom w:val="single" w:sz="4" w:space="0" w:color="auto"/>
              <w:right w:val="nil"/>
            </w:tcBorders>
            <w:shd w:val="clear" w:color="000000" w:fill="B1A0C7"/>
            <w:noWrap/>
            <w:vAlign w:val="center"/>
            <w:hideMark/>
          </w:tcPr>
          <w:p w14:paraId="0AA3E120" w14:textId="77777777" w:rsidR="00160D9D" w:rsidRPr="00E76327" w:rsidRDefault="00160D9D"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423" w:type="dxa"/>
            <w:tcBorders>
              <w:top w:val="single" w:sz="4" w:space="0" w:color="auto"/>
              <w:left w:val="nil"/>
              <w:bottom w:val="single" w:sz="4" w:space="0" w:color="auto"/>
              <w:right w:val="nil"/>
            </w:tcBorders>
            <w:shd w:val="clear" w:color="000000" w:fill="B1A0C7"/>
            <w:noWrap/>
            <w:vAlign w:val="center"/>
            <w:hideMark/>
          </w:tcPr>
          <w:p w14:paraId="4C002CAA" w14:textId="77777777" w:rsidR="00160D9D" w:rsidRPr="00E76327" w:rsidRDefault="00160D9D"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2409" w:type="dxa"/>
            <w:gridSpan w:val="2"/>
            <w:tcBorders>
              <w:top w:val="single" w:sz="4" w:space="0" w:color="auto"/>
              <w:left w:val="nil"/>
              <w:bottom w:val="single" w:sz="4" w:space="0" w:color="auto"/>
              <w:right w:val="nil"/>
            </w:tcBorders>
            <w:shd w:val="clear" w:color="000000" w:fill="B1A0C7"/>
            <w:vAlign w:val="center"/>
            <w:hideMark/>
          </w:tcPr>
          <w:p w14:paraId="3DBE5DC2" w14:textId="77777777" w:rsidR="00160D9D" w:rsidRPr="00E76327" w:rsidRDefault="00160D9D"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Total</w:t>
            </w:r>
          </w:p>
        </w:tc>
        <w:tc>
          <w:tcPr>
            <w:tcW w:w="2276" w:type="dxa"/>
            <w:gridSpan w:val="2"/>
            <w:tcBorders>
              <w:top w:val="single" w:sz="4" w:space="0" w:color="auto"/>
              <w:left w:val="single" w:sz="4" w:space="0" w:color="auto"/>
              <w:bottom w:val="single" w:sz="4" w:space="0" w:color="auto"/>
              <w:right w:val="nil"/>
            </w:tcBorders>
            <w:shd w:val="clear" w:color="000000" w:fill="B1A0C7"/>
            <w:vAlign w:val="center"/>
            <w:hideMark/>
          </w:tcPr>
          <w:p w14:paraId="4B1FB9D0" w14:textId="77777777" w:rsidR="00160D9D" w:rsidRPr="00E76327" w:rsidRDefault="00160D9D"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Total (excl. large residential centres)</w:t>
            </w:r>
          </w:p>
        </w:tc>
      </w:tr>
      <w:tr w:rsidR="00160D9D" w:rsidRPr="009308AE" w14:paraId="56474BA4" w14:textId="77777777" w:rsidTr="004D3EA8">
        <w:trPr>
          <w:gridAfter w:val="1"/>
          <w:wAfter w:w="862" w:type="dxa"/>
          <w:trHeight w:val="278"/>
        </w:trPr>
        <w:tc>
          <w:tcPr>
            <w:tcW w:w="2796" w:type="dxa"/>
            <w:tcBorders>
              <w:top w:val="nil"/>
              <w:left w:val="nil"/>
              <w:bottom w:val="nil"/>
              <w:right w:val="nil"/>
            </w:tcBorders>
            <w:shd w:val="clear" w:color="auto" w:fill="auto"/>
            <w:noWrap/>
            <w:vAlign w:val="center"/>
            <w:hideMark/>
          </w:tcPr>
          <w:p w14:paraId="6F8687E9" w14:textId="77777777" w:rsidR="00160D9D" w:rsidRPr="00E76327" w:rsidRDefault="00160D9D"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1176" w:type="dxa"/>
            <w:tcBorders>
              <w:top w:val="nil"/>
              <w:left w:val="nil"/>
              <w:bottom w:val="nil"/>
              <w:right w:val="nil"/>
            </w:tcBorders>
            <w:shd w:val="clear" w:color="auto" w:fill="auto"/>
            <w:noWrap/>
            <w:vAlign w:val="center"/>
            <w:hideMark/>
          </w:tcPr>
          <w:p w14:paraId="1718DA5A" w14:textId="77777777" w:rsidR="00160D9D" w:rsidRPr="00E76327" w:rsidRDefault="00160D9D"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423" w:type="dxa"/>
            <w:tcBorders>
              <w:top w:val="nil"/>
              <w:left w:val="nil"/>
              <w:bottom w:val="nil"/>
              <w:right w:val="nil"/>
            </w:tcBorders>
            <w:shd w:val="clear" w:color="auto" w:fill="auto"/>
            <w:noWrap/>
            <w:vAlign w:val="center"/>
            <w:hideMark/>
          </w:tcPr>
          <w:p w14:paraId="2F7D66F8" w14:textId="77777777" w:rsidR="00160D9D" w:rsidRPr="00E76327" w:rsidRDefault="00160D9D"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1559" w:type="dxa"/>
            <w:tcBorders>
              <w:top w:val="nil"/>
              <w:left w:val="nil"/>
              <w:bottom w:val="nil"/>
              <w:right w:val="nil"/>
            </w:tcBorders>
            <w:shd w:val="clear" w:color="auto" w:fill="auto"/>
            <w:noWrap/>
            <w:vAlign w:val="center"/>
            <w:hideMark/>
          </w:tcPr>
          <w:p w14:paraId="78E3FB60" w14:textId="77777777" w:rsidR="00160D9D" w:rsidRPr="00E76327" w:rsidRDefault="00160D9D"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850" w:type="dxa"/>
            <w:tcBorders>
              <w:top w:val="nil"/>
              <w:left w:val="nil"/>
              <w:bottom w:val="nil"/>
              <w:right w:val="nil"/>
            </w:tcBorders>
            <w:shd w:val="clear" w:color="auto" w:fill="auto"/>
            <w:noWrap/>
            <w:vAlign w:val="center"/>
            <w:hideMark/>
          </w:tcPr>
          <w:p w14:paraId="5D2F966C" w14:textId="77777777" w:rsidR="00160D9D" w:rsidRPr="00E76327" w:rsidRDefault="00160D9D"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1414" w:type="dxa"/>
            <w:tcBorders>
              <w:top w:val="nil"/>
              <w:left w:val="single" w:sz="4" w:space="0" w:color="auto"/>
              <w:bottom w:val="nil"/>
              <w:right w:val="nil"/>
            </w:tcBorders>
            <w:shd w:val="clear" w:color="auto" w:fill="auto"/>
            <w:noWrap/>
            <w:vAlign w:val="center"/>
            <w:hideMark/>
          </w:tcPr>
          <w:p w14:paraId="05AA9384" w14:textId="77777777" w:rsidR="00160D9D" w:rsidRPr="00E76327" w:rsidRDefault="00160D9D"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862" w:type="dxa"/>
            <w:tcBorders>
              <w:top w:val="nil"/>
              <w:left w:val="nil"/>
              <w:bottom w:val="nil"/>
              <w:right w:val="nil"/>
            </w:tcBorders>
            <w:shd w:val="clear" w:color="auto" w:fill="auto"/>
            <w:noWrap/>
            <w:vAlign w:val="center"/>
            <w:hideMark/>
          </w:tcPr>
          <w:p w14:paraId="7BE9E01A" w14:textId="77777777" w:rsidR="00160D9D" w:rsidRPr="00E76327" w:rsidRDefault="00160D9D"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r>
      <w:tr w:rsidR="00160D9D" w:rsidRPr="009308AE" w14:paraId="4544C7E5" w14:textId="77777777" w:rsidTr="004D3EA8">
        <w:trPr>
          <w:gridAfter w:val="1"/>
          <w:wAfter w:w="862" w:type="dxa"/>
          <w:trHeight w:val="278"/>
        </w:trPr>
        <w:tc>
          <w:tcPr>
            <w:tcW w:w="3972" w:type="dxa"/>
            <w:gridSpan w:val="2"/>
            <w:tcBorders>
              <w:top w:val="nil"/>
              <w:left w:val="nil"/>
              <w:bottom w:val="nil"/>
              <w:right w:val="nil"/>
            </w:tcBorders>
            <w:shd w:val="clear" w:color="auto" w:fill="auto"/>
            <w:noWrap/>
            <w:vAlign w:val="bottom"/>
            <w:hideMark/>
          </w:tcPr>
          <w:p w14:paraId="082DB8B6" w14:textId="77777777" w:rsidR="00160D9D" w:rsidRPr="00E76327" w:rsidRDefault="00160D9D"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Expected to be provided ($m)</w:t>
            </w:r>
          </w:p>
        </w:tc>
        <w:tc>
          <w:tcPr>
            <w:tcW w:w="423" w:type="dxa"/>
            <w:tcBorders>
              <w:top w:val="nil"/>
              <w:left w:val="nil"/>
              <w:bottom w:val="nil"/>
              <w:right w:val="nil"/>
            </w:tcBorders>
            <w:shd w:val="clear" w:color="auto" w:fill="auto"/>
            <w:noWrap/>
            <w:vAlign w:val="bottom"/>
            <w:hideMark/>
          </w:tcPr>
          <w:p w14:paraId="5D13C155" w14:textId="77777777" w:rsidR="00160D9D" w:rsidRPr="00E76327" w:rsidRDefault="00160D9D" w:rsidP="00EA5CF2">
            <w:pPr>
              <w:spacing w:after="0" w:line="240" w:lineRule="auto"/>
              <w:rPr>
                <w:rFonts w:eastAsia="Times New Roman" w:cs="Arial"/>
                <w:b/>
                <w:bCs/>
                <w:color w:val="000000"/>
                <w:sz w:val="20"/>
                <w:szCs w:val="20"/>
                <w:lang w:eastAsia="en-AU"/>
              </w:rPr>
            </w:pPr>
          </w:p>
        </w:tc>
        <w:tc>
          <w:tcPr>
            <w:tcW w:w="1559" w:type="dxa"/>
            <w:tcBorders>
              <w:top w:val="nil"/>
              <w:left w:val="nil"/>
              <w:bottom w:val="nil"/>
              <w:right w:val="nil"/>
            </w:tcBorders>
            <w:shd w:val="clear" w:color="auto" w:fill="auto"/>
            <w:noWrap/>
            <w:vAlign w:val="bottom"/>
            <w:hideMark/>
          </w:tcPr>
          <w:p w14:paraId="59ECC1F4" w14:textId="77777777" w:rsidR="00160D9D" w:rsidRPr="00E76327" w:rsidRDefault="00160D9D" w:rsidP="00EA5CF2">
            <w:pPr>
              <w:spacing w:after="0" w:line="240" w:lineRule="auto"/>
              <w:jc w:val="center"/>
              <w:rPr>
                <w:rFonts w:eastAsia="Times New Roman" w:cs="Arial"/>
                <w:color w:val="000000"/>
                <w:sz w:val="20"/>
                <w:szCs w:val="20"/>
                <w:lang w:eastAsia="en-AU"/>
              </w:rPr>
            </w:pPr>
          </w:p>
        </w:tc>
        <w:tc>
          <w:tcPr>
            <w:tcW w:w="850" w:type="dxa"/>
            <w:tcBorders>
              <w:top w:val="nil"/>
              <w:left w:val="nil"/>
              <w:bottom w:val="nil"/>
              <w:right w:val="nil"/>
            </w:tcBorders>
            <w:shd w:val="clear" w:color="auto" w:fill="auto"/>
            <w:noWrap/>
            <w:vAlign w:val="bottom"/>
            <w:hideMark/>
          </w:tcPr>
          <w:p w14:paraId="6AD992F1" w14:textId="77777777" w:rsidR="00160D9D" w:rsidRPr="00E76327" w:rsidRDefault="00160D9D" w:rsidP="00EA5CF2">
            <w:pPr>
              <w:spacing w:after="0" w:line="240" w:lineRule="auto"/>
              <w:jc w:val="center"/>
              <w:rPr>
                <w:rFonts w:eastAsia="Times New Roman" w:cs="Arial"/>
                <w:color w:val="000000"/>
                <w:sz w:val="20"/>
                <w:szCs w:val="20"/>
                <w:lang w:eastAsia="en-AU"/>
              </w:rPr>
            </w:pPr>
          </w:p>
        </w:tc>
        <w:tc>
          <w:tcPr>
            <w:tcW w:w="1414" w:type="dxa"/>
            <w:tcBorders>
              <w:top w:val="nil"/>
              <w:left w:val="single" w:sz="4" w:space="0" w:color="auto"/>
              <w:bottom w:val="nil"/>
              <w:right w:val="nil"/>
            </w:tcBorders>
            <w:shd w:val="clear" w:color="auto" w:fill="auto"/>
            <w:noWrap/>
            <w:vAlign w:val="bottom"/>
            <w:hideMark/>
          </w:tcPr>
          <w:p w14:paraId="37E71792" w14:textId="77777777" w:rsidR="00160D9D" w:rsidRPr="00E76327" w:rsidRDefault="00160D9D"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862" w:type="dxa"/>
            <w:tcBorders>
              <w:top w:val="nil"/>
              <w:left w:val="nil"/>
              <w:bottom w:val="nil"/>
              <w:right w:val="nil"/>
            </w:tcBorders>
            <w:shd w:val="clear" w:color="auto" w:fill="auto"/>
            <w:noWrap/>
            <w:vAlign w:val="bottom"/>
            <w:hideMark/>
          </w:tcPr>
          <w:p w14:paraId="378004CC" w14:textId="77777777" w:rsidR="00160D9D" w:rsidRPr="00E76327" w:rsidRDefault="00160D9D" w:rsidP="00EA5CF2">
            <w:pPr>
              <w:spacing w:after="0" w:line="240" w:lineRule="auto"/>
              <w:jc w:val="center"/>
              <w:rPr>
                <w:rFonts w:eastAsia="Times New Roman" w:cs="Arial"/>
                <w:color w:val="000000"/>
                <w:sz w:val="20"/>
                <w:szCs w:val="20"/>
                <w:lang w:eastAsia="en-AU"/>
              </w:rPr>
            </w:pPr>
          </w:p>
        </w:tc>
      </w:tr>
      <w:tr w:rsidR="009308AE" w:rsidRPr="009308AE" w14:paraId="574F7F25" w14:textId="77777777" w:rsidTr="004D3EA8">
        <w:trPr>
          <w:gridAfter w:val="1"/>
          <w:wAfter w:w="862" w:type="dxa"/>
          <w:trHeight w:val="278"/>
        </w:trPr>
        <w:tc>
          <w:tcPr>
            <w:tcW w:w="2796" w:type="dxa"/>
            <w:tcBorders>
              <w:top w:val="nil"/>
              <w:left w:val="nil"/>
              <w:bottom w:val="nil"/>
              <w:right w:val="nil"/>
            </w:tcBorders>
            <w:shd w:val="clear" w:color="auto" w:fill="auto"/>
            <w:noWrap/>
            <w:vAlign w:val="bottom"/>
            <w:hideMark/>
          </w:tcPr>
          <w:p w14:paraId="7AB58876" w14:textId="77777777" w:rsidR="009308AE" w:rsidRPr="00E76327" w:rsidRDefault="009308AE" w:rsidP="009308AE">
            <w:pPr>
              <w:spacing w:after="0" w:line="240" w:lineRule="auto"/>
              <w:ind w:firstLineChars="100" w:firstLine="200"/>
              <w:rPr>
                <w:rFonts w:eastAsia="Times New Roman" w:cs="Arial"/>
                <w:color w:val="000000"/>
                <w:sz w:val="20"/>
                <w:szCs w:val="20"/>
                <w:lang w:eastAsia="en-AU"/>
              </w:rPr>
            </w:pPr>
            <w:r w:rsidRPr="00E76327">
              <w:rPr>
                <w:rFonts w:eastAsia="Times New Roman" w:cs="Arial"/>
                <w:color w:val="000000"/>
                <w:sz w:val="20"/>
                <w:szCs w:val="20"/>
                <w:lang w:eastAsia="en-AU"/>
              </w:rPr>
              <w:t>2013/14</w:t>
            </w:r>
          </w:p>
        </w:tc>
        <w:tc>
          <w:tcPr>
            <w:tcW w:w="1176" w:type="dxa"/>
            <w:tcBorders>
              <w:top w:val="nil"/>
              <w:left w:val="nil"/>
              <w:bottom w:val="nil"/>
              <w:right w:val="nil"/>
            </w:tcBorders>
            <w:shd w:val="clear" w:color="auto" w:fill="auto"/>
            <w:noWrap/>
            <w:vAlign w:val="bottom"/>
            <w:hideMark/>
          </w:tcPr>
          <w:p w14:paraId="214102C4" w14:textId="77777777" w:rsidR="009308AE" w:rsidRPr="00E76327" w:rsidRDefault="009308AE" w:rsidP="009308AE">
            <w:pPr>
              <w:spacing w:after="0" w:line="240" w:lineRule="auto"/>
              <w:rPr>
                <w:rFonts w:eastAsia="Times New Roman" w:cs="Arial"/>
                <w:color w:val="000000"/>
                <w:sz w:val="20"/>
                <w:szCs w:val="20"/>
                <w:lang w:eastAsia="en-AU"/>
              </w:rPr>
            </w:pPr>
          </w:p>
        </w:tc>
        <w:tc>
          <w:tcPr>
            <w:tcW w:w="423" w:type="dxa"/>
            <w:tcBorders>
              <w:top w:val="nil"/>
              <w:left w:val="nil"/>
              <w:bottom w:val="nil"/>
              <w:right w:val="nil"/>
            </w:tcBorders>
            <w:shd w:val="clear" w:color="auto" w:fill="auto"/>
            <w:noWrap/>
            <w:vAlign w:val="bottom"/>
            <w:hideMark/>
          </w:tcPr>
          <w:p w14:paraId="5613E242" w14:textId="77777777" w:rsidR="009308AE" w:rsidRPr="00E76327" w:rsidRDefault="009308AE" w:rsidP="009308AE">
            <w:pPr>
              <w:spacing w:after="0" w:line="240" w:lineRule="auto"/>
              <w:rPr>
                <w:rFonts w:eastAsia="Times New Roman" w:cs="Arial"/>
                <w:color w:val="000000"/>
                <w:sz w:val="20"/>
                <w:szCs w:val="20"/>
                <w:lang w:eastAsia="en-AU"/>
              </w:rPr>
            </w:pPr>
          </w:p>
        </w:tc>
        <w:tc>
          <w:tcPr>
            <w:tcW w:w="1559" w:type="dxa"/>
            <w:tcBorders>
              <w:top w:val="nil"/>
              <w:left w:val="nil"/>
              <w:bottom w:val="nil"/>
              <w:right w:val="nil"/>
            </w:tcBorders>
            <w:shd w:val="clear" w:color="000000" w:fill="FFFFFF"/>
            <w:noWrap/>
            <w:vAlign w:val="bottom"/>
            <w:hideMark/>
          </w:tcPr>
          <w:p w14:paraId="53DBDBA3" w14:textId="26E51EF2"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$141.0</w:t>
            </w:r>
          </w:p>
        </w:tc>
        <w:tc>
          <w:tcPr>
            <w:tcW w:w="850" w:type="dxa"/>
            <w:tcBorders>
              <w:top w:val="nil"/>
              <w:left w:val="nil"/>
              <w:bottom w:val="nil"/>
              <w:right w:val="nil"/>
            </w:tcBorders>
            <w:shd w:val="clear" w:color="000000" w:fill="DCE6F1"/>
            <w:noWrap/>
            <w:vAlign w:val="bottom"/>
            <w:hideMark/>
          </w:tcPr>
          <w:p w14:paraId="3485D801" w14:textId="3EE0E841"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7%</w:t>
            </w:r>
          </w:p>
        </w:tc>
        <w:tc>
          <w:tcPr>
            <w:tcW w:w="1414" w:type="dxa"/>
            <w:tcBorders>
              <w:top w:val="nil"/>
              <w:left w:val="single" w:sz="4" w:space="0" w:color="auto"/>
              <w:bottom w:val="nil"/>
              <w:right w:val="nil"/>
            </w:tcBorders>
            <w:shd w:val="clear" w:color="auto" w:fill="auto"/>
            <w:noWrap/>
            <w:vAlign w:val="bottom"/>
            <w:hideMark/>
          </w:tcPr>
          <w:p w14:paraId="0DBC6566" w14:textId="553AE43F"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$133.6</w:t>
            </w:r>
          </w:p>
        </w:tc>
        <w:tc>
          <w:tcPr>
            <w:tcW w:w="862" w:type="dxa"/>
            <w:tcBorders>
              <w:top w:val="nil"/>
              <w:left w:val="nil"/>
              <w:bottom w:val="nil"/>
              <w:right w:val="nil"/>
            </w:tcBorders>
            <w:shd w:val="clear" w:color="000000" w:fill="DCE6F1"/>
            <w:noWrap/>
            <w:vAlign w:val="bottom"/>
            <w:hideMark/>
          </w:tcPr>
          <w:p w14:paraId="0F8AB507" w14:textId="4F532E89"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8%</w:t>
            </w:r>
          </w:p>
        </w:tc>
      </w:tr>
      <w:tr w:rsidR="009308AE" w:rsidRPr="009308AE" w14:paraId="0091AFA1" w14:textId="77777777" w:rsidTr="004D3EA8">
        <w:trPr>
          <w:gridAfter w:val="1"/>
          <w:wAfter w:w="862" w:type="dxa"/>
          <w:trHeight w:val="278"/>
        </w:trPr>
        <w:tc>
          <w:tcPr>
            <w:tcW w:w="2796" w:type="dxa"/>
            <w:tcBorders>
              <w:top w:val="nil"/>
              <w:left w:val="nil"/>
              <w:bottom w:val="nil"/>
              <w:right w:val="nil"/>
            </w:tcBorders>
            <w:shd w:val="clear" w:color="auto" w:fill="auto"/>
            <w:noWrap/>
            <w:vAlign w:val="bottom"/>
            <w:hideMark/>
          </w:tcPr>
          <w:p w14:paraId="1FCD91B9" w14:textId="77777777" w:rsidR="009308AE" w:rsidRPr="00E76327" w:rsidRDefault="009308AE" w:rsidP="009308AE">
            <w:pPr>
              <w:spacing w:after="0" w:line="240" w:lineRule="auto"/>
              <w:ind w:firstLineChars="100" w:firstLine="200"/>
              <w:rPr>
                <w:rFonts w:eastAsia="Times New Roman" w:cs="Arial"/>
                <w:color w:val="000000"/>
                <w:sz w:val="20"/>
                <w:szCs w:val="20"/>
                <w:lang w:eastAsia="en-AU"/>
              </w:rPr>
            </w:pPr>
            <w:r w:rsidRPr="00E76327">
              <w:rPr>
                <w:rFonts w:eastAsia="Times New Roman" w:cs="Arial"/>
                <w:color w:val="000000"/>
                <w:sz w:val="20"/>
                <w:szCs w:val="20"/>
                <w:lang w:eastAsia="en-AU"/>
              </w:rPr>
              <w:t>2014/15</w:t>
            </w:r>
          </w:p>
        </w:tc>
        <w:tc>
          <w:tcPr>
            <w:tcW w:w="1176" w:type="dxa"/>
            <w:tcBorders>
              <w:top w:val="nil"/>
              <w:left w:val="nil"/>
              <w:bottom w:val="nil"/>
              <w:right w:val="nil"/>
            </w:tcBorders>
            <w:shd w:val="clear" w:color="auto" w:fill="auto"/>
            <w:noWrap/>
            <w:vAlign w:val="bottom"/>
            <w:hideMark/>
          </w:tcPr>
          <w:p w14:paraId="2C5C3389" w14:textId="77777777" w:rsidR="009308AE" w:rsidRPr="00E76327" w:rsidRDefault="009308AE" w:rsidP="009308AE">
            <w:pPr>
              <w:spacing w:after="0" w:line="240" w:lineRule="auto"/>
              <w:rPr>
                <w:rFonts w:eastAsia="Times New Roman" w:cs="Arial"/>
                <w:color w:val="000000"/>
                <w:sz w:val="20"/>
                <w:szCs w:val="20"/>
                <w:lang w:eastAsia="en-AU"/>
              </w:rPr>
            </w:pPr>
          </w:p>
        </w:tc>
        <w:tc>
          <w:tcPr>
            <w:tcW w:w="423" w:type="dxa"/>
            <w:tcBorders>
              <w:top w:val="nil"/>
              <w:left w:val="nil"/>
              <w:bottom w:val="nil"/>
              <w:right w:val="nil"/>
            </w:tcBorders>
            <w:shd w:val="clear" w:color="auto" w:fill="auto"/>
            <w:noWrap/>
            <w:vAlign w:val="bottom"/>
            <w:hideMark/>
          </w:tcPr>
          <w:p w14:paraId="6831D3A0" w14:textId="77777777" w:rsidR="009308AE" w:rsidRPr="00E76327" w:rsidRDefault="009308AE" w:rsidP="009308AE">
            <w:pPr>
              <w:spacing w:after="0" w:line="240" w:lineRule="auto"/>
              <w:rPr>
                <w:rFonts w:eastAsia="Times New Roman" w:cs="Arial"/>
                <w:color w:val="000000"/>
                <w:sz w:val="20"/>
                <w:szCs w:val="20"/>
                <w:lang w:eastAsia="en-AU"/>
              </w:rPr>
            </w:pPr>
          </w:p>
        </w:tc>
        <w:tc>
          <w:tcPr>
            <w:tcW w:w="1559" w:type="dxa"/>
            <w:tcBorders>
              <w:top w:val="nil"/>
              <w:left w:val="nil"/>
              <w:bottom w:val="nil"/>
              <w:right w:val="nil"/>
            </w:tcBorders>
            <w:shd w:val="clear" w:color="000000" w:fill="FFFFFF"/>
            <w:noWrap/>
            <w:vAlign w:val="bottom"/>
            <w:hideMark/>
          </w:tcPr>
          <w:p w14:paraId="5A909E8E" w14:textId="452D1BF4"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$504.7</w:t>
            </w:r>
          </w:p>
        </w:tc>
        <w:tc>
          <w:tcPr>
            <w:tcW w:w="850" w:type="dxa"/>
            <w:tcBorders>
              <w:top w:val="nil"/>
              <w:left w:val="nil"/>
              <w:bottom w:val="nil"/>
              <w:right w:val="nil"/>
            </w:tcBorders>
            <w:shd w:val="clear" w:color="000000" w:fill="DCE6F1"/>
            <w:noWrap/>
            <w:vAlign w:val="bottom"/>
            <w:hideMark/>
          </w:tcPr>
          <w:p w14:paraId="791F89F8" w14:textId="6E9645D7"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26%</w:t>
            </w:r>
          </w:p>
        </w:tc>
        <w:tc>
          <w:tcPr>
            <w:tcW w:w="1414" w:type="dxa"/>
            <w:tcBorders>
              <w:top w:val="nil"/>
              <w:left w:val="single" w:sz="4" w:space="0" w:color="auto"/>
              <w:bottom w:val="nil"/>
              <w:right w:val="nil"/>
            </w:tcBorders>
            <w:shd w:val="clear" w:color="000000" w:fill="FFFFFF"/>
            <w:noWrap/>
            <w:vAlign w:val="bottom"/>
            <w:hideMark/>
          </w:tcPr>
          <w:p w14:paraId="49FCEDDF" w14:textId="16024005"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$435.9</w:t>
            </w:r>
          </w:p>
        </w:tc>
        <w:tc>
          <w:tcPr>
            <w:tcW w:w="862" w:type="dxa"/>
            <w:tcBorders>
              <w:top w:val="nil"/>
              <w:left w:val="nil"/>
              <w:bottom w:val="nil"/>
              <w:right w:val="nil"/>
            </w:tcBorders>
            <w:shd w:val="clear" w:color="000000" w:fill="DCE6F1"/>
            <w:noWrap/>
            <w:vAlign w:val="bottom"/>
            <w:hideMark/>
          </w:tcPr>
          <w:p w14:paraId="073E6ABE" w14:textId="6F5EBD7B"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26%</w:t>
            </w:r>
          </w:p>
        </w:tc>
      </w:tr>
      <w:tr w:rsidR="009308AE" w:rsidRPr="009308AE" w14:paraId="60FC10DA" w14:textId="77777777" w:rsidTr="004D3EA8">
        <w:trPr>
          <w:gridAfter w:val="1"/>
          <w:wAfter w:w="862" w:type="dxa"/>
          <w:trHeight w:val="278"/>
        </w:trPr>
        <w:tc>
          <w:tcPr>
            <w:tcW w:w="2796" w:type="dxa"/>
            <w:tcBorders>
              <w:top w:val="nil"/>
              <w:left w:val="nil"/>
              <w:bottom w:val="nil"/>
              <w:right w:val="nil"/>
            </w:tcBorders>
            <w:shd w:val="clear" w:color="auto" w:fill="auto"/>
            <w:noWrap/>
            <w:vAlign w:val="bottom"/>
            <w:hideMark/>
          </w:tcPr>
          <w:p w14:paraId="700B543B" w14:textId="77777777" w:rsidR="009308AE" w:rsidRPr="00E76327" w:rsidRDefault="009308AE" w:rsidP="009308AE">
            <w:pPr>
              <w:spacing w:after="0" w:line="240" w:lineRule="auto"/>
              <w:ind w:firstLineChars="100" w:firstLine="200"/>
              <w:rPr>
                <w:rFonts w:eastAsia="Times New Roman" w:cs="Arial"/>
                <w:color w:val="000000"/>
                <w:sz w:val="20"/>
                <w:szCs w:val="20"/>
                <w:lang w:eastAsia="en-AU"/>
              </w:rPr>
            </w:pPr>
            <w:r w:rsidRPr="00E76327">
              <w:rPr>
                <w:rFonts w:eastAsia="Times New Roman" w:cs="Arial"/>
                <w:color w:val="000000"/>
                <w:sz w:val="20"/>
                <w:szCs w:val="20"/>
                <w:lang w:eastAsia="en-AU"/>
              </w:rPr>
              <w:t>2015/16</w:t>
            </w:r>
          </w:p>
        </w:tc>
        <w:tc>
          <w:tcPr>
            <w:tcW w:w="1176" w:type="dxa"/>
            <w:tcBorders>
              <w:top w:val="nil"/>
              <w:left w:val="nil"/>
              <w:bottom w:val="nil"/>
              <w:right w:val="nil"/>
            </w:tcBorders>
            <w:shd w:val="clear" w:color="auto" w:fill="auto"/>
            <w:noWrap/>
            <w:vAlign w:val="bottom"/>
            <w:hideMark/>
          </w:tcPr>
          <w:p w14:paraId="7DAB43BB" w14:textId="77777777" w:rsidR="009308AE" w:rsidRPr="00E76327" w:rsidRDefault="009308AE" w:rsidP="009308AE">
            <w:pPr>
              <w:spacing w:after="0" w:line="240" w:lineRule="auto"/>
              <w:rPr>
                <w:rFonts w:eastAsia="Times New Roman" w:cs="Arial"/>
                <w:color w:val="000000"/>
                <w:sz w:val="20"/>
                <w:szCs w:val="20"/>
                <w:lang w:eastAsia="en-AU"/>
              </w:rPr>
            </w:pPr>
          </w:p>
        </w:tc>
        <w:tc>
          <w:tcPr>
            <w:tcW w:w="423" w:type="dxa"/>
            <w:tcBorders>
              <w:top w:val="nil"/>
              <w:left w:val="nil"/>
              <w:bottom w:val="nil"/>
              <w:right w:val="nil"/>
            </w:tcBorders>
            <w:shd w:val="clear" w:color="auto" w:fill="auto"/>
            <w:noWrap/>
            <w:vAlign w:val="bottom"/>
            <w:hideMark/>
          </w:tcPr>
          <w:p w14:paraId="2E5262AF" w14:textId="77777777" w:rsidR="009308AE" w:rsidRPr="00E76327" w:rsidRDefault="009308AE" w:rsidP="009308AE">
            <w:pPr>
              <w:spacing w:after="0" w:line="240" w:lineRule="auto"/>
              <w:rPr>
                <w:rFonts w:eastAsia="Times New Roman" w:cs="Arial"/>
                <w:color w:val="000000"/>
                <w:sz w:val="20"/>
                <w:szCs w:val="20"/>
                <w:lang w:eastAsia="en-AU"/>
              </w:rPr>
            </w:pPr>
          </w:p>
        </w:tc>
        <w:tc>
          <w:tcPr>
            <w:tcW w:w="1559" w:type="dxa"/>
            <w:tcBorders>
              <w:top w:val="nil"/>
              <w:left w:val="nil"/>
              <w:bottom w:val="nil"/>
              <w:right w:val="nil"/>
            </w:tcBorders>
            <w:shd w:val="clear" w:color="000000" w:fill="FFFFFF"/>
            <w:noWrap/>
            <w:vAlign w:val="bottom"/>
            <w:hideMark/>
          </w:tcPr>
          <w:p w14:paraId="29A08FE5" w14:textId="20980455"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$848.5</w:t>
            </w:r>
          </w:p>
        </w:tc>
        <w:tc>
          <w:tcPr>
            <w:tcW w:w="850" w:type="dxa"/>
            <w:tcBorders>
              <w:top w:val="nil"/>
              <w:left w:val="nil"/>
              <w:bottom w:val="nil"/>
              <w:right w:val="nil"/>
            </w:tcBorders>
            <w:shd w:val="clear" w:color="000000" w:fill="DCE6F1"/>
            <w:noWrap/>
            <w:vAlign w:val="bottom"/>
            <w:hideMark/>
          </w:tcPr>
          <w:p w14:paraId="0FBD0023" w14:textId="02EAF30B"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43%</w:t>
            </w:r>
          </w:p>
        </w:tc>
        <w:tc>
          <w:tcPr>
            <w:tcW w:w="1414" w:type="dxa"/>
            <w:tcBorders>
              <w:top w:val="nil"/>
              <w:left w:val="single" w:sz="4" w:space="0" w:color="auto"/>
              <w:bottom w:val="nil"/>
              <w:right w:val="nil"/>
            </w:tcBorders>
            <w:shd w:val="clear" w:color="000000" w:fill="FFFFFF"/>
            <w:noWrap/>
            <w:vAlign w:val="bottom"/>
            <w:hideMark/>
          </w:tcPr>
          <w:p w14:paraId="60BAFE2D" w14:textId="0A7AAF63"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$743.7</w:t>
            </w:r>
          </w:p>
        </w:tc>
        <w:tc>
          <w:tcPr>
            <w:tcW w:w="862" w:type="dxa"/>
            <w:tcBorders>
              <w:top w:val="nil"/>
              <w:left w:val="nil"/>
              <w:bottom w:val="nil"/>
              <w:right w:val="nil"/>
            </w:tcBorders>
            <w:shd w:val="clear" w:color="000000" w:fill="DCE6F1"/>
            <w:noWrap/>
            <w:vAlign w:val="bottom"/>
            <w:hideMark/>
          </w:tcPr>
          <w:p w14:paraId="00B5FEC9" w14:textId="1FA719E6"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44%</w:t>
            </w:r>
          </w:p>
        </w:tc>
      </w:tr>
      <w:tr w:rsidR="009308AE" w:rsidRPr="009308AE" w14:paraId="676C73EA" w14:textId="77777777" w:rsidTr="004D3EA8">
        <w:trPr>
          <w:gridAfter w:val="1"/>
          <w:wAfter w:w="862" w:type="dxa"/>
          <w:trHeight w:val="278"/>
        </w:trPr>
        <w:tc>
          <w:tcPr>
            <w:tcW w:w="2796" w:type="dxa"/>
            <w:tcBorders>
              <w:top w:val="nil"/>
              <w:left w:val="nil"/>
              <w:bottom w:val="nil"/>
              <w:right w:val="nil"/>
            </w:tcBorders>
            <w:shd w:val="clear" w:color="auto" w:fill="auto"/>
            <w:noWrap/>
            <w:vAlign w:val="bottom"/>
          </w:tcPr>
          <w:p w14:paraId="411F5F00" w14:textId="77777777" w:rsidR="009308AE" w:rsidRPr="00E76327" w:rsidRDefault="009308AE" w:rsidP="009308AE">
            <w:pPr>
              <w:spacing w:after="0" w:line="240" w:lineRule="auto"/>
              <w:ind w:firstLineChars="100" w:firstLine="200"/>
              <w:rPr>
                <w:rFonts w:eastAsia="Times New Roman" w:cs="Arial"/>
                <w:color w:val="000000"/>
                <w:sz w:val="20"/>
                <w:szCs w:val="20"/>
                <w:lang w:eastAsia="en-AU"/>
              </w:rPr>
            </w:pPr>
            <w:r w:rsidRPr="00E76327">
              <w:rPr>
                <w:rFonts w:eastAsia="Times New Roman" w:cs="Arial"/>
                <w:color w:val="000000"/>
                <w:sz w:val="20"/>
                <w:szCs w:val="20"/>
                <w:lang w:eastAsia="en-AU"/>
              </w:rPr>
              <w:t>2016/17</w:t>
            </w:r>
          </w:p>
        </w:tc>
        <w:tc>
          <w:tcPr>
            <w:tcW w:w="1176" w:type="dxa"/>
            <w:tcBorders>
              <w:top w:val="nil"/>
              <w:left w:val="nil"/>
              <w:bottom w:val="nil"/>
              <w:right w:val="nil"/>
            </w:tcBorders>
            <w:shd w:val="clear" w:color="auto" w:fill="auto"/>
            <w:noWrap/>
            <w:vAlign w:val="bottom"/>
          </w:tcPr>
          <w:p w14:paraId="6B8C6634" w14:textId="77777777" w:rsidR="009308AE" w:rsidRPr="00E76327" w:rsidRDefault="009308AE" w:rsidP="009308AE">
            <w:pPr>
              <w:spacing w:after="0" w:line="240" w:lineRule="auto"/>
              <w:rPr>
                <w:rFonts w:eastAsia="Times New Roman" w:cs="Arial"/>
                <w:color w:val="000000"/>
                <w:sz w:val="20"/>
                <w:szCs w:val="20"/>
                <w:lang w:eastAsia="en-AU"/>
              </w:rPr>
            </w:pPr>
          </w:p>
        </w:tc>
        <w:tc>
          <w:tcPr>
            <w:tcW w:w="423" w:type="dxa"/>
            <w:tcBorders>
              <w:top w:val="nil"/>
              <w:left w:val="nil"/>
              <w:bottom w:val="nil"/>
              <w:right w:val="nil"/>
            </w:tcBorders>
            <w:shd w:val="clear" w:color="auto" w:fill="auto"/>
            <w:noWrap/>
            <w:vAlign w:val="bottom"/>
          </w:tcPr>
          <w:p w14:paraId="0439C59E" w14:textId="77777777" w:rsidR="009308AE" w:rsidRPr="00E76327" w:rsidRDefault="009308AE" w:rsidP="009308AE">
            <w:pPr>
              <w:spacing w:after="0" w:line="240" w:lineRule="auto"/>
              <w:rPr>
                <w:rFonts w:eastAsia="Times New Roman" w:cs="Arial"/>
                <w:color w:val="000000"/>
                <w:sz w:val="20"/>
                <w:szCs w:val="20"/>
                <w:lang w:eastAsia="en-AU"/>
              </w:rPr>
            </w:pPr>
          </w:p>
        </w:tc>
        <w:tc>
          <w:tcPr>
            <w:tcW w:w="1559" w:type="dxa"/>
            <w:tcBorders>
              <w:top w:val="nil"/>
              <w:left w:val="nil"/>
              <w:bottom w:val="nil"/>
              <w:right w:val="nil"/>
            </w:tcBorders>
            <w:shd w:val="clear" w:color="000000" w:fill="FFFFFF"/>
            <w:noWrap/>
            <w:vAlign w:val="bottom"/>
          </w:tcPr>
          <w:p w14:paraId="375EE117" w14:textId="6899481C"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$466.7</w:t>
            </w:r>
          </w:p>
        </w:tc>
        <w:tc>
          <w:tcPr>
            <w:tcW w:w="850" w:type="dxa"/>
            <w:tcBorders>
              <w:top w:val="nil"/>
              <w:left w:val="nil"/>
              <w:bottom w:val="nil"/>
              <w:right w:val="nil"/>
            </w:tcBorders>
            <w:shd w:val="clear" w:color="000000" w:fill="DCE6F1"/>
            <w:noWrap/>
            <w:vAlign w:val="bottom"/>
          </w:tcPr>
          <w:p w14:paraId="4DEE0D04" w14:textId="5B705AA3"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24%</w:t>
            </w:r>
          </w:p>
        </w:tc>
        <w:tc>
          <w:tcPr>
            <w:tcW w:w="1414" w:type="dxa"/>
            <w:tcBorders>
              <w:top w:val="nil"/>
              <w:left w:val="single" w:sz="4" w:space="0" w:color="auto"/>
              <w:bottom w:val="nil"/>
              <w:right w:val="nil"/>
            </w:tcBorders>
            <w:shd w:val="clear" w:color="000000" w:fill="FFFFFF"/>
            <w:noWrap/>
            <w:vAlign w:val="bottom"/>
          </w:tcPr>
          <w:p w14:paraId="40762E3E" w14:textId="0051F623"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$387.8</w:t>
            </w:r>
          </w:p>
        </w:tc>
        <w:tc>
          <w:tcPr>
            <w:tcW w:w="862" w:type="dxa"/>
            <w:tcBorders>
              <w:top w:val="nil"/>
              <w:left w:val="nil"/>
              <w:bottom w:val="nil"/>
              <w:right w:val="nil"/>
            </w:tcBorders>
            <w:shd w:val="clear" w:color="000000" w:fill="DCE6F1"/>
            <w:noWrap/>
            <w:vAlign w:val="bottom"/>
          </w:tcPr>
          <w:p w14:paraId="10D8C78F" w14:textId="635C44CD" w:rsidR="009308AE" w:rsidRPr="00E76327" w:rsidRDefault="009308AE" w:rsidP="009308AE">
            <w:pPr>
              <w:spacing w:after="0" w:line="240" w:lineRule="auto"/>
              <w:jc w:val="center"/>
              <w:rPr>
                <w:rFonts w:eastAsia="Times New Roman" w:cs="Arial"/>
                <w:color w:val="000000"/>
                <w:sz w:val="20"/>
                <w:szCs w:val="20"/>
                <w:lang w:eastAsia="en-AU"/>
              </w:rPr>
            </w:pPr>
            <w:r w:rsidRPr="00E76327">
              <w:rPr>
                <w:rFonts w:cs="Arial"/>
                <w:color w:val="000000"/>
                <w:sz w:val="20"/>
                <w:szCs w:val="20"/>
              </w:rPr>
              <w:t>23%</w:t>
            </w:r>
          </w:p>
        </w:tc>
      </w:tr>
      <w:tr w:rsidR="009308AE" w:rsidRPr="009308AE" w14:paraId="5DE5B0C2" w14:textId="77777777" w:rsidTr="004D3EA8">
        <w:trPr>
          <w:gridAfter w:val="1"/>
          <w:wAfter w:w="862" w:type="dxa"/>
          <w:trHeight w:val="278"/>
        </w:trPr>
        <w:tc>
          <w:tcPr>
            <w:tcW w:w="2796" w:type="dxa"/>
            <w:tcBorders>
              <w:top w:val="nil"/>
              <w:left w:val="nil"/>
              <w:bottom w:val="nil"/>
              <w:right w:val="nil"/>
            </w:tcBorders>
            <w:shd w:val="clear" w:color="auto" w:fill="auto"/>
            <w:noWrap/>
            <w:vAlign w:val="bottom"/>
            <w:hideMark/>
          </w:tcPr>
          <w:p w14:paraId="46A7D656" w14:textId="77777777" w:rsidR="009308AE" w:rsidRPr="00E76327" w:rsidRDefault="009308AE" w:rsidP="009308AE">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Total</w:t>
            </w:r>
          </w:p>
        </w:tc>
        <w:tc>
          <w:tcPr>
            <w:tcW w:w="1176" w:type="dxa"/>
            <w:tcBorders>
              <w:top w:val="nil"/>
              <w:left w:val="nil"/>
              <w:bottom w:val="nil"/>
              <w:right w:val="nil"/>
            </w:tcBorders>
            <w:shd w:val="clear" w:color="auto" w:fill="auto"/>
            <w:noWrap/>
            <w:vAlign w:val="bottom"/>
            <w:hideMark/>
          </w:tcPr>
          <w:p w14:paraId="2FD68486" w14:textId="77777777" w:rsidR="009308AE" w:rsidRPr="00E76327" w:rsidRDefault="009308AE" w:rsidP="009308AE">
            <w:pPr>
              <w:spacing w:after="0" w:line="240" w:lineRule="auto"/>
              <w:rPr>
                <w:rFonts w:eastAsia="Times New Roman" w:cs="Arial"/>
                <w:b/>
                <w:bCs/>
                <w:color w:val="000000"/>
                <w:sz w:val="20"/>
                <w:szCs w:val="20"/>
                <w:lang w:eastAsia="en-AU"/>
              </w:rPr>
            </w:pPr>
          </w:p>
        </w:tc>
        <w:tc>
          <w:tcPr>
            <w:tcW w:w="423" w:type="dxa"/>
            <w:tcBorders>
              <w:top w:val="nil"/>
              <w:left w:val="nil"/>
              <w:bottom w:val="nil"/>
              <w:right w:val="nil"/>
            </w:tcBorders>
            <w:shd w:val="clear" w:color="auto" w:fill="auto"/>
            <w:noWrap/>
            <w:vAlign w:val="bottom"/>
            <w:hideMark/>
          </w:tcPr>
          <w:p w14:paraId="53A6D601" w14:textId="77777777" w:rsidR="009308AE" w:rsidRPr="00E76327" w:rsidRDefault="009308AE" w:rsidP="009308AE">
            <w:pPr>
              <w:spacing w:after="0" w:line="240" w:lineRule="auto"/>
              <w:rPr>
                <w:rFonts w:eastAsia="Times New Roman" w:cs="Arial"/>
                <w:b/>
                <w:bCs/>
                <w:color w:val="000000"/>
                <w:sz w:val="20"/>
                <w:szCs w:val="20"/>
                <w:lang w:eastAsia="en-AU"/>
              </w:rPr>
            </w:pPr>
          </w:p>
        </w:tc>
        <w:tc>
          <w:tcPr>
            <w:tcW w:w="1559" w:type="dxa"/>
            <w:tcBorders>
              <w:top w:val="nil"/>
              <w:left w:val="nil"/>
              <w:bottom w:val="nil"/>
              <w:right w:val="nil"/>
            </w:tcBorders>
            <w:shd w:val="clear" w:color="000000" w:fill="FFFFFF"/>
            <w:noWrap/>
            <w:vAlign w:val="bottom"/>
            <w:hideMark/>
          </w:tcPr>
          <w:p w14:paraId="426CCF96" w14:textId="65C84D21" w:rsidR="009308AE" w:rsidRPr="00E76327" w:rsidRDefault="009308AE" w:rsidP="009308AE">
            <w:pPr>
              <w:spacing w:after="0" w:line="240" w:lineRule="auto"/>
              <w:jc w:val="center"/>
              <w:rPr>
                <w:rFonts w:eastAsia="Times New Roman" w:cs="Arial"/>
                <w:b/>
                <w:bCs/>
                <w:color w:val="000000"/>
                <w:sz w:val="20"/>
                <w:szCs w:val="20"/>
                <w:lang w:eastAsia="en-AU"/>
              </w:rPr>
            </w:pPr>
            <w:r w:rsidRPr="00E76327">
              <w:rPr>
                <w:rFonts w:cs="Arial"/>
                <w:b/>
                <w:bCs/>
                <w:color w:val="000000"/>
                <w:sz w:val="20"/>
                <w:szCs w:val="20"/>
              </w:rPr>
              <w:t>$1,960.9</w:t>
            </w:r>
          </w:p>
        </w:tc>
        <w:tc>
          <w:tcPr>
            <w:tcW w:w="850" w:type="dxa"/>
            <w:tcBorders>
              <w:top w:val="nil"/>
              <w:left w:val="nil"/>
              <w:bottom w:val="nil"/>
              <w:right w:val="nil"/>
            </w:tcBorders>
            <w:shd w:val="clear" w:color="000000" w:fill="DCE6F1"/>
            <w:noWrap/>
            <w:vAlign w:val="bottom"/>
            <w:hideMark/>
          </w:tcPr>
          <w:p w14:paraId="6364848F" w14:textId="5043DF5A" w:rsidR="009308AE" w:rsidRPr="00E76327" w:rsidRDefault="009308AE" w:rsidP="009308AE">
            <w:pPr>
              <w:spacing w:after="0" w:line="240" w:lineRule="auto"/>
              <w:jc w:val="center"/>
              <w:rPr>
                <w:rFonts w:eastAsia="Times New Roman" w:cs="Arial"/>
                <w:b/>
                <w:bCs/>
                <w:color w:val="000000"/>
                <w:sz w:val="20"/>
                <w:szCs w:val="20"/>
                <w:lang w:eastAsia="en-AU"/>
              </w:rPr>
            </w:pPr>
            <w:r w:rsidRPr="00E76327">
              <w:rPr>
                <w:rFonts w:cs="Arial"/>
                <w:b/>
                <w:bCs/>
                <w:color w:val="000000"/>
                <w:sz w:val="20"/>
                <w:szCs w:val="20"/>
              </w:rPr>
              <w:t>100%</w:t>
            </w:r>
          </w:p>
        </w:tc>
        <w:tc>
          <w:tcPr>
            <w:tcW w:w="1414" w:type="dxa"/>
            <w:tcBorders>
              <w:top w:val="nil"/>
              <w:left w:val="single" w:sz="4" w:space="0" w:color="auto"/>
              <w:bottom w:val="nil"/>
              <w:right w:val="nil"/>
            </w:tcBorders>
            <w:shd w:val="clear" w:color="auto" w:fill="auto"/>
            <w:noWrap/>
            <w:vAlign w:val="bottom"/>
            <w:hideMark/>
          </w:tcPr>
          <w:p w14:paraId="223E3E57" w14:textId="56DC5CE8" w:rsidR="009308AE" w:rsidRPr="00E76327" w:rsidRDefault="009308AE" w:rsidP="009308AE">
            <w:pPr>
              <w:spacing w:after="0" w:line="240" w:lineRule="auto"/>
              <w:jc w:val="center"/>
              <w:rPr>
                <w:rFonts w:eastAsia="Times New Roman" w:cs="Arial"/>
                <w:b/>
                <w:bCs/>
                <w:color w:val="000000"/>
                <w:sz w:val="20"/>
                <w:szCs w:val="20"/>
                <w:lang w:eastAsia="en-AU"/>
              </w:rPr>
            </w:pPr>
            <w:r w:rsidRPr="00E76327">
              <w:rPr>
                <w:rFonts w:cs="Arial"/>
                <w:b/>
                <w:bCs/>
                <w:color w:val="000000"/>
                <w:sz w:val="20"/>
                <w:szCs w:val="20"/>
              </w:rPr>
              <w:t>$1,701.0</w:t>
            </w:r>
          </w:p>
        </w:tc>
        <w:tc>
          <w:tcPr>
            <w:tcW w:w="862" w:type="dxa"/>
            <w:tcBorders>
              <w:top w:val="nil"/>
              <w:left w:val="nil"/>
              <w:bottom w:val="nil"/>
              <w:right w:val="nil"/>
            </w:tcBorders>
            <w:shd w:val="clear" w:color="000000" w:fill="DCE6F1"/>
            <w:noWrap/>
            <w:vAlign w:val="bottom"/>
            <w:hideMark/>
          </w:tcPr>
          <w:p w14:paraId="48EA41A8" w14:textId="5EE5089F" w:rsidR="009308AE" w:rsidRPr="00E76327" w:rsidRDefault="009308AE" w:rsidP="009308AE">
            <w:pPr>
              <w:spacing w:after="0" w:line="240" w:lineRule="auto"/>
              <w:jc w:val="center"/>
              <w:rPr>
                <w:rFonts w:eastAsia="Times New Roman" w:cs="Arial"/>
                <w:b/>
                <w:bCs/>
                <w:color w:val="000000"/>
                <w:sz w:val="20"/>
                <w:szCs w:val="20"/>
                <w:lang w:eastAsia="en-AU"/>
              </w:rPr>
            </w:pPr>
            <w:r w:rsidRPr="00E76327">
              <w:rPr>
                <w:rFonts w:cs="Arial"/>
                <w:b/>
                <w:bCs/>
                <w:color w:val="000000"/>
                <w:sz w:val="20"/>
                <w:szCs w:val="20"/>
              </w:rPr>
              <w:t>100%</w:t>
            </w:r>
          </w:p>
        </w:tc>
      </w:tr>
      <w:tr w:rsidR="004D3EA8" w:rsidRPr="00A2012B" w14:paraId="723934D3" w14:textId="77777777" w:rsidTr="004D3EA8">
        <w:trPr>
          <w:gridAfter w:val="1"/>
          <w:wAfter w:w="862" w:type="dxa"/>
          <w:trHeight w:val="278"/>
        </w:trPr>
        <w:tc>
          <w:tcPr>
            <w:tcW w:w="2796" w:type="dxa"/>
            <w:tcBorders>
              <w:top w:val="nil"/>
              <w:left w:val="nil"/>
              <w:bottom w:val="single" w:sz="4" w:space="0" w:color="auto"/>
              <w:right w:val="nil"/>
            </w:tcBorders>
            <w:shd w:val="clear" w:color="auto" w:fill="auto"/>
            <w:noWrap/>
            <w:vAlign w:val="bottom"/>
            <w:hideMark/>
          </w:tcPr>
          <w:p w14:paraId="4FBADD70" w14:textId="77777777" w:rsidR="004D3EA8" w:rsidRPr="00E76327" w:rsidRDefault="004D3EA8"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1176" w:type="dxa"/>
            <w:tcBorders>
              <w:top w:val="nil"/>
              <w:left w:val="nil"/>
              <w:bottom w:val="single" w:sz="4" w:space="0" w:color="auto"/>
              <w:right w:val="nil"/>
            </w:tcBorders>
            <w:shd w:val="clear" w:color="auto" w:fill="auto"/>
            <w:noWrap/>
            <w:vAlign w:val="bottom"/>
            <w:hideMark/>
          </w:tcPr>
          <w:p w14:paraId="4ECDFF28" w14:textId="77777777" w:rsidR="004D3EA8" w:rsidRPr="00E76327" w:rsidRDefault="004D3EA8"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423" w:type="dxa"/>
            <w:tcBorders>
              <w:top w:val="nil"/>
              <w:left w:val="nil"/>
              <w:bottom w:val="single" w:sz="4" w:space="0" w:color="auto"/>
              <w:right w:val="nil"/>
            </w:tcBorders>
            <w:shd w:val="clear" w:color="auto" w:fill="auto"/>
            <w:noWrap/>
            <w:vAlign w:val="bottom"/>
            <w:hideMark/>
          </w:tcPr>
          <w:p w14:paraId="4FC289D5" w14:textId="77777777" w:rsidR="004D3EA8" w:rsidRPr="00E76327" w:rsidRDefault="004D3EA8"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1559" w:type="dxa"/>
            <w:tcBorders>
              <w:top w:val="nil"/>
              <w:left w:val="nil"/>
              <w:bottom w:val="single" w:sz="4" w:space="0" w:color="auto"/>
              <w:right w:val="nil"/>
            </w:tcBorders>
            <w:shd w:val="clear" w:color="auto" w:fill="auto"/>
            <w:noWrap/>
            <w:vAlign w:val="bottom"/>
            <w:hideMark/>
          </w:tcPr>
          <w:p w14:paraId="752E8439"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850" w:type="dxa"/>
            <w:tcBorders>
              <w:top w:val="nil"/>
              <w:left w:val="nil"/>
              <w:bottom w:val="single" w:sz="4" w:space="0" w:color="auto"/>
              <w:right w:val="nil"/>
            </w:tcBorders>
            <w:shd w:val="clear" w:color="auto" w:fill="auto"/>
            <w:noWrap/>
            <w:vAlign w:val="bottom"/>
            <w:hideMark/>
          </w:tcPr>
          <w:p w14:paraId="1493625D"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1414" w:type="dxa"/>
            <w:tcBorders>
              <w:top w:val="nil"/>
              <w:left w:val="single" w:sz="4" w:space="0" w:color="auto"/>
              <w:bottom w:val="single" w:sz="4" w:space="0" w:color="auto"/>
              <w:right w:val="nil"/>
            </w:tcBorders>
            <w:shd w:val="clear" w:color="auto" w:fill="auto"/>
            <w:noWrap/>
            <w:vAlign w:val="bottom"/>
            <w:hideMark/>
          </w:tcPr>
          <w:p w14:paraId="753153BD"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862" w:type="dxa"/>
            <w:tcBorders>
              <w:top w:val="nil"/>
              <w:left w:val="nil"/>
              <w:bottom w:val="single" w:sz="4" w:space="0" w:color="auto"/>
              <w:right w:val="nil"/>
            </w:tcBorders>
            <w:shd w:val="clear" w:color="auto" w:fill="auto"/>
            <w:noWrap/>
            <w:vAlign w:val="bottom"/>
            <w:hideMark/>
          </w:tcPr>
          <w:p w14:paraId="00665E38"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r>
      <w:tr w:rsidR="004D3EA8" w:rsidRPr="00EC5EEA" w14:paraId="0B0F2CE6" w14:textId="77777777" w:rsidTr="004D3EA8">
        <w:trPr>
          <w:gridAfter w:val="1"/>
          <w:wAfter w:w="862" w:type="dxa"/>
          <w:trHeight w:val="278"/>
        </w:trPr>
        <w:tc>
          <w:tcPr>
            <w:tcW w:w="3972" w:type="dxa"/>
            <w:gridSpan w:val="2"/>
            <w:tcBorders>
              <w:top w:val="nil"/>
              <w:left w:val="nil"/>
              <w:bottom w:val="nil"/>
              <w:right w:val="nil"/>
            </w:tcBorders>
            <w:shd w:val="clear" w:color="auto" w:fill="auto"/>
            <w:noWrap/>
            <w:vAlign w:val="bottom"/>
            <w:hideMark/>
          </w:tcPr>
          <w:p w14:paraId="17AC827C" w14:textId="77777777" w:rsidR="004D3EA8" w:rsidRPr="00E76327" w:rsidRDefault="004D3EA8"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Funding envelope for 2013/14 ($m)</w:t>
            </w:r>
          </w:p>
        </w:tc>
        <w:tc>
          <w:tcPr>
            <w:tcW w:w="423" w:type="dxa"/>
            <w:tcBorders>
              <w:top w:val="nil"/>
              <w:left w:val="nil"/>
              <w:bottom w:val="nil"/>
              <w:right w:val="nil"/>
            </w:tcBorders>
            <w:shd w:val="clear" w:color="auto" w:fill="auto"/>
            <w:noWrap/>
            <w:vAlign w:val="bottom"/>
            <w:hideMark/>
          </w:tcPr>
          <w:p w14:paraId="50168C43" w14:textId="77777777" w:rsidR="004D3EA8" w:rsidRPr="00E76327" w:rsidRDefault="004D3EA8" w:rsidP="00EA5CF2">
            <w:pPr>
              <w:spacing w:after="0" w:line="240" w:lineRule="auto"/>
              <w:rPr>
                <w:rFonts w:eastAsia="Times New Roman" w:cs="Arial"/>
                <w:b/>
                <w:bCs/>
                <w:color w:val="000000"/>
                <w:sz w:val="20"/>
                <w:szCs w:val="20"/>
                <w:lang w:eastAsia="en-AU"/>
              </w:rPr>
            </w:pPr>
          </w:p>
        </w:tc>
        <w:tc>
          <w:tcPr>
            <w:tcW w:w="1559" w:type="dxa"/>
            <w:tcBorders>
              <w:top w:val="nil"/>
              <w:left w:val="nil"/>
              <w:bottom w:val="nil"/>
              <w:right w:val="nil"/>
            </w:tcBorders>
            <w:shd w:val="clear" w:color="000000" w:fill="FFFFFF"/>
            <w:noWrap/>
            <w:vAlign w:val="bottom"/>
            <w:hideMark/>
          </w:tcPr>
          <w:p w14:paraId="0C0FCF8B" w14:textId="77777777" w:rsidR="004D3EA8" w:rsidRPr="00E76327" w:rsidRDefault="004D3EA8"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$148.8</w:t>
            </w:r>
          </w:p>
        </w:tc>
        <w:tc>
          <w:tcPr>
            <w:tcW w:w="850" w:type="dxa"/>
            <w:tcBorders>
              <w:top w:val="nil"/>
              <w:left w:val="nil"/>
              <w:bottom w:val="nil"/>
              <w:right w:val="nil"/>
            </w:tcBorders>
            <w:shd w:val="clear" w:color="000000" w:fill="FFFFFF"/>
            <w:noWrap/>
            <w:vAlign w:val="bottom"/>
            <w:hideMark/>
          </w:tcPr>
          <w:p w14:paraId="5599BBDF" w14:textId="77777777" w:rsidR="004D3EA8" w:rsidRPr="00E76327" w:rsidRDefault="004D3EA8"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1414" w:type="dxa"/>
            <w:tcBorders>
              <w:top w:val="nil"/>
              <w:left w:val="single" w:sz="4" w:space="0" w:color="auto"/>
              <w:bottom w:val="nil"/>
              <w:right w:val="nil"/>
            </w:tcBorders>
            <w:shd w:val="clear" w:color="000000" w:fill="FFFFFF"/>
            <w:noWrap/>
            <w:vAlign w:val="bottom"/>
            <w:hideMark/>
          </w:tcPr>
          <w:p w14:paraId="05C93295" w14:textId="77777777" w:rsidR="004D3EA8" w:rsidRPr="00E76327" w:rsidRDefault="004D3EA8"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$148.8</w:t>
            </w:r>
          </w:p>
        </w:tc>
        <w:tc>
          <w:tcPr>
            <w:tcW w:w="862" w:type="dxa"/>
            <w:tcBorders>
              <w:top w:val="nil"/>
              <w:left w:val="nil"/>
              <w:bottom w:val="nil"/>
              <w:right w:val="nil"/>
            </w:tcBorders>
            <w:shd w:val="clear" w:color="000000" w:fill="FFFFFF"/>
            <w:noWrap/>
            <w:vAlign w:val="bottom"/>
            <w:hideMark/>
          </w:tcPr>
          <w:p w14:paraId="12A62612" w14:textId="77777777" w:rsidR="004D3EA8" w:rsidRPr="00E76327" w:rsidRDefault="004D3EA8"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r>
      <w:tr w:rsidR="004D3EA8" w:rsidRPr="00EC5EEA" w14:paraId="23F30DF7" w14:textId="77777777" w:rsidTr="004D3EA8">
        <w:trPr>
          <w:gridAfter w:val="1"/>
          <w:wAfter w:w="862" w:type="dxa"/>
          <w:trHeight w:val="709"/>
        </w:trPr>
        <w:tc>
          <w:tcPr>
            <w:tcW w:w="4395" w:type="dxa"/>
            <w:gridSpan w:val="3"/>
            <w:tcBorders>
              <w:top w:val="nil"/>
              <w:left w:val="nil"/>
              <w:bottom w:val="single" w:sz="4" w:space="0" w:color="auto"/>
              <w:right w:val="nil"/>
            </w:tcBorders>
            <w:shd w:val="clear" w:color="000000" w:fill="E4DFEC"/>
            <w:hideMark/>
          </w:tcPr>
          <w:p w14:paraId="603A3B69" w14:textId="77777777" w:rsidR="004D3EA8" w:rsidRPr="00E76327" w:rsidRDefault="004D3EA8" w:rsidP="00EA5CF2">
            <w:pPr>
              <w:spacing w:after="0" w:line="240" w:lineRule="auto"/>
              <w:rPr>
                <w:rFonts w:eastAsia="Times New Roman" w:cs="Arial"/>
                <w:color w:val="000000"/>
                <w:sz w:val="20"/>
                <w:szCs w:val="20"/>
                <w:lang w:eastAsia="en-AU"/>
              </w:rPr>
            </w:pPr>
            <w:r w:rsidRPr="00E76327">
              <w:rPr>
                <w:rFonts w:eastAsia="Times New Roman" w:cs="Arial"/>
                <w:color w:val="000000"/>
                <w:sz w:val="20"/>
                <w:szCs w:val="20"/>
                <w:lang w:eastAsia="en-AU"/>
              </w:rPr>
              <w:t>Expected to be provided in 2013/14 as a proportion of 2013/14 funding envelope</w:t>
            </w:r>
          </w:p>
        </w:tc>
        <w:tc>
          <w:tcPr>
            <w:tcW w:w="1559" w:type="dxa"/>
            <w:tcBorders>
              <w:top w:val="nil"/>
              <w:left w:val="nil"/>
              <w:bottom w:val="single" w:sz="4" w:space="0" w:color="auto"/>
              <w:right w:val="nil"/>
            </w:tcBorders>
            <w:shd w:val="clear" w:color="000000" w:fill="E4DFEC"/>
            <w:noWrap/>
            <w:hideMark/>
          </w:tcPr>
          <w:p w14:paraId="35060C67"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850" w:type="dxa"/>
            <w:tcBorders>
              <w:top w:val="nil"/>
              <w:left w:val="nil"/>
              <w:bottom w:val="single" w:sz="4" w:space="0" w:color="auto"/>
              <w:right w:val="nil"/>
            </w:tcBorders>
            <w:shd w:val="clear" w:color="000000" w:fill="E4DFEC"/>
            <w:noWrap/>
            <w:hideMark/>
          </w:tcPr>
          <w:p w14:paraId="44169C6A" w14:textId="77777777" w:rsidR="004D3EA8" w:rsidRPr="00E76327" w:rsidRDefault="004D3EA8" w:rsidP="00EA5CF2">
            <w:pPr>
              <w:spacing w:after="0" w:line="240" w:lineRule="auto"/>
              <w:jc w:val="center"/>
              <w:rPr>
                <w:rFonts w:eastAsia="Times New Roman" w:cs="Arial"/>
                <w:i/>
                <w:iCs/>
                <w:color w:val="000000"/>
                <w:sz w:val="20"/>
                <w:szCs w:val="20"/>
                <w:lang w:eastAsia="en-AU"/>
              </w:rPr>
            </w:pPr>
            <w:r w:rsidRPr="00E76327">
              <w:rPr>
                <w:rFonts w:eastAsia="Times New Roman" w:cs="Arial"/>
                <w:i/>
                <w:iCs/>
                <w:color w:val="000000"/>
                <w:sz w:val="20"/>
                <w:szCs w:val="20"/>
                <w:lang w:eastAsia="en-AU"/>
              </w:rPr>
              <w:t>95%</w:t>
            </w:r>
          </w:p>
        </w:tc>
        <w:tc>
          <w:tcPr>
            <w:tcW w:w="1414" w:type="dxa"/>
            <w:tcBorders>
              <w:top w:val="nil"/>
              <w:left w:val="single" w:sz="4" w:space="0" w:color="auto"/>
              <w:bottom w:val="single" w:sz="4" w:space="0" w:color="auto"/>
              <w:right w:val="nil"/>
            </w:tcBorders>
            <w:shd w:val="clear" w:color="000000" w:fill="E4DFEC"/>
            <w:noWrap/>
            <w:hideMark/>
          </w:tcPr>
          <w:p w14:paraId="327B75E9"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862" w:type="dxa"/>
            <w:tcBorders>
              <w:top w:val="nil"/>
              <w:left w:val="nil"/>
              <w:bottom w:val="single" w:sz="4" w:space="0" w:color="auto"/>
              <w:right w:val="nil"/>
            </w:tcBorders>
            <w:shd w:val="clear" w:color="000000" w:fill="E4DFEC"/>
            <w:noWrap/>
            <w:hideMark/>
          </w:tcPr>
          <w:p w14:paraId="45673899" w14:textId="77777777" w:rsidR="004D3EA8" w:rsidRPr="00E76327" w:rsidRDefault="0061344D" w:rsidP="00EA5CF2">
            <w:pPr>
              <w:spacing w:after="0" w:line="240" w:lineRule="auto"/>
              <w:jc w:val="center"/>
              <w:rPr>
                <w:rFonts w:eastAsia="Times New Roman" w:cs="Arial"/>
                <w:i/>
                <w:iCs/>
                <w:color w:val="000000"/>
                <w:sz w:val="20"/>
                <w:szCs w:val="20"/>
                <w:lang w:eastAsia="en-AU"/>
              </w:rPr>
            </w:pPr>
            <w:r w:rsidRPr="00E76327">
              <w:rPr>
                <w:rFonts w:eastAsia="Times New Roman" w:cs="Arial"/>
                <w:i/>
                <w:iCs/>
                <w:color w:val="000000"/>
                <w:sz w:val="20"/>
                <w:szCs w:val="20"/>
                <w:lang w:eastAsia="en-AU"/>
              </w:rPr>
              <w:t>90</w:t>
            </w:r>
            <w:r w:rsidR="004D3EA8" w:rsidRPr="00E76327">
              <w:rPr>
                <w:rFonts w:eastAsia="Times New Roman" w:cs="Arial"/>
                <w:i/>
                <w:iCs/>
                <w:color w:val="000000"/>
                <w:sz w:val="20"/>
                <w:szCs w:val="20"/>
                <w:lang w:eastAsia="en-AU"/>
              </w:rPr>
              <w:t>%</w:t>
            </w:r>
          </w:p>
        </w:tc>
      </w:tr>
      <w:tr w:rsidR="004D3EA8" w:rsidRPr="00EC5EEA" w14:paraId="60DC85F6" w14:textId="77777777" w:rsidTr="0061344D">
        <w:trPr>
          <w:gridAfter w:val="1"/>
          <w:wAfter w:w="862" w:type="dxa"/>
          <w:trHeight w:val="278"/>
        </w:trPr>
        <w:tc>
          <w:tcPr>
            <w:tcW w:w="3972" w:type="dxa"/>
            <w:gridSpan w:val="2"/>
            <w:tcBorders>
              <w:top w:val="nil"/>
              <w:left w:val="nil"/>
              <w:right w:val="nil"/>
            </w:tcBorders>
            <w:shd w:val="clear" w:color="auto" w:fill="auto"/>
            <w:noWrap/>
            <w:vAlign w:val="bottom"/>
            <w:hideMark/>
          </w:tcPr>
          <w:p w14:paraId="3E6B820A" w14:textId="77777777" w:rsidR="004D3EA8" w:rsidRPr="00E76327" w:rsidRDefault="004D3EA8" w:rsidP="00EA5CF2">
            <w:pPr>
              <w:spacing w:after="0" w:line="240" w:lineRule="auto"/>
              <w:rPr>
                <w:rFonts w:eastAsia="Times New Roman" w:cs="Arial"/>
                <w:b/>
                <w:bCs/>
                <w:color w:val="000000"/>
                <w:sz w:val="20"/>
                <w:szCs w:val="20"/>
                <w:lang w:eastAsia="en-AU"/>
              </w:rPr>
            </w:pPr>
            <w:r w:rsidRPr="00E76327">
              <w:rPr>
                <w:rFonts w:eastAsia="Times New Roman" w:cs="Arial"/>
                <w:b/>
                <w:bCs/>
                <w:color w:val="000000"/>
                <w:sz w:val="20"/>
                <w:szCs w:val="20"/>
                <w:lang w:eastAsia="en-AU"/>
              </w:rPr>
              <w:t>Funding envelope for 2014/15 ($m)</w:t>
            </w:r>
          </w:p>
        </w:tc>
        <w:tc>
          <w:tcPr>
            <w:tcW w:w="423" w:type="dxa"/>
            <w:tcBorders>
              <w:top w:val="nil"/>
              <w:left w:val="nil"/>
              <w:right w:val="nil"/>
            </w:tcBorders>
            <w:shd w:val="clear" w:color="auto" w:fill="auto"/>
            <w:noWrap/>
            <w:vAlign w:val="bottom"/>
            <w:hideMark/>
          </w:tcPr>
          <w:p w14:paraId="3D689426" w14:textId="77777777" w:rsidR="004D3EA8" w:rsidRPr="00E76327" w:rsidRDefault="004D3EA8" w:rsidP="00EA5CF2">
            <w:pPr>
              <w:spacing w:after="0" w:line="240" w:lineRule="auto"/>
              <w:rPr>
                <w:rFonts w:eastAsia="Times New Roman" w:cs="Arial"/>
                <w:b/>
                <w:bCs/>
                <w:color w:val="000000"/>
                <w:sz w:val="20"/>
                <w:szCs w:val="20"/>
                <w:lang w:eastAsia="en-AU"/>
              </w:rPr>
            </w:pPr>
          </w:p>
        </w:tc>
        <w:tc>
          <w:tcPr>
            <w:tcW w:w="1559" w:type="dxa"/>
            <w:tcBorders>
              <w:top w:val="nil"/>
              <w:left w:val="nil"/>
              <w:right w:val="nil"/>
            </w:tcBorders>
            <w:shd w:val="clear" w:color="000000" w:fill="FFFFFF"/>
            <w:noWrap/>
            <w:vAlign w:val="bottom"/>
            <w:hideMark/>
          </w:tcPr>
          <w:p w14:paraId="70083976" w14:textId="77777777" w:rsidR="004D3EA8" w:rsidRPr="00E76327" w:rsidRDefault="004D3EA8"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$456.9</w:t>
            </w:r>
          </w:p>
        </w:tc>
        <w:tc>
          <w:tcPr>
            <w:tcW w:w="850" w:type="dxa"/>
            <w:tcBorders>
              <w:top w:val="nil"/>
              <w:left w:val="nil"/>
              <w:right w:val="nil"/>
            </w:tcBorders>
            <w:shd w:val="clear" w:color="000000" w:fill="FFFFFF"/>
            <w:noWrap/>
            <w:vAlign w:val="bottom"/>
            <w:hideMark/>
          </w:tcPr>
          <w:p w14:paraId="069164E6" w14:textId="77777777" w:rsidR="004D3EA8" w:rsidRPr="00E76327" w:rsidRDefault="004D3EA8" w:rsidP="00EA5CF2">
            <w:pPr>
              <w:spacing w:after="0" w:line="240" w:lineRule="auto"/>
              <w:jc w:val="center"/>
              <w:rPr>
                <w:rFonts w:eastAsia="Times New Roman" w:cs="Arial"/>
                <w:b/>
                <w:bCs/>
                <w:i/>
                <w:color w:val="000000"/>
                <w:sz w:val="20"/>
                <w:szCs w:val="20"/>
                <w:lang w:eastAsia="en-AU"/>
              </w:rPr>
            </w:pPr>
            <w:r w:rsidRPr="00E76327">
              <w:rPr>
                <w:rFonts w:eastAsia="Times New Roman" w:cs="Arial"/>
                <w:b/>
                <w:bCs/>
                <w:i/>
                <w:color w:val="000000"/>
                <w:sz w:val="20"/>
                <w:szCs w:val="20"/>
                <w:lang w:eastAsia="en-AU"/>
              </w:rPr>
              <w:t> </w:t>
            </w:r>
          </w:p>
        </w:tc>
        <w:tc>
          <w:tcPr>
            <w:tcW w:w="1414" w:type="dxa"/>
            <w:tcBorders>
              <w:top w:val="nil"/>
              <w:left w:val="single" w:sz="4" w:space="0" w:color="auto"/>
              <w:right w:val="nil"/>
            </w:tcBorders>
            <w:shd w:val="clear" w:color="000000" w:fill="FFFFFF"/>
            <w:noWrap/>
            <w:vAlign w:val="bottom"/>
            <w:hideMark/>
          </w:tcPr>
          <w:p w14:paraId="12D876F1" w14:textId="77777777" w:rsidR="004D3EA8" w:rsidRPr="00E76327" w:rsidRDefault="004D3EA8" w:rsidP="00EA5CF2">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$456.9</w:t>
            </w:r>
          </w:p>
        </w:tc>
        <w:tc>
          <w:tcPr>
            <w:tcW w:w="862" w:type="dxa"/>
            <w:tcBorders>
              <w:top w:val="nil"/>
              <w:left w:val="nil"/>
              <w:right w:val="nil"/>
            </w:tcBorders>
            <w:shd w:val="clear" w:color="000000" w:fill="FFFFFF"/>
            <w:noWrap/>
            <w:vAlign w:val="bottom"/>
            <w:hideMark/>
          </w:tcPr>
          <w:p w14:paraId="1557B58C" w14:textId="77777777" w:rsidR="004D3EA8" w:rsidRPr="00E76327" w:rsidRDefault="004D3EA8" w:rsidP="00EA5CF2">
            <w:pPr>
              <w:spacing w:after="0" w:line="240" w:lineRule="auto"/>
              <w:jc w:val="center"/>
              <w:rPr>
                <w:rFonts w:eastAsia="Times New Roman" w:cs="Arial"/>
                <w:b/>
                <w:bCs/>
                <w:i/>
                <w:color w:val="000000"/>
                <w:sz w:val="20"/>
                <w:szCs w:val="20"/>
                <w:lang w:eastAsia="en-AU"/>
              </w:rPr>
            </w:pPr>
            <w:r w:rsidRPr="00E76327">
              <w:rPr>
                <w:rFonts w:eastAsia="Times New Roman" w:cs="Arial"/>
                <w:b/>
                <w:bCs/>
                <w:i/>
                <w:color w:val="000000"/>
                <w:sz w:val="20"/>
                <w:szCs w:val="20"/>
                <w:lang w:eastAsia="en-AU"/>
              </w:rPr>
              <w:t> </w:t>
            </w:r>
          </w:p>
        </w:tc>
      </w:tr>
      <w:tr w:rsidR="004D3EA8" w:rsidRPr="00EC5EEA" w14:paraId="2A854A13" w14:textId="77777777" w:rsidTr="0061344D">
        <w:trPr>
          <w:gridAfter w:val="1"/>
          <w:wAfter w:w="862" w:type="dxa"/>
          <w:trHeight w:val="436"/>
        </w:trPr>
        <w:tc>
          <w:tcPr>
            <w:tcW w:w="4395" w:type="dxa"/>
            <w:gridSpan w:val="3"/>
            <w:tcBorders>
              <w:top w:val="nil"/>
              <w:left w:val="nil"/>
              <w:bottom w:val="single" w:sz="4" w:space="0" w:color="auto"/>
              <w:right w:val="nil"/>
            </w:tcBorders>
            <w:shd w:val="clear" w:color="000000" w:fill="E4DFEC"/>
            <w:hideMark/>
          </w:tcPr>
          <w:p w14:paraId="070C20DD" w14:textId="77777777" w:rsidR="004D3EA8" w:rsidRPr="00E76327" w:rsidRDefault="004D3EA8" w:rsidP="00EA5CF2">
            <w:pPr>
              <w:spacing w:after="0" w:line="240" w:lineRule="auto"/>
              <w:rPr>
                <w:rFonts w:eastAsia="Times New Roman" w:cs="Arial"/>
                <w:color w:val="000000"/>
                <w:sz w:val="20"/>
                <w:szCs w:val="20"/>
                <w:lang w:eastAsia="en-AU"/>
              </w:rPr>
            </w:pPr>
            <w:r w:rsidRPr="00E76327">
              <w:rPr>
                <w:rFonts w:eastAsia="Times New Roman" w:cs="Arial"/>
                <w:color w:val="000000"/>
                <w:sz w:val="20"/>
                <w:szCs w:val="20"/>
                <w:lang w:eastAsia="en-AU"/>
              </w:rPr>
              <w:t>Expected to be provided in 2014/15 as a proportion of 2014/15 funding envelope</w:t>
            </w:r>
          </w:p>
        </w:tc>
        <w:tc>
          <w:tcPr>
            <w:tcW w:w="1559" w:type="dxa"/>
            <w:tcBorders>
              <w:top w:val="nil"/>
              <w:left w:val="nil"/>
              <w:bottom w:val="single" w:sz="4" w:space="0" w:color="auto"/>
              <w:right w:val="nil"/>
            </w:tcBorders>
            <w:shd w:val="clear" w:color="000000" w:fill="E4DFEC"/>
            <w:noWrap/>
            <w:hideMark/>
          </w:tcPr>
          <w:p w14:paraId="77556060"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850" w:type="dxa"/>
            <w:tcBorders>
              <w:top w:val="nil"/>
              <w:left w:val="nil"/>
              <w:bottom w:val="single" w:sz="4" w:space="0" w:color="auto"/>
              <w:right w:val="nil"/>
            </w:tcBorders>
            <w:shd w:val="clear" w:color="000000" w:fill="E4DFEC"/>
            <w:noWrap/>
            <w:hideMark/>
          </w:tcPr>
          <w:p w14:paraId="215F3584" w14:textId="6DBD136B" w:rsidR="004D3EA8" w:rsidRPr="00E76327" w:rsidRDefault="0025610A" w:rsidP="0025610A">
            <w:pPr>
              <w:spacing w:after="0" w:line="240" w:lineRule="auto"/>
              <w:jc w:val="center"/>
              <w:rPr>
                <w:rFonts w:eastAsia="Times New Roman" w:cs="Arial"/>
                <w:i/>
                <w:iCs/>
                <w:color w:val="000000"/>
                <w:sz w:val="20"/>
                <w:szCs w:val="20"/>
                <w:lang w:eastAsia="en-AU"/>
              </w:rPr>
            </w:pPr>
            <w:r w:rsidRPr="00E76327">
              <w:rPr>
                <w:rFonts w:eastAsia="Times New Roman" w:cs="Arial"/>
                <w:i/>
                <w:iCs/>
                <w:color w:val="000000"/>
                <w:sz w:val="20"/>
                <w:szCs w:val="20"/>
                <w:lang w:eastAsia="en-AU"/>
              </w:rPr>
              <w:t>110</w:t>
            </w:r>
            <w:r w:rsidR="004D3EA8" w:rsidRPr="00E76327">
              <w:rPr>
                <w:rFonts w:eastAsia="Times New Roman" w:cs="Arial"/>
                <w:i/>
                <w:iCs/>
                <w:color w:val="000000"/>
                <w:sz w:val="20"/>
                <w:szCs w:val="20"/>
                <w:lang w:eastAsia="en-AU"/>
              </w:rPr>
              <w:t>%</w:t>
            </w:r>
          </w:p>
        </w:tc>
        <w:tc>
          <w:tcPr>
            <w:tcW w:w="1414" w:type="dxa"/>
            <w:tcBorders>
              <w:top w:val="nil"/>
              <w:left w:val="single" w:sz="4" w:space="0" w:color="auto"/>
              <w:bottom w:val="single" w:sz="4" w:space="0" w:color="auto"/>
              <w:right w:val="nil"/>
            </w:tcBorders>
            <w:shd w:val="clear" w:color="000000" w:fill="E4DFEC"/>
            <w:noWrap/>
            <w:hideMark/>
          </w:tcPr>
          <w:p w14:paraId="5C94DF7E" w14:textId="77777777" w:rsidR="004D3EA8" w:rsidRPr="00E76327" w:rsidRDefault="004D3EA8" w:rsidP="00EA5CF2">
            <w:pPr>
              <w:spacing w:after="0" w:line="240" w:lineRule="auto"/>
              <w:jc w:val="center"/>
              <w:rPr>
                <w:rFonts w:eastAsia="Times New Roman" w:cs="Arial"/>
                <w:color w:val="000000"/>
                <w:sz w:val="20"/>
                <w:szCs w:val="20"/>
                <w:lang w:eastAsia="en-AU"/>
              </w:rPr>
            </w:pPr>
            <w:r w:rsidRPr="00E76327">
              <w:rPr>
                <w:rFonts w:eastAsia="Times New Roman" w:cs="Arial"/>
                <w:color w:val="000000"/>
                <w:sz w:val="20"/>
                <w:szCs w:val="20"/>
                <w:lang w:eastAsia="en-AU"/>
              </w:rPr>
              <w:t> </w:t>
            </w:r>
          </w:p>
        </w:tc>
        <w:tc>
          <w:tcPr>
            <w:tcW w:w="862" w:type="dxa"/>
            <w:tcBorders>
              <w:top w:val="nil"/>
              <w:left w:val="nil"/>
              <w:bottom w:val="single" w:sz="4" w:space="0" w:color="auto"/>
              <w:right w:val="nil"/>
            </w:tcBorders>
            <w:shd w:val="clear" w:color="000000" w:fill="E4DFEC"/>
            <w:noWrap/>
            <w:hideMark/>
          </w:tcPr>
          <w:p w14:paraId="564EDD1B" w14:textId="2EE8F79F" w:rsidR="004D3EA8" w:rsidRPr="00E76327" w:rsidRDefault="0061344D" w:rsidP="0025610A">
            <w:pPr>
              <w:spacing w:after="0" w:line="240" w:lineRule="auto"/>
              <w:jc w:val="center"/>
              <w:rPr>
                <w:rFonts w:eastAsia="Times New Roman" w:cs="Arial"/>
                <w:i/>
                <w:iCs/>
                <w:color w:val="000000"/>
                <w:sz w:val="20"/>
                <w:szCs w:val="20"/>
                <w:lang w:eastAsia="en-AU"/>
              </w:rPr>
            </w:pPr>
            <w:r w:rsidRPr="00E76327">
              <w:rPr>
                <w:rFonts w:eastAsia="Times New Roman" w:cs="Arial"/>
                <w:i/>
                <w:iCs/>
                <w:color w:val="000000"/>
                <w:sz w:val="20"/>
                <w:szCs w:val="20"/>
                <w:lang w:eastAsia="en-AU"/>
              </w:rPr>
              <w:t>9</w:t>
            </w:r>
            <w:r w:rsidR="0025610A" w:rsidRPr="00E76327">
              <w:rPr>
                <w:rFonts w:eastAsia="Times New Roman" w:cs="Arial"/>
                <w:i/>
                <w:iCs/>
                <w:color w:val="000000"/>
                <w:sz w:val="20"/>
                <w:szCs w:val="20"/>
                <w:lang w:eastAsia="en-AU"/>
              </w:rPr>
              <w:t>5</w:t>
            </w:r>
            <w:r w:rsidR="004D3EA8" w:rsidRPr="00E76327">
              <w:rPr>
                <w:rFonts w:eastAsia="Times New Roman" w:cs="Arial"/>
                <w:i/>
                <w:iCs/>
                <w:color w:val="000000"/>
                <w:sz w:val="20"/>
                <w:szCs w:val="20"/>
                <w:lang w:eastAsia="en-AU"/>
              </w:rPr>
              <w:t>%</w:t>
            </w:r>
          </w:p>
        </w:tc>
      </w:tr>
      <w:tr w:rsidR="004D3EA8" w:rsidRPr="00EC5EEA" w14:paraId="29AB74E1" w14:textId="77777777" w:rsidTr="005609AD">
        <w:trPr>
          <w:trHeight w:val="436"/>
        </w:trPr>
        <w:tc>
          <w:tcPr>
            <w:tcW w:w="4395" w:type="dxa"/>
            <w:gridSpan w:val="3"/>
            <w:tcBorders>
              <w:top w:val="single" w:sz="4" w:space="0" w:color="auto"/>
              <w:left w:val="nil"/>
              <w:bottom w:val="nil"/>
              <w:right w:val="nil"/>
            </w:tcBorders>
            <w:shd w:val="clear" w:color="auto" w:fill="auto"/>
            <w:vAlign w:val="bottom"/>
          </w:tcPr>
          <w:p w14:paraId="567778A4" w14:textId="77777777" w:rsidR="004D3EA8" w:rsidRPr="005609AD" w:rsidRDefault="0061344D" w:rsidP="0048651E">
            <w:pPr>
              <w:spacing w:after="0" w:line="240" w:lineRule="auto"/>
              <w:rPr>
                <w:rFonts w:eastAsia="Times New Roman" w:cs="Arial"/>
                <w:b/>
                <w:bCs/>
                <w:color w:val="000000"/>
                <w:sz w:val="20"/>
                <w:szCs w:val="20"/>
                <w:lang w:eastAsia="en-AU"/>
              </w:rPr>
            </w:pPr>
            <w:r w:rsidRPr="005609AD">
              <w:rPr>
                <w:rFonts w:eastAsia="Times New Roman" w:cs="Arial"/>
                <w:b/>
                <w:bCs/>
                <w:color w:val="000000"/>
                <w:sz w:val="20"/>
                <w:szCs w:val="20"/>
                <w:lang w:eastAsia="en-AU"/>
              </w:rPr>
              <w:t>Funding envelope for 2015/16</w:t>
            </w:r>
            <w:r w:rsidR="004D3EA8" w:rsidRPr="005609AD">
              <w:rPr>
                <w:rFonts w:eastAsia="Times New Roman" w:cs="Arial"/>
                <w:b/>
                <w:bCs/>
                <w:color w:val="000000"/>
                <w:sz w:val="20"/>
                <w:szCs w:val="20"/>
                <w:lang w:eastAsia="en-AU"/>
              </w:rPr>
              <w:t xml:space="preserve"> ($m)</w:t>
            </w:r>
          </w:p>
        </w:tc>
        <w:tc>
          <w:tcPr>
            <w:tcW w:w="1559" w:type="dxa"/>
            <w:tcBorders>
              <w:top w:val="single" w:sz="4" w:space="0" w:color="auto"/>
              <w:left w:val="nil"/>
              <w:bottom w:val="nil"/>
              <w:right w:val="nil"/>
            </w:tcBorders>
            <w:shd w:val="clear" w:color="auto" w:fill="auto"/>
            <w:noWrap/>
            <w:vAlign w:val="bottom"/>
          </w:tcPr>
          <w:p w14:paraId="405C1F31" w14:textId="73D60CF9" w:rsidR="004D3EA8" w:rsidRPr="005609AD" w:rsidRDefault="0061344D" w:rsidP="00F52BCA">
            <w:pPr>
              <w:spacing w:after="0" w:line="240" w:lineRule="auto"/>
              <w:jc w:val="center"/>
              <w:rPr>
                <w:rFonts w:eastAsia="Times New Roman" w:cs="Arial"/>
                <w:b/>
                <w:bCs/>
                <w:color w:val="000000"/>
                <w:sz w:val="20"/>
                <w:szCs w:val="20"/>
                <w:lang w:eastAsia="en-AU"/>
              </w:rPr>
            </w:pPr>
            <w:r w:rsidRPr="005609AD">
              <w:rPr>
                <w:rFonts w:eastAsia="Times New Roman" w:cs="Arial"/>
                <w:b/>
                <w:bCs/>
                <w:color w:val="000000"/>
                <w:sz w:val="20"/>
                <w:szCs w:val="20"/>
                <w:lang w:eastAsia="en-AU"/>
              </w:rPr>
              <w:t>$8</w:t>
            </w:r>
            <w:r w:rsidR="00F52BCA" w:rsidRPr="005609AD">
              <w:rPr>
                <w:rFonts w:eastAsia="Times New Roman" w:cs="Arial"/>
                <w:b/>
                <w:bCs/>
                <w:color w:val="000000"/>
                <w:sz w:val="20"/>
                <w:szCs w:val="20"/>
                <w:lang w:eastAsia="en-AU"/>
              </w:rPr>
              <w:t>71</w:t>
            </w:r>
            <w:r w:rsidRPr="005609AD">
              <w:rPr>
                <w:rFonts w:eastAsia="Times New Roman" w:cs="Arial"/>
                <w:b/>
                <w:bCs/>
                <w:color w:val="000000"/>
                <w:sz w:val="20"/>
                <w:szCs w:val="20"/>
                <w:lang w:eastAsia="en-AU"/>
              </w:rPr>
              <w:t>.9</w:t>
            </w:r>
          </w:p>
        </w:tc>
        <w:tc>
          <w:tcPr>
            <w:tcW w:w="850" w:type="dxa"/>
            <w:tcBorders>
              <w:top w:val="single" w:sz="4" w:space="0" w:color="auto"/>
              <w:left w:val="nil"/>
              <w:bottom w:val="nil"/>
              <w:right w:val="nil"/>
            </w:tcBorders>
            <w:shd w:val="clear" w:color="auto" w:fill="auto"/>
            <w:noWrap/>
            <w:vAlign w:val="bottom"/>
          </w:tcPr>
          <w:p w14:paraId="29257F0E" w14:textId="77777777" w:rsidR="004D3EA8" w:rsidRPr="005609AD" w:rsidRDefault="004D3EA8" w:rsidP="0048651E">
            <w:pPr>
              <w:spacing w:after="0" w:line="240" w:lineRule="auto"/>
              <w:jc w:val="center"/>
              <w:rPr>
                <w:rFonts w:eastAsia="Times New Roman" w:cs="Arial"/>
                <w:b/>
                <w:bCs/>
                <w:i/>
                <w:color w:val="000000"/>
                <w:sz w:val="20"/>
                <w:szCs w:val="20"/>
                <w:lang w:eastAsia="en-AU"/>
              </w:rPr>
            </w:pPr>
          </w:p>
        </w:tc>
        <w:tc>
          <w:tcPr>
            <w:tcW w:w="1414" w:type="dxa"/>
            <w:tcBorders>
              <w:top w:val="single" w:sz="4" w:space="0" w:color="auto"/>
              <w:left w:val="single" w:sz="4" w:space="0" w:color="auto"/>
              <w:bottom w:val="nil"/>
              <w:right w:val="nil"/>
            </w:tcBorders>
            <w:shd w:val="clear" w:color="auto" w:fill="auto"/>
            <w:noWrap/>
            <w:vAlign w:val="bottom"/>
          </w:tcPr>
          <w:p w14:paraId="1E881747" w14:textId="41DF55B3" w:rsidR="004D3EA8" w:rsidRPr="005609AD" w:rsidRDefault="0061344D" w:rsidP="00F52BCA">
            <w:pPr>
              <w:spacing w:after="0" w:line="240" w:lineRule="auto"/>
              <w:jc w:val="center"/>
              <w:rPr>
                <w:rFonts w:eastAsia="Times New Roman" w:cs="Arial"/>
                <w:b/>
                <w:bCs/>
                <w:color w:val="000000"/>
                <w:sz w:val="20"/>
                <w:szCs w:val="20"/>
                <w:lang w:eastAsia="en-AU"/>
              </w:rPr>
            </w:pPr>
            <w:r w:rsidRPr="005609AD">
              <w:rPr>
                <w:rFonts w:eastAsia="Times New Roman" w:cs="Arial"/>
                <w:b/>
                <w:bCs/>
                <w:color w:val="000000"/>
                <w:sz w:val="20"/>
                <w:szCs w:val="20"/>
                <w:lang w:eastAsia="en-AU"/>
              </w:rPr>
              <w:t>$8</w:t>
            </w:r>
            <w:r w:rsidR="00F52BCA" w:rsidRPr="005609AD">
              <w:rPr>
                <w:rFonts w:eastAsia="Times New Roman" w:cs="Arial"/>
                <w:b/>
                <w:bCs/>
                <w:color w:val="000000"/>
                <w:sz w:val="20"/>
                <w:szCs w:val="20"/>
                <w:lang w:eastAsia="en-AU"/>
              </w:rPr>
              <w:t>71</w:t>
            </w:r>
            <w:r w:rsidRPr="005609AD">
              <w:rPr>
                <w:rFonts w:eastAsia="Times New Roman" w:cs="Arial"/>
                <w:b/>
                <w:bCs/>
                <w:color w:val="000000"/>
                <w:sz w:val="20"/>
                <w:szCs w:val="20"/>
                <w:lang w:eastAsia="en-AU"/>
              </w:rPr>
              <w:t>.</w:t>
            </w:r>
            <w:r w:rsidR="00121D50" w:rsidRPr="005609AD">
              <w:rPr>
                <w:rFonts w:eastAsia="Times New Roman" w:cs="Arial"/>
                <w:b/>
                <w:bCs/>
                <w:color w:val="000000"/>
                <w:sz w:val="20"/>
                <w:szCs w:val="20"/>
                <w:lang w:eastAsia="en-AU"/>
              </w:rPr>
              <w:t>9</w:t>
            </w:r>
            <w:r w:rsidR="004D3EA8" w:rsidRPr="005609AD">
              <w:rPr>
                <w:rFonts w:eastAsia="Times New Roman" w:cs="Arial"/>
                <w:b/>
                <w:bCs/>
                <w:color w:val="000000"/>
                <w:sz w:val="20"/>
                <w:szCs w:val="20"/>
                <w:lang w:eastAsia="en-AU"/>
              </w:rPr>
              <w:t> </w:t>
            </w:r>
          </w:p>
        </w:tc>
        <w:tc>
          <w:tcPr>
            <w:tcW w:w="862" w:type="dxa"/>
            <w:tcBorders>
              <w:top w:val="single" w:sz="4" w:space="0" w:color="auto"/>
              <w:left w:val="nil"/>
              <w:bottom w:val="nil"/>
              <w:right w:val="nil"/>
            </w:tcBorders>
            <w:shd w:val="clear" w:color="auto" w:fill="auto"/>
            <w:noWrap/>
            <w:vAlign w:val="bottom"/>
          </w:tcPr>
          <w:p w14:paraId="65F1B471" w14:textId="77777777" w:rsidR="004D3EA8" w:rsidRPr="005609AD" w:rsidRDefault="004D3EA8" w:rsidP="0048651E">
            <w:pPr>
              <w:spacing w:after="0" w:line="240" w:lineRule="auto"/>
              <w:jc w:val="center"/>
              <w:rPr>
                <w:rFonts w:eastAsia="Times New Roman" w:cs="Arial"/>
                <w:b/>
                <w:bCs/>
                <w:i/>
                <w:color w:val="000000"/>
                <w:sz w:val="20"/>
                <w:szCs w:val="20"/>
                <w:lang w:eastAsia="en-AU"/>
              </w:rPr>
            </w:pPr>
          </w:p>
        </w:tc>
        <w:tc>
          <w:tcPr>
            <w:tcW w:w="862" w:type="dxa"/>
            <w:vAlign w:val="bottom"/>
          </w:tcPr>
          <w:p w14:paraId="04A42EFE" w14:textId="77777777" w:rsidR="004D3EA8" w:rsidRPr="00E76327" w:rsidRDefault="004D3EA8" w:rsidP="0048651E">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r>
      <w:tr w:rsidR="004D3EA8" w:rsidRPr="00EC5EEA" w14:paraId="10F921F6" w14:textId="77777777" w:rsidTr="004D3EA8">
        <w:trPr>
          <w:gridAfter w:val="1"/>
          <w:wAfter w:w="862" w:type="dxa"/>
          <w:trHeight w:val="436"/>
        </w:trPr>
        <w:tc>
          <w:tcPr>
            <w:tcW w:w="4395" w:type="dxa"/>
            <w:gridSpan w:val="3"/>
            <w:tcBorders>
              <w:top w:val="nil"/>
              <w:left w:val="nil"/>
              <w:bottom w:val="single" w:sz="4" w:space="0" w:color="auto"/>
              <w:right w:val="nil"/>
            </w:tcBorders>
            <w:shd w:val="clear" w:color="000000" w:fill="E4DFEC"/>
          </w:tcPr>
          <w:p w14:paraId="31AFB4D4" w14:textId="77777777" w:rsidR="004D3EA8" w:rsidRPr="00E76327" w:rsidRDefault="0061344D" w:rsidP="0048651E">
            <w:pPr>
              <w:spacing w:after="0" w:line="240" w:lineRule="auto"/>
              <w:rPr>
                <w:rFonts w:eastAsia="Times New Roman" w:cs="Arial"/>
                <w:bCs/>
                <w:color w:val="000000"/>
                <w:sz w:val="20"/>
                <w:szCs w:val="20"/>
                <w:lang w:eastAsia="en-AU"/>
              </w:rPr>
            </w:pPr>
            <w:r w:rsidRPr="00E76327">
              <w:rPr>
                <w:rFonts w:eastAsia="Times New Roman" w:cs="Arial"/>
                <w:bCs/>
                <w:color w:val="000000"/>
                <w:sz w:val="20"/>
                <w:szCs w:val="20"/>
                <w:lang w:eastAsia="en-AU"/>
              </w:rPr>
              <w:t>Expected to be provided in 2015/16 as a proportion of 2015/16</w:t>
            </w:r>
            <w:r w:rsidR="004D3EA8" w:rsidRPr="00E76327">
              <w:rPr>
                <w:rFonts w:eastAsia="Times New Roman" w:cs="Arial"/>
                <w:bCs/>
                <w:color w:val="000000"/>
                <w:sz w:val="20"/>
                <w:szCs w:val="20"/>
                <w:lang w:eastAsia="en-AU"/>
              </w:rPr>
              <w:t xml:space="preserve"> funding envelope</w:t>
            </w:r>
          </w:p>
        </w:tc>
        <w:tc>
          <w:tcPr>
            <w:tcW w:w="1559" w:type="dxa"/>
            <w:tcBorders>
              <w:top w:val="nil"/>
              <w:left w:val="nil"/>
              <w:bottom w:val="single" w:sz="4" w:space="0" w:color="auto"/>
              <w:right w:val="nil"/>
            </w:tcBorders>
            <w:shd w:val="clear" w:color="000000" w:fill="E4DFEC"/>
            <w:noWrap/>
          </w:tcPr>
          <w:p w14:paraId="3CB901BB" w14:textId="77777777" w:rsidR="004D3EA8" w:rsidRPr="00E76327" w:rsidRDefault="004D3EA8" w:rsidP="0048651E">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850" w:type="dxa"/>
            <w:tcBorders>
              <w:top w:val="nil"/>
              <w:left w:val="nil"/>
              <w:bottom w:val="single" w:sz="4" w:space="0" w:color="auto"/>
              <w:right w:val="nil"/>
            </w:tcBorders>
            <w:shd w:val="clear" w:color="000000" w:fill="E4DFEC"/>
            <w:noWrap/>
          </w:tcPr>
          <w:p w14:paraId="20843F2C" w14:textId="7AC31C66" w:rsidR="004D3EA8" w:rsidRPr="00E76327" w:rsidRDefault="00EC5EEA" w:rsidP="00C825D4">
            <w:pPr>
              <w:spacing w:after="0" w:line="240" w:lineRule="auto"/>
              <w:jc w:val="center"/>
              <w:rPr>
                <w:rFonts w:eastAsia="Times New Roman" w:cs="Arial"/>
                <w:bCs/>
                <w:i/>
                <w:color w:val="000000"/>
                <w:sz w:val="20"/>
                <w:szCs w:val="20"/>
                <w:lang w:eastAsia="en-AU"/>
              </w:rPr>
            </w:pPr>
            <w:r w:rsidRPr="00E76327">
              <w:rPr>
                <w:rFonts w:eastAsia="Times New Roman" w:cs="Arial"/>
                <w:bCs/>
                <w:i/>
                <w:color w:val="000000"/>
                <w:sz w:val="20"/>
                <w:szCs w:val="20"/>
                <w:lang w:eastAsia="en-AU"/>
              </w:rPr>
              <w:t>97</w:t>
            </w:r>
            <w:r w:rsidR="004D3EA8" w:rsidRPr="00E76327">
              <w:rPr>
                <w:rFonts w:eastAsia="Times New Roman" w:cs="Arial"/>
                <w:bCs/>
                <w:i/>
                <w:color w:val="000000"/>
                <w:sz w:val="20"/>
                <w:szCs w:val="20"/>
                <w:lang w:eastAsia="en-AU"/>
              </w:rPr>
              <w:t>%</w:t>
            </w:r>
          </w:p>
        </w:tc>
        <w:tc>
          <w:tcPr>
            <w:tcW w:w="1414" w:type="dxa"/>
            <w:tcBorders>
              <w:top w:val="nil"/>
              <w:left w:val="single" w:sz="4" w:space="0" w:color="auto"/>
              <w:bottom w:val="single" w:sz="4" w:space="0" w:color="auto"/>
              <w:right w:val="nil"/>
            </w:tcBorders>
            <w:shd w:val="clear" w:color="000000" w:fill="E4DFEC"/>
            <w:noWrap/>
          </w:tcPr>
          <w:p w14:paraId="0C784577" w14:textId="77777777" w:rsidR="004D3EA8" w:rsidRPr="00E76327" w:rsidRDefault="004D3EA8" w:rsidP="0048651E">
            <w:pPr>
              <w:spacing w:after="0" w:line="240" w:lineRule="auto"/>
              <w:jc w:val="center"/>
              <w:rPr>
                <w:rFonts w:eastAsia="Times New Roman" w:cs="Arial"/>
                <w:b/>
                <w:bCs/>
                <w:color w:val="000000"/>
                <w:sz w:val="20"/>
                <w:szCs w:val="20"/>
                <w:lang w:eastAsia="en-AU"/>
              </w:rPr>
            </w:pPr>
            <w:r w:rsidRPr="00E76327">
              <w:rPr>
                <w:rFonts w:eastAsia="Times New Roman" w:cs="Arial"/>
                <w:b/>
                <w:bCs/>
                <w:color w:val="000000"/>
                <w:sz w:val="20"/>
                <w:szCs w:val="20"/>
                <w:lang w:eastAsia="en-AU"/>
              </w:rPr>
              <w:t> </w:t>
            </w:r>
          </w:p>
        </w:tc>
        <w:tc>
          <w:tcPr>
            <w:tcW w:w="862" w:type="dxa"/>
            <w:tcBorders>
              <w:top w:val="nil"/>
              <w:left w:val="nil"/>
              <w:bottom w:val="single" w:sz="4" w:space="0" w:color="auto"/>
              <w:right w:val="nil"/>
            </w:tcBorders>
            <w:shd w:val="clear" w:color="000000" w:fill="E4DFEC"/>
            <w:noWrap/>
          </w:tcPr>
          <w:p w14:paraId="7D0DAED5" w14:textId="773337A0" w:rsidR="004D3EA8" w:rsidRPr="00E76327" w:rsidRDefault="00EC5EEA" w:rsidP="00C825D4">
            <w:pPr>
              <w:spacing w:after="0" w:line="240" w:lineRule="auto"/>
              <w:jc w:val="center"/>
              <w:rPr>
                <w:rFonts w:eastAsia="Times New Roman" w:cs="Arial"/>
                <w:bCs/>
                <w:i/>
                <w:color w:val="000000"/>
                <w:sz w:val="20"/>
                <w:szCs w:val="20"/>
                <w:lang w:eastAsia="en-AU"/>
              </w:rPr>
            </w:pPr>
            <w:r w:rsidRPr="00E76327">
              <w:rPr>
                <w:rFonts w:eastAsia="Times New Roman" w:cs="Arial"/>
                <w:bCs/>
                <w:i/>
                <w:color w:val="000000"/>
                <w:sz w:val="20"/>
                <w:szCs w:val="20"/>
                <w:lang w:eastAsia="en-AU"/>
              </w:rPr>
              <w:t>85</w:t>
            </w:r>
            <w:r w:rsidR="004D3EA8" w:rsidRPr="00E76327">
              <w:rPr>
                <w:rFonts w:eastAsia="Times New Roman" w:cs="Arial"/>
                <w:bCs/>
                <w:i/>
                <w:color w:val="000000"/>
                <w:sz w:val="20"/>
                <w:szCs w:val="20"/>
                <w:lang w:eastAsia="en-AU"/>
              </w:rPr>
              <w:t>%</w:t>
            </w:r>
          </w:p>
        </w:tc>
      </w:tr>
    </w:tbl>
    <w:p w14:paraId="40988228" w14:textId="77777777" w:rsidR="00160D9D" w:rsidRPr="00A2012B" w:rsidRDefault="00160D9D" w:rsidP="00160D9D">
      <w:pPr>
        <w:rPr>
          <w:highlight w:val="lightGray"/>
        </w:rPr>
      </w:pPr>
    </w:p>
    <w:p w14:paraId="35C5FD51" w14:textId="77777777" w:rsidR="00160D9D" w:rsidRPr="00E76327" w:rsidRDefault="00160D9D" w:rsidP="00160D9D">
      <w:pPr>
        <w:pStyle w:val="Heading3"/>
        <w:numPr>
          <w:ilvl w:val="0"/>
          <w:numId w:val="0"/>
        </w:numPr>
        <w:ind w:left="720" w:hanging="720"/>
      </w:pPr>
      <w:r w:rsidRPr="00E76327">
        <w:t>Actual payments</w:t>
      </w:r>
    </w:p>
    <w:p w14:paraId="0793DC87" w14:textId="5E19F676" w:rsidR="00160D9D" w:rsidRPr="00E76327" w:rsidRDefault="00607E3B" w:rsidP="00160D9D">
      <w:r w:rsidRPr="00E76327">
        <w:t xml:space="preserve">Actual payments to service providers </w:t>
      </w:r>
      <w:r w:rsidR="0048651E">
        <w:t xml:space="preserve">and participants who are self-managing their plans </w:t>
      </w:r>
      <w:r w:rsidRPr="00E76327">
        <w:t>as at 31</w:t>
      </w:r>
      <w:r w:rsidR="00EA0D92" w:rsidRPr="00E76327">
        <w:t> </w:t>
      </w:r>
      <w:r w:rsidR="004076A5" w:rsidRPr="00C825D4">
        <w:t>March 2016 was $884.9 million</w:t>
      </w:r>
      <w:r w:rsidRPr="00E76327">
        <w:t>, of which $</w:t>
      </w:r>
      <w:r w:rsidR="004076A5" w:rsidRPr="00E76327">
        <w:t>91.3</w:t>
      </w:r>
      <w:r w:rsidRPr="00E76327">
        <w:t xml:space="preserve"> million relates to supports provided in 2013-14, $</w:t>
      </w:r>
      <w:r w:rsidR="004076A5" w:rsidRPr="00E76327">
        <w:t>372.7</w:t>
      </w:r>
      <w:r w:rsidRPr="00E76327">
        <w:t xml:space="preserve"> million relates to supported provided in 2014-15</w:t>
      </w:r>
      <w:r w:rsidR="00EA0D92" w:rsidRPr="00E76327">
        <w:t>,</w:t>
      </w:r>
      <w:r w:rsidRPr="00E76327">
        <w:t xml:space="preserve"> and $</w:t>
      </w:r>
      <w:r w:rsidR="004076A5" w:rsidRPr="00E76327">
        <w:t>421.0</w:t>
      </w:r>
      <w:r w:rsidRPr="00E76327">
        <w:t xml:space="preserve"> million relates to supports provided in 2015-16. </w:t>
      </w:r>
      <w:r w:rsidR="00160D9D" w:rsidRPr="00E76327">
        <w:t xml:space="preserve"> </w:t>
      </w:r>
    </w:p>
    <w:p w14:paraId="4E7FE130" w14:textId="77777777" w:rsidR="00160D9D" w:rsidRPr="00E76327" w:rsidRDefault="0093791A" w:rsidP="00160D9D">
      <w:pPr>
        <w:pStyle w:val="ListParagraph"/>
        <w:numPr>
          <w:ilvl w:val="0"/>
          <w:numId w:val="6"/>
        </w:numPr>
        <w:spacing w:before="200" w:after="0"/>
        <w:ind w:left="357" w:hanging="357"/>
        <w:contextualSpacing w:val="0"/>
      </w:pPr>
      <w:r w:rsidRPr="00E76327">
        <w:t xml:space="preserve">Actual payments to date </w:t>
      </w:r>
      <w:r w:rsidR="00160D9D" w:rsidRPr="00E76327">
        <w:t xml:space="preserve">for supports provided in 2013-14 represent </w:t>
      </w:r>
      <w:r w:rsidRPr="00E76327">
        <w:t>65%</w:t>
      </w:r>
      <w:r w:rsidR="00160D9D" w:rsidRPr="00E76327">
        <w:t xml:space="preserve"> of all committed supports</w:t>
      </w:r>
      <w:r w:rsidRPr="00E76327">
        <w:t>.</w:t>
      </w:r>
    </w:p>
    <w:p w14:paraId="1AEEC67B" w14:textId="25110701" w:rsidR="0093791A" w:rsidRPr="00E76327" w:rsidRDefault="0093791A" w:rsidP="0061344D">
      <w:pPr>
        <w:pStyle w:val="ListParagraph"/>
        <w:numPr>
          <w:ilvl w:val="0"/>
          <w:numId w:val="6"/>
        </w:numPr>
        <w:spacing w:before="200" w:after="0"/>
        <w:ind w:left="357" w:hanging="357"/>
        <w:contextualSpacing w:val="0"/>
      </w:pPr>
      <w:r w:rsidRPr="00E76327">
        <w:t xml:space="preserve">Actual payments to date </w:t>
      </w:r>
      <w:r w:rsidR="0061344D" w:rsidRPr="00E76327">
        <w:t xml:space="preserve">for supports provided in 2014-15 represent </w:t>
      </w:r>
      <w:r w:rsidR="00D44755" w:rsidRPr="00E76327">
        <w:t>7</w:t>
      </w:r>
      <w:r w:rsidR="004076A5" w:rsidRPr="00E76327">
        <w:t>4</w:t>
      </w:r>
      <w:r w:rsidRPr="00E76327">
        <w:t>% of all committed supports.</w:t>
      </w:r>
    </w:p>
    <w:p w14:paraId="55412091" w14:textId="542EF5BF" w:rsidR="0061344D" w:rsidRDefault="0093791A" w:rsidP="0061344D">
      <w:pPr>
        <w:pStyle w:val="ListParagraph"/>
        <w:numPr>
          <w:ilvl w:val="0"/>
          <w:numId w:val="6"/>
        </w:numPr>
        <w:spacing w:before="200" w:after="0"/>
        <w:ind w:left="357" w:hanging="357"/>
        <w:contextualSpacing w:val="0"/>
      </w:pPr>
      <w:r w:rsidRPr="00E76327">
        <w:t xml:space="preserve">Actual payments to date for all supports </w:t>
      </w:r>
      <w:r w:rsidR="0061344D" w:rsidRPr="00E76327">
        <w:t>6</w:t>
      </w:r>
      <w:r w:rsidR="00F06512" w:rsidRPr="00E76327">
        <w:t>9</w:t>
      </w:r>
      <w:r w:rsidR="0061344D" w:rsidRPr="00E76327">
        <w:t xml:space="preserve">% </w:t>
      </w:r>
      <w:r w:rsidRPr="00E76327">
        <w:t>of all committed supports</w:t>
      </w:r>
      <w:r w:rsidR="00D45B8F">
        <w:t>.</w:t>
      </w:r>
    </w:p>
    <w:p w14:paraId="289685B1" w14:textId="520E3FBC" w:rsidR="00D45B8F" w:rsidRPr="00E76327" w:rsidRDefault="00D45B8F" w:rsidP="00D45B8F">
      <w:pPr>
        <w:spacing w:before="200" w:after="0"/>
      </w:pPr>
      <w:r>
        <w:t>Note: payments continue to be made for the 2013-14 and 2014-15 support years, so these utilisation factors may increase.</w:t>
      </w:r>
    </w:p>
    <w:p w14:paraId="3E8B4A3F" w14:textId="3C09DB5E" w:rsidR="00160D9D" w:rsidRPr="00E76327" w:rsidRDefault="00160D9D" w:rsidP="00160D9D">
      <w:pPr>
        <w:pStyle w:val="Heading3"/>
        <w:numPr>
          <w:ilvl w:val="0"/>
          <w:numId w:val="0"/>
        </w:numPr>
        <w:ind w:left="720" w:hanging="720"/>
      </w:pPr>
      <w:r w:rsidRPr="00E76327">
        <w:lastRenderedPageBreak/>
        <w:t>Trends in average package cost</w:t>
      </w:r>
    </w:p>
    <w:p w14:paraId="652630CE" w14:textId="7ECB47C8" w:rsidR="00160D9D" w:rsidRPr="00E76327" w:rsidRDefault="00607E3B">
      <w:r w:rsidRPr="00E76327">
        <w:t xml:space="preserve">The average annualised package cost across all trial sites at the end of </w:t>
      </w:r>
      <w:r w:rsidR="00D77F68" w:rsidRPr="00C825D4">
        <w:t>March 2016 is $39,593</w:t>
      </w:r>
      <w:r w:rsidRPr="00E76327">
        <w:t xml:space="preserve"> including large residences (Stockton, Kanangra and Colanda)</w:t>
      </w:r>
      <w:r w:rsidR="00160D9D" w:rsidRPr="00E76327">
        <w:rPr>
          <w:rStyle w:val="FootnoteReference"/>
        </w:rPr>
        <w:footnoteReference w:id="7"/>
      </w:r>
      <w:r w:rsidR="00164726" w:rsidRPr="00E76327">
        <w:t xml:space="preserve">, and </w:t>
      </w:r>
      <w:r w:rsidR="00D77F68" w:rsidRPr="00C825D4">
        <w:t xml:space="preserve">$35,992 </w:t>
      </w:r>
      <w:r w:rsidR="00160D9D" w:rsidRPr="00E76327">
        <w:t>excluding Stockton, Kanangra and Colanda.</w:t>
      </w:r>
      <w:r w:rsidR="00160D9D" w:rsidRPr="00E76327">
        <w:rPr>
          <w:rStyle w:val="FootnoteReference"/>
        </w:rPr>
        <w:footnoteReference w:id="8"/>
      </w:r>
      <w:r w:rsidR="00160D9D" w:rsidRPr="00E76327">
        <w:t xml:space="preserve"> Average annualised package costs on a monthly basis are presented in </w:t>
      </w:r>
      <w:r w:rsidR="00DE0092" w:rsidRPr="00E76327">
        <w:t xml:space="preserve">Figure </w:t>
      </w:r>
      <w:r w:rsidR="00DE0092" w:rsidRPr="00E76327">
        <w:rPr>
          <w:noProof/>
        </w:rPr>
        <w:t>3</w:t>
      </w:r>
      <w:r w:rsidR="00DE0092" w:rsidRPr="00E76327">
        <w:t xml:space="preserve"> </w:t>
      </w:r>
      <w:r w:rsidR="00160D9D" w:rsidRPr="00E76327">
        <w:t>and</w:t>
      </w:r>
      <w:r w:rsidR="001C0F30" w:rsidRPr="00E76327">
        <w:t xml:space="preserve"> </w:t>
      </w:r>
      <w:r w:rsidR="00DE0092" w:rsidRPr="00E76327">
        <w:t>Figure 4</w:t>
      </w:r>
      <w:r w:rsidR="001C0F30" w:rsidRPr="00E76327">
        <w:t>.</w:t>
      </w:r>
      <w:r w:rsidR="0048651E" w:rsidRPr="00926C37" w:rsidDel="0048651E">
        <w:t xml:space="preserve"> </w:t>
      </w:r>
    </w:p>
    <w:p w14:paraId="052B3CFC" w14:textId="72F9139A" w:rsidR="00160D9D" w:rsidRPr="00E76327" w:rsidRDefault="00160D9D" w:rsidP="00160D9D">
      <w:r w:rsidRPr="00E76327">
        <w:t>The average annualised package cost in the New South Wales</w:t>
      </w:r>
      <w:r w:rsidR="00D77F68" w:rsidRPr="00E76327">
        <w:t xml:space="preserve"> (Hunter)</w:t>
      </w:r>
      <w:r w:rsidRPr="00E76327">
        <w:t xml:space="preserve">, South Australian, Tasmanian and Victorian </w:t>
      </w:r>
      <w:r w:rsidR="00164726" w:rsidRPr="00E76327">
        <w:t xml:space="preserve">trial sites is approximately </w:t>
      </w:r>
      <w:r w:rsidR="00D77F68" w:rsidRPr="00C825D4">
        <w:t xml:space="preserve">$39,654 </w:t>
      </w:r>
      <w:r w:rsidRPr="00E76327">
        <w:t xml:space="preserve">including Stockton, Kanangra and Colanda, and approximately </w:t>
      </w:r>
      <w:r w:rsidR="00D77F68" w:rsidRPr="00C825D4">
        <w:t xml:space="preserve">$34,729 </w:t>
      </w:r>
      <w:r w:rsidRPr="00E76327">
        <w:t>excluding Stockton, Kanangra and Colanda.</w:t>
      </w:r>
    </w:p>
    <w:p w14:paraId="1009A3FE" w14:textId="77777777" w:rsidR="0048651E" w:rsidRPr="00111A7E" w:rsidRDefault="0048651E" w:rsidP="0048651E">
      <w:r w:rsidRPr="00111A7E">
        <w:t xml:space="preserve">The average package costs for participants in the trial sites that commenced on 1 July 2014 are not representative of the overall average cost due to the way that existing participants are being phased into the scheme. </w:t>
      </w:r>
    </w:p>
    <w:p w14:paraId="66CF4EEF" w14:textId="77777777" w:rsidR="00160D9D" w:rsidRPr="00E76327" w:rsidRDefault="00160D9D" w:rsidP="00160D9D">
      <w:r w:rsidRPr="00E76327">
        <w:t xml:space="preserve">Note: the benchmark average </w:t>
      </w:r>
      <w:r w:rsidR="00164726" w:rsidRPr="00E76327">
        <w:t>annualised package cost for 2015-16</w:t>
      </w:r>
      <w:r w:rsidRPr="00E76327">
        <w:t xml:space="preserve"> is $3</w:t>
      </w:r>
      <w:r w:rsidR="00164726" w:rsidRPr="00E76327">
        <w:t>8</w:t>
      </w:r>
      <w:r w:rsidRPr="00E76327">
        <w:t>,</w:t>
      </w:r>
      <w:r w:rsidR="00164726" w:rsidRPr="00E76327">
        <w:t>588</w:t>
      </w:r>
      <w:r w:rsidRPr="00E76327">
        <w:t xml:space="preserve"> reflecting the inflation factor included in the bilateral agreements.</w:t>
      </w:r>
    </w:p>
    <w:p w14:paraId="3A141A4A" w14:textId="77777777" w:rsidR="00160D9D" w:rsidRPr="00E76327" w:rsidRDefault="00160D9D" w:rsidP="00160D9D">
      <w:pPr>
        <w:sectPr w:rsidR="00160D9D" w:rsidRPr="00E76327" w:rsidSect="00A923EC">
          <w:pgSz w:w="11906" w:h="16838"/>
          <w:pgMar w:top="1948" w:right="1440" w:bottom="1956" w:left="1440" w:header="850" w:footer="851" w:gutter="0"/>
          <w:cols w:space="708"/>
          <w:docGrid w:linePitch="360"/>
        </w:sectPr>
      </w:pPr>
      <w:r w:rsidRPr="00E76327">
        <w:t xml:space="preserve">Note: Average annualised package cost is not an appropriate measure of scheme performance when considered in isolation from other metrics. It is important to consider the number of scheme participants, the distribution of packages committed to these participants and actual payments for supports provided. All of these factors contribute to the overall cost. </w:t>
      </w:r>
    </w:p>
    <w:p w14:paraId="30415F34" w14:textId="1F97853A" w:rsidR="00160D9D" w:rsidRPr="00E76327" w:rsidRDefault="00160D9D" w:rsidP="00160D9D">
      <w:pPr>
        <w:pStyle w:val="Caption"/>
        <w:keepNext/>
        <w:spacing w:line="240" w:lineRule="auto"/>
      </w:pPr>
      <w:bookmarkStart w:id="10" w:name="_Ref385165319"/>
      <w:bookmarkStart w:id="11" w:name="_Ref393272071"/>
      <w:bookmarkStart w:id="12" w:name="_Toc401838383"/>
      <w:r w:rsidRPr="00E76327">
        <w:rPr>
          <w:caps w:val="0"/>
          <w:sz w:val="20"/>
          <w:szCs w:val="20"/>
        </w:rPr>
        <w:lastRenderedPageBreak/>
        <w:t xml:space="preserve">Figure </w:t>
      </w:r>
      <w:r w:rsidR="00DE0092" w:rsidRPr="00E76327">
        <w:rPr>
          <w:caps w:val="0"/>
          <w:noProof/>
          <w:sz w:val="20"/>
          <w:szCs w:val="20"/>
        </w:rPr>
        <w:t>3</w:t>
      </w:r>
      <w:r w:rsidRPr="00E76327">
        <w:rPr>
          <w:caps w:val="0"/>
          <w:sz w:val="20"/>
          <w:szCs w:val="20"/>
        </w:rPr>
        <w:t xml:space="preserve"> </w:t>
      </w:r>
      <w:bookmarkEnd w:id="10"/>
      <w:bookmarkEnd w:id="11"/>
      <w:r w:rsidRPr="00E76327">
        <w:rPr>
          <w:caps w:val="0"/>
          <w:sz w:val="20"/>
          <w:szCs w:val="20"/>
        </w:rPr>
        <w:t>Average annualised committed package cost by trial site – monthly averages</w:t>
      </w:r>
      <w:r w:rsidR="00111A56" w:rsidRPr="00E76327">
        <w:rPr>
          <w:caps w:val="0"/>
          <w:sz w:val="20"/>
          <w:szCs w:val="20"/>
        </w:rPr>
        <w:t xml:space="preserve"> (</w:t>
      </w:r>
      <w:r w:rsidR="0093791A" w:rsidRPr="00E76327">
        <w:rPr>
          <w:caps w:val="0"/>
          <w:sz w:val="20"/>
          <w:szCs w:val="20"/>
        </w:rPr>
        <w:t xml:space="preserve">NSW - </w:t>
      </w:r>
      <w:r w:rsidR="00111A56" w:rsidRPr="00E76327">
        <w:rPr>
          <w:caps w:val="0"/>
          <w:sz w:val="20"/>
          <w:szCs w:val="20"/>
        </w:rPr>
        <w:t>Hunter</w:t>
      </w:r>
      <w:r w:rsidRPr="00E76327">
        <w:rPr>
          <w:caps w:val="0"/>
          <w:sz w:val="20"/>
          <w:szCs w:val="20"/>
        </w:rPr>
        <w:t>, SA, TAS and VIC)</w:t>
      </w:r>
      <w:bookmarkEnd w:id="12"/>
      <w:r w:rsidR="00F54F13" w:rsidRPr="00E76327">
        <w:rPr>
          <w:rStyle w:val="FootnoteReference"/>
          <w:caps w:val="0"/>
          <w:sz w:val="20"/>
          <w:szCs w:val="20"/>
        </w:rPr>
        <w:footnoteReference w:id="9"/>
      </w:r>
      <w:r w:rsidRPr="00E76327">
        <w:rPr>
          <w:noProof/>
          <w:lang w:eastAsia="en-AU"/>
        </w:rPr>
        <w:t xml:space="preserve"> </w:t>
      </w:r>
      <w:r w:rsidRPr="00E76327">
        <w:t xml:space="preserve">  </w:t>
      </w:r>
    </w:p>
    <w:p w14:paraId="1E44B388" w14:textId="7DC362FC" w:rsidR="00F54F13" w:rsidRPr="00E76327" w:rsidRDefault="00F32CFE">
      <w:pPr>
        <w:rPr>
          <w:b/>
          <w:sz w:val="20"/>
          <w:szCs w:val="20"/>
        </w:rPr>
      </w:pPr>
      <w:bookmarkStart w:id="13" w:name="_Ref401845608"/>
      <w:bookmarkStart w:id="14" w:name="_Ref433374029"/>
      <w:r w:rsidRPr="00E76327">
        <w:rPr>
          <w:noProof/>
          <w:lang w:eastAsia="en-AU"/>
        </w:rPr>
        <w:drawing>
          <wp:inline distT="0" distB="0" distL="0" distR="0" wp14:anchorId="37778AF8" wp14:editId="5E59A096">
            <wp:extent cx="4133850" cy="2365980"/>
            <wp:effectExtent l="0" t="0" r="0" b="0"/>
            <wp:docPr id="2" name="Picture 2" descr="This graph shows the average annualised cost on the vertical axis and the month of approval on the horizontal axis.&#10;&#10;From September 2014 to March 2015 the average annualised plan cost was higher when including the Stockton large residential centre when compared to the average cost when excluding. Since April 2015 the average cost has been comparable when including and excluding the Stockton large residential centre.&#10;&#10;The average annualised package cost was in line with the expected during August 2015. Since September 2015, the average annualised package cost for both including and excluding large residential centre has slowly increased beyond the expected cost. The average annualised pacakage cost for both including and excluding large residential centres has dropped but remains above expected cost in March 2016. " title="NSW Hunter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1260" cy="2370221"/>
                    </a:xfrm>
                    <a:prstGeom prst="rect">
                      <a:avLst/>
                    </a:prstGeom>
                    <a:noFill/>
                    <a:ln>
                      <a:noFill/>
                    </a:ln>
                  </pic:spPr>
                </pic:pic>
              </a:graphicData>
            </a:graphic>
          </wp:inline>
        </w:drawing>
      </w:r>
      <w:r w:rsidR="00F54F13" w:rsidRPr="00E76327">
        <w:rPr>
          <w:noProof/>
          <w:lang w:eastAsia="en-AU"/>
        </w:rPr>
        <w:drawing>
          <wp:inline distT="0" distB="0" distL="0" distR="0" wp14:anchorId="5CB5F375" wp14:editId="15F95768">
            <wp:extent cx="4062544" cy="2343150"/>
            <wp:effectExtent l="0" t="0" r="0" b="0"/>
            <wp:docPr id="34" name="Picture 34" descr="This graph shows the average annualised cost on the vertical axis and the month of approval on the horizontal axis.&#10;&#10;The average annualised plan cost has been steady about the expected for the South Australian trial site. March 2016 quarter average annualised plan cost were below expected cost. " title="SA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8507" cy="2375428"/>
                    </a:xfrm>
                    <a:prstGeom prst="rect">
                      <a:avLst/>
                    </a:prstGeom>
                    <a:noFill/>
                    <a:ln>
                      <a:noFill/>
                    </a:ln>
                  </pic:spPr>
                </pic:pic>
              </a:graphicData>
            </a:graphic>
          </wp:inline>
        </w:drawing>
      </w:r>
      <w:r w:rsidR="00F54F13" w:rsidRPr="00E76327">
        <w:rPr>
          <w:noProof/>
          <w:lang w:eastAsia="en-AU"/>
        </w:rPr>
        <w:drawing>
          <wp:inline distT="0" distB="0" distL="0" distR="0" wp14:anchorId="7811C46E" wp14:editId="32FCFF94">
            <wp:extent cx="4120058" cy="2133600"/>
            <wp:effectExtent l="0" t="0" r="0" b="0"/>
            <wp:docPr id="35" name="Picture 35" descr="This graph shows the average annualised cost on the vertical axis and the month of approval on the horizontal axis.&#10;&#10;The average annualised plan cost was higher than expected for September and October 2014. The cost then stabalised about the average until July 2015 since which the average anualised plan cost has been higher than expected. The average annualised plan cost was lower than expected in November 2015 and approximately in line with expected since December 2015, with the exception of February 2016 where the average annuualised cost was higher." title="TAS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79770" cy="2164522"/>
                    </a:xfrm>
                    <a:prstGeom prst="rect">
                      <a:avLst/>
                    </a:prstGeom>
                    <a:noFill/>
                    <a:ln>
                      <a:noFill/>
                    </a:ln>
                  </pic:spPr>
                </pic:pic>
              </a:graphicData>
            </a:graphic>
          </wp:inline>
        </w:drawing>
      </w:r>
      <w:r w:rsidR="00F54F13" w:rsidRPr="00E76327">
        <w:rPr>
          <w:noProof/>
          <w:lang w:eastAsia="en-AU"/>
        </w:rPr>
        <w:drawing>
          <wp:inline distT="0" distB="0" distL="0" distR="0" wp14:anchorId="390706FE" wp14:editId="08E8B7C2">
            <wp:extent cx="3732608" cy="2143125"/>
            <wp:effectExtent l="0" t="0" r="1270" b="0"/>
            <wp:docPr id="36" name="Picture 36" descr="This graph shows the average annualised cost on the vertical axis and the month of approval on the horizontal axis.&#10;&#10;The average annualised plan cost including Colanda has been comparable to the average annualsied plan cost excluding Colanda in all months except July and September 2015, for which the average cost was higher when including Colanda. The average annualised plan cost excluding Colanda has been approximately in line with the expected." title="VIC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77654" cy="2168989"/>
                    </a:xfrm>
                    <a:prstGeom prst="rect">
                      <a:avLst/>
                    </a:prstGeom>
                    <a:noFill/>
                    <a:ln>
                      <a:noFill/>
                    </a:ln>
                  </pic:spPr>
                </pic:pic>
              </a:graphicData>
            </a:graphic>
          </wp:inline>
        </w:drawing>
      </w:r>
      <w:r w:rsidR="00F54F13" w:rsidRPr="00E76327">
        <w:rPr>
          <w:b/>
          <w:sz w:val="20"/>
          <w:szCs w:val="20"/>
        </w:rPr>
        <w:br w:type="page"/>
      </w:r>
    </w:p>
    <w:p w14:paraId="05273445" w14:textId="1DB40586" w:rsidR="00160D9D" w:rsidRPr="00E76327" w:rsidRDefault="0093791A" w:rsidP="00111A56">
      <w:r w:rsidRPr="00E76327">
        <w:rPr>
          <w:b/>
          <w:sz w:val="20"/>
          <w:szCs w:val="20"/>
        </w:rPr>
        <w:lastRenderedPageBreak/>
        <w:t>Figure</w:t>
      </w:r>
      <w:r w:rsidR="00160D9D" w:rsidRPr="00E76327">
        <w:rPr>
          <w:b/>
          <w:sz w:val="20"/>
          <w:szCs w:val="20"/>
        </w:rPr>
        <w:t xml:space="preserve"> </w:t>
      </w:r>
      <w:r w:rsidR="00DE0092" w:rsidRPr="00E76327">
        <w:rPr>
          <w:b/>
          <w:noProof/>
          <w:sz w:val="20"/>
          <w:szCs w:val="20"/>
        </w:rPr>
        <w:t>4</w:t>
      </w:r>
      <w:bookmarkEnd w:id="13"/>
      <w:bookmarkEnd w:id="14"/>
      <w:r w:rsidR="00160D9D" w:rsidRPr="00E76327">
        <w:rPr>
          <w:b/>
          <w:sz w:val="20"/>
          <w:szCs w:val="20"/>
        </w:rPr>
        <w:t xml:space="preserve"> Average annualised committed package cost by trial site – monthly averages (ACT, NT</w:t>
      </w:r>
      <w:r w:rsidR="005F6FE2" w:rsidRPr="00E76327">
        <w:rPr>
          <w:b/>
          <w:sz w:val="20"/>
          <w:szCs w:val="20"/>
        </w:rPr>
        <w:t xml:space="preserve">, </w:t>
      </w:r>
      <w:r w:rsidR="00160D9D" w:rsidRPr="00E76327">
        <w:rPr>
          <w:b/>
          <w:sz w:val="20"/>
          <w:szCs w:val="20"/>
        </w:rPr>
        <w:t>WA</w:t>
      </w:r>
      <w:r w:rsidR="005F6FE2" w:rsidRPr="00E76327">
        <w:rPr>
          <w:b/>
          <w:sz w:val="20"/>
          <w:szCs w:val="20"/>
        </w:rPr>
        <w:t xml:space="preserve"> and </w:t>
      </w:r>
      <w:r w:rsidR="000163F5" w:rsidRPr="00E76327">
        <w:rPr>
          <w:b/>
          <w:sz w:val="20"/>
          <w:szCs w:val="20"/>
        </w:rPr>
        <w:t>NSW -</w:t>
      </w:r>
      <w:r w:rsidRPr="00E76327">
        <w:rPr>
          <w:b/>
          <w:sz w:val="20"/>
          <w:szCs w:val="20"/>
        </w:rPr>
        <w:t xml:space="preserve"> Nepean Blue Mountains</w:t>
      </w:r>
      <w:r w:rsidR="00160D9D" w:rsidRPr="00E76327">
        <w:rPr>
          <w:b/>
          <w:sz w:val="20"/>
          <w:szCs w:val="20"/>
        </w:rPr>
        <w:t>)</w:t>
      </w:r>
      <w:r w:rsidR="00160D9D" w:rsidRPr="00E76327">
        <w:rPr>
          <w:rStyle w:val="FootnoteReference"/>
          <w:sz w:val="20"/>
          <w:szCs w:val="20"/>
        </w:rPr>
        <w:footnoteReference w:id="10"/>
      </w:r>
      <w:r w:rsidR="00160D9D" w:rsidRPr="00E76327">
        <w:rPr>
          <w:sz w:val="20"/>
          <w:szCs w:val="20"/>
          <w:vertAlign w:val="superscript"/>
        </w:rPr>
        <w:t>,</w:t>
      </w:r>
      <w:r w:rsidR="00160D9D" w:rsidRPr="00E76327">
        <w:rPr>
          <w:rStyle w:val="FootnoteReference"/>
          <w:sz w:val="20"/>
          <w:szCs w:val="20"/>
        </w:rPr>
        <w:footnoteReference w:id="11"/>
      </w:r>
    </w:p>
    <w:p w14:paraId="3B5B50E8" w14:textId="7AFD93FB" w:rsidR="00D67E14" w:rsidRPr="00E76327" w:rsidRDefault="004906AD" w:rsidP="00160D9D">
      <w:pPr>
        <w:rPr>
          <w:noProof/>
          <w:lang w:eastAsia="en-AU"/>
        </w:rPr>
        <w:sectPr w:rsidR="00D67E14" w:rsidRPr="00E76327" w:rsidSect="00CC3463">
          <w:pgSz w:w="16838" w:h="11906" w:orient="landscape"/>
          <w:pgMar w:top="1440" w:right="1956" w:bottom="1440" w:left="851" w:header="850" w:footer="851" w:gutter="0"/>
          <w:cols w:space="708"/>
          <w:docGrid w:linePitch="360"/>
        </w:sectPr>
      </w:pPr>
      <w:r w:rsidRPr="00926C37">
        <w:rPr>
          <w:noProof/>
          <w:lang w:eastAsia="en-AU"/>
        </w:rPr>
        <w:drawing>
          <wp:inline distT="0" distB="0" distL="0" distR="0" wp14:anchorId="1D22C4FE" wp14:editId="55FCC3AA">
            <wp:extent cx="4038600" cy="2126656"/>
            <wp:effectExtent l="0" t="0" r="0" b="6985"/>
            <wp:docPr id="53" name="Picture 53" descr="This graph shows the average annualised cost on the vertical axis and the month of approval on the horizontal axis.&#10;&#10;Average annualised plan cost was highest for plans approved in September 2014. Since then the average annualised cost has halved and stabalised around the $40,000. The average annualised plan cost have remained around the expected annaulised average cost of approximately $38,000 since July 2015. There was a increase to $57,000 in December 2015, the cost has remained above expected since." title="ACT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71562" cy="2144013"/>
                    </a:xfrm>
                    <a:prstGeom prst="rect">
                      <a:avLst/>
                    </a:prstGeom>
                    <a:noFill/>
                    <a:ln>
                      <a:noFill/>
                    </a:ln>
                  </pic:spPr>
                </pic:pic>
              </a:graphicData>
            </a:graphic>
          </wp:inline>
        </w:drawing>
      </w:r>
      <w:r w:rsidRPr="00926C37">
        <w:rPr>
          <w:noProof/>
          <w:lang w:eastAsia="en-AU"/>
        </w:rPr>
        <w:drawing>
          <wp:inline distT="0" distB="0" distL="0" distR="0" wp14:anchorId="7C5F3BF6" wp14:editId="3409ECEC">
            <wp:extent cx="3800475" cy="2122146"/>
            <wp:effectExtent l="0" t="0" r="0" b="0"/>
            <wp:docPr id="54" name="Picture 54" descr="This graph shows the average annualised cost on the vertical axis and the month of approval on the horizontal axis.&#10;&#10;The average annualised plan cost for the Northern Territory has fluctuated a great deal due the small number of participants at this trial site." title="NT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28618" cy="2137861"/>
                    </a:xfrm>
                    <a:prstGeom prst="rect">
                      <a:avLst/>
                    </a:prstGeom>
                    <a:noFill/>
                    <a:ln>
                      <a:noFill/>
                    </a:ln>
                  </pic:spPr>
                </pic:pic>
              </a:graphicData>
            </a:graphic>
          </wp:inline>
        </w:drawing>
      </w:r>
      <w:r w:rsidRPr="00926C37">
        <w:rPr>
          <w:noProof/>
          <w:lang w:eastAsia="en-AU"/>
        </w:rPr>
        <w:drawing>
          <wp:inline distT="0" distB="0" distL="0" distR="0" wp14:anchorId="09739925" wp14:editId="44933F8A">
            <wp:extent cx="4135172" cy="2190750"/>
            <wp:effectExtent l="0" t="0" r="0" b="0"/>
            <wp:docPr id="55" name="Picture 55" descr="This graph shows the average annualised cost on the vertical axis and the month of approval on the horizontal axis.&#10;&#10;The average annualised plan cost was slightly below expected since August 2015 and have since increased to roughly around the expected cost." title="WA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51038" cy="2199156"/>
                    </a:xfrm>
                    <a:prstGeom prst="rect">
                      <a:avLst/>
                    </a:prstGeom>
                    <a:noFill/>
                    <a:ln>
                      <a:noFill/>
                    </a:ln>
                  </pic:spPr>
                </pic:pic>
              </a:graphicData>
            </a:graphic>
          </wp:inline>
        </w:drawing>
      </w:r>
      <w:r w:rsidR="00AB3781" w:rsidRPr="00E76327">
        <w:rPr>
          <w:noProof/>
          <w:lang w:eastAsia="en-AU"/>
        </w:rPr>
        <w:drawing>
          <wp:inline distT="0" distB="0" distL="0" distR="0" wp14:anchorId="727BB50D" wp14:editId="4A1B272F">
            <wp:extent cx="3728749" cy="2209800"/>
            <wp:effectExtent l="0" t="0" r="0" b="0"/>
            <wp:docPr id="41" name="Picture 41" descr="This graph shows the average annualised cost on the vertical axis and the month of approval on the horizontal axis.&#10;&#10;The average annualised cost has stayed around the expected annualised average cost. " title="NSW Nepean Blue Mountains average annualised committed package cost by trial site – monthly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4399" cy="2219075"/>
                    </a:xfrm>
                    <a:prstGeom prst="rect">
                      <a:avLst/>
                    </a:prstGeom>
                    <a:noFill/>
                    <a:ln>
                      <a:noFill/>
                    </a:ln>
                  </pic:spPr>
                </pic:pic>
              </a:graphicData>
            </a:graphic>
          </wp:inline>
        </w:drawing>
      </w:r>
    </w:p>
    <w:p w14:paraId="2886CC64" w14:textId="77777777" w:rsidR="00160D9D" w:rsidRPr="00E76327" w:rsidRDefault="00160D9D" w:rsidP="00160D9D">
      <w:pPr>
        <w:pStyle w:val="Heading3"/>
        <w:numPr>
          <w:ilvl w:val="0"/>
          <w:numId w:val="0"/>
        </w:numPr>
        <w:ind w:left="720" w:hanging="720"/>
      </w:pPr>
      <w:bookmarkStart w:id="15" w:name="_Distribution_of_package"/>
      <w:bookmarkEnd w:id="15"/>
      <w:r w:rsidRPr="00E76327">
        <w:lastRenderedPageBreak/>
        <w:t>Distribution of package costs</w:t>
      </w:r>
    </w:p>
    <w:p w14:paraId="269AF678" w14:textId="73A2CF0F" w:rsidR="00B473C9" w:rsidRPr="00E76327" w:rsidRDefault="00111A56" w:rsidP="00111A56">
      <w:r w:rsidRPr="00E76327">
        <w:t xml:space="preserve">Consistent with </w:t>
      </w:r>
      <w:r w:rsidR="00B473C9" w:rsidRPr="00E76327">
        <w:t xml:space="preserve">previous </w:t>
      </w:r>
      <w:r w:rsidRPr="00E76327">
        <w:t>results, across all trial sites the distribution of support packages differ</w:t>
      </w:r>
      <w:r w:rsidR="0048651E">
        <w:t>s</w:t>
      </w:r>
      <w:r w:rsidRPr="00E76327">
        <w:t xml:space="preserve"> from expectations. In particular, </w:t>
      </w:r>
      <w:r w:rsidR="00B473C9" w:rsidRPr="00C825D4">
        <w:t>fewer low cost participants than expected have entered the scheme, and fewer medium cost participants have entered the scheme (with the exception of the $10,000 to $</w:t>
      </w:r>
      <w:r w:rsidR="006F2163">
        <w:t>30</w:t>
      </w:r>
      <w:r w:rsidR="00B473C9" w:rsidRPr="00C825D4">
        <w:t>,000 gro</w:t>
      </w:r>
      <w:r w:rsidR="00B473C9" w:rsidRPr="00B473C9">
        <w:t>ups). The number of high cost participants is largely in line with expected</w:t>
      </w:r>
      <w:r w:rsidR="0048651E">
        <w:t xml:space="preserve"> (Figure 5 and Figure 6)</w:t>
      </w:r>
      <w:r w:rsidR="00B473C9" w:rsidRPr="00B473C9">
        <w:t>.</w:t>
      </w:r>
    </w:p>
    <w:p w14:paraId="1FB9B50E" w14:textId="58DCADB5" w:rsidR="00111A56" w:rsidRPr="00E76327" w:rsidRDefault="00111A56" w:rsidP="00111A56">
      <w:r w:rsidRPr="00E76327">
        <w:t xml:space="preserve">The distribution of cost is highly skewed towards a small number of participants with high cost packages– </w:t>
      </w:r>
      <w:r w:rsidR="00B473C9" w:rsidRPr="00C825D4">
        <w:t xml:space="preserve">specifically, of the 10,712 active participants with approved plans in the New South Wales (Hunter) and Victorian trial sites excluding the Stockton, Kanangra and Colanda large </w:t>
      </w:r>
      <w:r w:rsidR="00B473C9" w:rsidRPr="00B473C9">
        <w:t xml:space="preserve">residences, 7,104 participants </w:t>
      </w:r>
      <w:r w:rsidR="00063B1D" w:rsidRPr="00B473C9">
        <w:t>(66%)</w:t>
      </w:r>
      <w:r w:rsidR="00063B1D">
        <w:t xml:space="preserve"> </w:t>
      </w:r>
      <w:r w:rsidR="00B473C9" w:rsidRPr="00B473C9">
        <w:t xml:space="preserve">have an annualised package cost of less than $30,000 </w:t>
      </w:r>
      <w:r w:rsidR="0048651E">
        <w:t>(Figure 7)</w:t>
      </w:r>
      <w:r w:rsidR="00B473C9" w:rsidRPr="00B473C9">
        <w:t>.</w:t>
      </w:r>
    </w:p>
    <w:p w14:paraId="32639E32" w14:textId="1E85F937" w:rsidR="00111A56" w:rsidRPr="00E76327" w:rsidRDefault="00B473C9" w:rsidP="00111A56">
      <w:r w:rsidRPr="00C825D4">
        <w:t>The total annualised package cost of the 7,104 participants with support packages of less than $30,000 is $97.7 million which represents only 22% of total committe</w:t>
      </w:r>
      <w:r w:rsidRPr="00B473C9">
        <w:t>d supports. On the other hand, the total annualised package cost of the 1,185 participants with support packages of more than $100,000 is $221.4 million which represents 50% of total committed supports</w:t>
      </w:r>
      <w:r w:rsidR="00111A56" w:rsidRPr="00E76327">
        <w:t>.</w:t>
      </w:r>
      <w:r w:rsidR="00111A56" w:rsidRPr="00E76327">
        <w:rPr>
          <w:rStyle w:val="FootnoteReference"/>
        </w:rPr>
        <w:footnoteReference w:id="12"/>
      </w:r>
      <w:r w:rsidR="00111A56" w:rsidRPr="00E76327">
        <w:t xml:space="preserve"> Therefore, the total cost of the scheme will be driven by the relatively few participants with high cost plans.</w:t>
      </w:r>
      <w:r w:rsidR="00F03566" w:rsidRPr="00E76327">
        <w:t xml:space="preserve"> Note: </w:t>
      </w:r>
      <w:r w:rsidR="0048651E">
        <w:t xml:space="preserve">there are </w:t>
      </w:r>
      <w:r w:rsidR="00F03566" w:rsidRPr="00E76327">
        <w:t>a relatively high number of group homes in the Hunter region in New South Wales compared with other regions. This is driving the higher proportion of high cost participants compared with expected.</w:t>
      </w:r>
    </w:p>
    <w:p w14:paraId="32B8C246" w14:textId="77777777" w:rsidR="00111A56" w:rsidRPr="00A2012B" w:rsidRDefault="00111A56" w:rsidP="00111A56">
      <w:pPr>
        <w:rPr>
          <w:highlight w:val="lightGray"/>
        </w:rPr>
      </w:pPr>
    </w:p>
    <w:p w14:paraId="7501D6A9" w14:textId="77777777" w:rsidR="00160D9D" w:rsidRPr="00A2012B" w:rsidRDefault="00160D9D" w:rsidP="00160D9D">
      <w:pPr>
        <w:rPr>
          <w:highlight w:val="lightGray"/>
        </w:rPr>
        <w:sectPr w:rsidR="00160D9D" w:rsidRPr="00A2012B" w:rsidSect="00A625EE">
          <w:pgSz w:w="11906" w:h="16838"/>
          <w:pgMar w:top="1956" w:right="1440" w:bottom="851" w:left="1440" w:header="850" w:footer="851" w:gutter="0"/>
          <w:cols w:space="708"/>
          <w:docGrid w:linePitch="360"/>
        </w:sectPr>
      </w:pPr>
    </w:p>
    <w:p w14:paraId="62950C6D" w14:textId="74497037" w:rsidR="00160D9D" w:rsidRPr="00E76327" w:rsidRDefault="00160D9D" w:rsidP="00160D9D">
      <w:pPr>
        <w:pStyle w:val="Caption"/>
        <w:keepNext/>
        <w:rPr>
          <w:szCs w:val="20"/>
        </w:rPr>
      </w:pPr>
      <w:bookmarkStart w:id="16" w:name="_Ref401845274"/>
      <w:bookmarkStart w:id="17" w:name="_Ref401845260"/>
      <w:r w:rsidRPr="00E76327">
        <w:rPr>
          <w:caps w:val="0"/>
          <w:sz w:val="20"/>
          <w:szCs w:val="20"/>
        </w:rPr>
        <w:lastRenderedPageBreak/>
        <w:t xml:space="preserve">Figure </w:t>
      </w:r>
      <w:r w:rsidR="00DE0092" w:rsidRPr="00E76327">
        <w:rPr>
          <w:caps w:val="0"/>
          <w:noProof/>
          <w:sz w:val="20"/>
          <w:szCs w:val="20"/>
        </w:rPr>
        <w:t>5</w:t>
      </w:r>
      <w:bookmarkEnd w:id="16"/>
      <w:r w:rsidRPr="00E76327">
        <w:rPr>
          <w:caps w:val="0"/>
          <w:sz w:val="20"/>
          <w:szCs w:val="20"/>
        </w:rPr>
        <w:t xml:space="preserve"> Distribution of package costs by trial site – </w:t>
      </w:r>
      <w:r w:rsidR="00524B4F" w:rsidRPr="00E76327">
        <w:rPr>
          <w:caps w:val="0"/>
          <w:sz w:val="20"/>
          <w:szCs w:val="20"/>
        </w:rPr>
        <w:t>NSW (</w:t>
      </w:r>
      <w:r w:rsidR="005F6FE2" w:rsidRPr="00E76327">
        <w:rPr>
          <w:caps w:val="0"/>
          <w:sz w:val="20"/>
          <w:szCs w:val="20"/>
        </w:rPr>
        <w:t>Hunter</w:t>
      </w:r>
      <w:r w:rsidR="00524B4F" w:rsidRPr="00E76327">
        <w:rPr>
          <w:caps w:val="0"/>
          <w:sz w:val="20"/>
          <w:szCs w:val="20"/>
        </w:rPr>
        <w:t>)</w:t>
      </w:r>
      <w:r w:rsidRPr="00E76327">
        <w:rPr>
          <w:caps w:val="0"/>
          <w:sz w:val="20"/>
          <w:szCs w:val="20"/>
        </w:rPr>
        <w:t>, SA, TAS and VIC trial sites</w:t>
      </w:r>
      <w:bookmarkEnd w:id="17"/>
      <w:r w:rsidRPr="00E76327">
        <w:rPr>
          <w:rStyle w:val="FootnoteReference"/>
          <w:caps w:val="0"/>
          <w:sz w:val="20"/>
          <w:szCs w:val="20"/>
        </w:rPr>
        <w:footnoteReference w:id="13"/>
      </w:r>
    </w:p>
    <w:p w14:paraId="300F884A" w14:textId="3EBC05C5" w:rsidR="00160D9D" w:rsidRPr="00E76327" w:rsidRDefault="00B43CAF" w:rsidP="00073321">
      <w:r w:rsidRPr="00E76327">
        <w:rPr>
          <w:noProof/>
          <w:lang w:eastAsia="en-AU"/>
        </w:rPr>
        <w:drawing>
          <wp:inline distT="0" distB="0" distL="0" distR="0" wp14:anchorId="027366CF" wp14:editId="1C0AD775">
            <wp:extent cx="3491135" cy="2200940"/>
            <wp:effectExtent l="0" t="0" r="0" b="8890"/>
            <wp:docPr id="42" name="Picture 42" descr="This graph has the number of participants on the vertical axis and the annualised committed support band on the horizontal axis.&#10;&#10;The actual number of participants is lower than expected in all of the low cost bands except for the $10,001-$30,000 which saw a great deal more participants than expected. " title="NSW (Hunter)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00633" cy="2206928"/>
                    </a:xfrm>
                    <a:prstGeom prst="rect">
                      <a:avLst/>
                    </a:prstGeom>
                    <a:noFill/>
                    <a:ln>
                      <a:noFill/>
                    </a:ln>
                  </pic:spPr>
                </pic:pic>
              </a:graphicData>
            </a:graphic>
          </wp:inline>
        </w:drawing>
      </w:r>
      <w:r w:rsidRPr="00E76327">
        <w:rPr>
          <w:noProof/>
          <w:lang w:eastAsia="en-AU"/>
        </w:rPr>
        <w:drawing>
          <wp:inline distT="0" distB="0" distL="0" distR="0" wp14:anchorId="6C9A43DE" wp14:editId="43909500">
            <wp:extent cx="3625702" cy="2210144"/>
            <wp:effectExtent l="0" t="0" r="0" b="0"/>
            <wp:docPr id="43" name="Picture 43" descr="This graph has the number of participants on the vertical axis and the annualised committed support band on the horizontal axis.&#10;&#10;Actual was higher than expected in only one support band in South Australia, $10,001-$30,000. All other support bands saw the expected or less than the expected number of participants.&#10;" title="SA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35794" cy="2216296"/>
                    </a:xfrm>
                    <a:prstGeom prst="rect">
                      <a:avLst/>
                    </a:prstGeom>
                    <a:noFill/>
                    <a:ln>
                      <a:noFill/>
                    </a:ln>
                  </pic:spPr>
                </pic:pic>
              </a:graphicData>
            </a:graphic>
          </wp:inline>
        </w:drawing>
      </w:r>
      <w:r w:rsidRPr="00E76327">
        <w:rPr>
          <w:noProof/>
          <w:lang w:eastAsia="en-AU"/>
        </w:rPr>
        <w:drawing>
          <wp:inline distT="0" distB="0" distL="0" distR="0" wp14:anchorId="2B8A3501" wp14:editId="05792990">
            <wp:extent cx="3476847" cy="2179578"/>
            <wp:effectExtent l="0" t="0" r="0" b="0"/>
            <wp:docPr id="44" name="Picture 44" descr="This graph has the number of participants on the vertical axis and the annualised committed support band on the horizontal axis.&#10;&#10;The actual number of participants was greater than the expected number of participants for the $30,001-$100,000 support band and the $250,001+ support band. &#10;" title="TAS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88669" cy="2186989"/>
                    </a:xfrm>
                    <a:prstGeom prst="rect">
                      <a:avLst/>
                    </a:prstGeom>
                    <a:noFill/>
                    <a:ln>
                      <a:noFill/>
                    </a:ln>
                  </pic:spPr>
                </pic:pic>
              </a:graphicData>
            </a:graphic>
          </wp:inline>
        </w:drawing>
      </w:r>
      <w:r w:rsidRPr="00E76327">
        <w:rPr>
          <w:noProof/>
          <w:lang w:eastAsia="en-AU"/>
        </w:rPr>
        <w:drawing>
          <wp:inline distT="0" distB="0" distL="0" distR="0" wp14:anchorId="2A2D524F" wp14:editId="76BAA710">
            <wp:extent cx="3593805" cy="2208591"/>
            <wp:effectExtent l="0" t="0" r="6985" b="1270"/>
            <wp:docPr id="45" name="Picture 45" descr="This graph has the number of participants on the vertical axis and the annualised committed support band on the horizontal axis.&#10;&#10;There are many more participants in the $10,001 - $30,000 support band than expected.&#10;" title="VIC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6932" cy="2216658"/>
                    </a:xfrm>
                    <a:prstGeom prst="rect">
                      <a:avLst/>
                    </a:prstGeom>
                    <a:noFill/>
                    <a:ln>
                      <a:noFill/>
                    </a:ln>
                  </pic:spPr>
                </pic:pic>
              </a:graphicData>
            </a:graphic>
          </wp:inline>
        </w:drawing>
      </w:r>
    </w:p>
    <w:p w14:paraId="5EEC5161" w14:textId="2FB30B31" w:rsidR="00160D9D" w:rsidRPr="00E76327" w:rsidRDefault="00160D9D" w:rsidP="00160D9D">
      <w:pPr>
        <w:pStyle w:val="Caption"/>
        <w:keepNext/>
        <w:rPr>
          <w:szCs w:val="20"/>
        </w:rPr>
      </w:pPr>
      <w:bookmarkStart w:id="18" w:name="_Ref401845280"/>
      <w:bookmarkStart w:id="19" w:name="_Ref401242649"/>
      <w:bookmarkStart w:id="20" w:name="_Toc401838386"/>
      <w:r w:rsidRPr="00E76327">
        <w:rPr>
          <w:caps w:val="0"/>
          <w:sz w:val="20"/>
          <w:szCs w:val="20"/>
        </w:rPr>
        <w:lastRenderedPageBreak/>
        <w:t xml:space="preserve">Figure </w:t>
      </w:r>
      <w:r w:rsidR="00DE0092" w:rsidRPr="00E76327">
        <w:rPr>
          <w:caps w:val="0"/>
          <w:noProof/>
          <w:sz w:val="20"/>
          <w:szCs w:val="20"/>
        </w:rPr>
        <w:t>6</w:t>
      </w:r>
      <w:bookmarkEnd w:id="18"/>
      <w:r w:rsidRPr="00E76327">
        <w:rPr>
          <w:caps w:val="0"/>
          <w:sz w:val="20"/>
          <w:szCs w:val="20"/>
        </w:rPr>
        <w:t xml:space="preserve"> Distribution </w:t>
      </w:r>
      <w:bookmarkEnd w:id="19"/>
      <w:r w:rsidRPr="00E76327">
        <w:rPr>
          <w:caps w:val="0"/>
          <w:sz w:val="20"/>
          <w:szCs w:val="20"/>
        </w:rPr>
        <w:t>of package c</w:t>
      </w:r>
      <w:r w:rsidR="00022AFA" w:rsidRPr="00E76327">
        <w:rPr>
          <w:caps w:val="0"/>
          <w:sz w:val="20"/>
          <w:szCs w:val="20"/>
        </w:rPr>
        <w:t>osts by trial site – ACT, NT,</w:t>
      </w:r>
      <w:r w:rsidRPr="00E76327">
        <w:rPr>
          <w:caps w:val="0"/>
          <w:sz w:val="20"/>
          <w:szCs w:val="20"/>
        </w:rPr>
        <w:t xml:space="preserve"> WA</w:t>
      </w:r>
      <w:r w:rsidR="00022AFA" w:rsidRPr="00E76327">
        <w:rPr>
          <w:caps w:val="0"/>
          <w:sz w:val="20"/>
          <w:szCs w:val="20"/>
        </w:rPr>
        <w:t xml:space="preserve">, and </w:t>
      </w:r>
      <w:r w:rsidR="00524B4F" w:rsidRPr="00E76327">
        <w:rPr>
          <w:caps w:val="0"/>
          <w:sz w:val="20"/>
          <w:szCs w:val="20"/>
        </w:rPr>
        <w:t>NSW (</w:t>
      </w:r>
      <w:r w:rsidR="00022AFA" w:rsidRPr="00E76327">
        <w:rPr>
          <w:caps w:val="0"/>
          <w:sz w:val="20"/>
          <w:szCs w:val="20"/>
        </w:rPr>
        <w:t>Nepean Blue Mountains</w:t>
      </w:r>
      <w:r w:rsidR="00524B4F" w:rsidRPr="00E76327">
        <w:rPr>
          <w:caps w:val="0"/>
          <w:sz w:val="20"/>
          <w:szCs w:val="20"/>
        </w:rPr>
        <w:t>)</w:t>
      </w:r>
      <w:r w:rsidRPr="00E76327">
        <w:rPr>
          <w:caps w:val="0"/>
          <w:sz w:val="20"/>
          <w:szCs w:val="20"/>
        </w:rPr>
        <w:t xml:space="preserve"> sites</w:t>
      </w:r>
      <w:bookmarkEnd w:id="20"/>
      <w:r w:rsidRPr="00E76327">
        <w:rPr>
          <w:rStyle w:val="FootnoteReference"/>
          <w:caps w:val="0"/>
          <w:sz w:val="20"/>
          <w:szCs w:val="20"/>
        </w:rPr>
        <w:footnoteReference w:id="14"/>
      </w:r>
    </w:p>
    <w:p w14:paraId="6F132A2C" w14:textId="21B2230C" w:rsidR="00497DE7" w:rsidRPr="00E76327" w:rsidRDefault="00926C37" w:rsidP="00073321">
      <w:pPr>
        <w:rPr>
          <w:noProof/>
          <w:lang w:eastAsia="en-AU"/>
        </w:rPr>
        <w:sectPr w:rsidR="00497DE7" w:rsidRPr="00E76327" w:rsidSect="00753BF7">
          <w:pgSz w:w="16838" w:h="11906" w:orient="landscape"/>
          <w:pgMar w:top="1440" w:right="1956" w:bottom="1440" w:left="851" w:header="850" w:footer="851" w:gutter="0"/>
          <w:cols w:space="708"/>
          <w:docGrid w:linePitch="360"/>
        </w:sectPr>
      </w:pPr>
      <w:r w:rsidRPr="00926C37">
        <w:rPr>
          <w:noProof/>
          <w:lang w:eastAsia="en-AU"/>
        </w:rPr>
        <w:drawing>
          <wp:inline distT="0" distB="0" distL="0" distR="0" wp14:anchorId="7F38F6FF" wp14:editId="7DDEEDB7">
            <wp:extent cx="3448050" cy="2152649"/>
            <wp:effectExtent l="0" t="0" r="0" b="635"/>
            <wp:docPr id="56" name="Picture 56" descr="This graph has the number of participants on the vertical axis and the annualised committed support band on the horizontal axis.&#10;&#10;The ACT trial site has seen more participants in the $10,001 - $30,000 support band than expected. The other support bands all saw less than expected or as expected." title="ACT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64510" cy="2162925"/>
                    </a:xfrm>
                    <a:prstGeom prst="rect">
                      <a:avLst/>
                    </a:prstGeom>
                    <a:noFill/>
                    <a:ln>
                      <a:noFill/>
                    </a:ln>
                  </pic:spPr>
                </pic:pic>
              </a:graphicData>
            </a:graphic>
          </wp:inline>
        </w:drawing>
      </w:r>
      <w:r w:rsidR="006D4FEE" w:rsidRPr="00E76327">
        <w:rPr>
          <w:noProof/>
          <w:lang w:eastAsia="en-AU"/>
        </w:rPr>
        <w:drawing>
          <wp:inline distT="0" distB="0" distL="0" distR="0" wp14:anchorId="49E5BB1B" wp14:editId="4B8A3349">
            <wp:extent cx="3483568" cy="2152650"/>
            <wp:effectExtent l="0" t="0" r="3175" b="0"/>
            <wp:docPr id="47" name="Picture 47" descr="This graph has the number of participants on the vertical axis and the annualised committed support band on the horizontal axis.&#10;&#10;The number of participants in each support band was lower than expected for all support bands except the $10,000 - $30,000 and $250,001+ band. This graph needs to be viewed with caution due to the small number of participants in the NT trial site.&#10;" title="NT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04568" cy="2165627"/>
                    </a:xfrm>
                    <a:prstGeom prst="rect">
                      <a:avLst/>
                    </a:prstGeom>
                    <a:noFill/>
                    <a:ln>
                      <a:noFill/>
                    </a:ln>
                  </pic:spPr>
                </pic:pic>
              </a:graphicData>
            </a:graphic>
          </wp:inline>
        </w:drawing>
      </w:r>
      <w:r w:rsidRPr="00926C37">
        <w:rPr>
          <w:noProof/>
          <w:lang w:eastAsia="en-AU"/>
        </w:rPr>
        <w:drawing>
          <wp:inline distT="0" distB="0" distL="0" distR="0" wp14:anchorId="5C8317E2" wp14:editId="286D967F">
            <wp:extent cx="3448050" cy="2134957"/>
            <wp:effectExtent l="0" t="0" r="0" b="0"/>
            <wp:docPr id="57" name="Picture 57" descr="This graph has the number of participants on the vertical axis and the annualised committed support band on the horizontal axis.&#10;&#10;The WA trial site has seen more participants than expected in the $10,001 - $30,000 support band and fewer than or the expected number of participants in the other support bands.&#10;" title="WA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64220" cy="2144969"/>
                    </a:xfrm>
                    <a:prstGeom prst="rect">
                      <a:avLst/>
                    </a:prstGeom>
                    <a:noFill/>
                    <a:ln>
                      <a:noFill/>
                    </a:ln>
                  </pic:spPr>
                </pic:pic>
              </a:graphicData>
            </a:graphic>
          </wp:inline>
        </w:drawing>
      </w:r>
      <w:r w:rsidRPr="00926C37">
        <w:rPr>
          <w:noProof/>
          <w:lang w:eastAsia="en-AU"/>
        </w:rPr>
        <w:drawing>
          <wp:inline distT="0" distB="0" distL="0" distR="0" wp14:anchorId="2758539B" wp14:editId="41C2D34F">
            <wp:extent cx="3382081" cy="2142773"/>
            <wp:effectExtent l="0" t="0" r="0" b="0"/>
            <wp:docPr id="58" name="Picture 58" descr="This graph has the number of participants on the vertical axis and the annualised committed support band on the horizontal axis.&#10;&#10;The Nepean Blue Mountains has seen fewer participants than expected in all support bands, but the relative number of participants in the $10,001 - $30,000 support band is higher than expected." title="Nepean Blue Mountains – distribution of package costs by tri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92301" cy="2149248"/>
                    </a:xfrm>
                    <a:prstGeom prst="rect">
                      <a:avLst/>
                    </a:prstGeom>
                    <a:noFill/>
                    <a:ln>
                      <a:noFill/>
                    </a:ln>
                  </pic:spPr>
                </pic:pic>
              </a:graphicData>
            </a:graphic>
          </wp:inline>
        </w:drawing>
      </w:r>
    </w:p>
    <w:p w14:paraId="5F5FCB57" w14:textId="60530E5B" w:rsidR="00160D9D" w:rsidRPr="00E76327" w:rsidRDefault="00160D9D" w:rsidP="00022AFA">
      <w:pPr>
        <w:rPr>
          <w:b/>
          <w:bCs/>
          <w:sz w:val="20"/>
          <w:szCs w:val="20"/>
        </w:rPr>
      </w:pPr>
      <w:bookmarkStart w:id="21" w:name="_Ref401845296"/>
      <w:bookmarkStart w:id="22" w:name="_Ref393453648"/>
      <w:r w:rsidRPr="00E76327">
        <w:rPr>
          <w:b/>
          <w:sz w:val="20"/>
          <w:szCs w:val="20"/>
        </w:rPr>
        <w:lastRenderedPageBreak/>
        <w:t xml:space="preserve">Figure </w:t>
      </w:r>
      <w:r w:rsidR="00DE0092" w:rsidRPr="00E76327">
        <w:rPr>
          <w:b/>
          <w:noProof/>
          <w:sz w:val="20"/>
          <w:szCs w:val="20"/>
        </w:rPr>
        <w:t>7</w:t>
      </w:r>
      <w:bookmarkEnd w:id="21"/>
      <w:r w:rsidRPr="00E76327">
        <w:rPr>
          <w:b/>
          <w:sz w:val="20"/>
          <w:szCs w:val="20"/>
        </w:rPr>
        <w:t xml:space="preserve"> Total package costs and number of participants by trial site and annualised committed support band</w:t>
      </w:r>
      <w:r w:rsidRPr="00E76327">
        <w:rPr>
          <w:b/>
          <w:noProof/>
          <w:sz w:val="20"/>
          <w:szCs w:val="20"/>
          <w:lang w:eastAsia="en-AU"/>
        </w:rPr>
        <w:t xml:space="preserve"> </w:t>
      </w:r>
    </w:p>
    <w:p w14:paraId="7908BAB8" w14:textId="54D861E7" w:rsidR="00D0223C" w:rsidRPr="00E76327" w:rsidRDefault="00BE071E" w:rsidP="00D0223C">
      <w:pPr>
        <w:rPr>
          <w:caps/>
        </w:rPr>
      </w:pPr>
      <w:r w:rsidRPr="00E76327">
        <w:rPr>
          <w:noProof/>
          <w:lang w:eastAsia="en-AU"/>
        </w:rPr>
        <w:drawing>
          <wp:inline distT="0" distB="0" distL="0" distR="0" wp14:anchorId="068C5A0C" wp14:editId="07EAC068">
            <wp:extent cx="5731510" cy="2828950"/>
            <wp:effectExtent l="0" t="0" r="2540" b="9525"/>
            <wp:docPr id="50" name="Picture 50" descr="This graph is for New South Wales (excluding the Stockton and Kanangra large residences). &#10;&#10;It shows the total annualised committed support amount on the vertical axis and the annualised committed support band on the horizontal axis.&#10;&#10;The New South Wales trial site excluding the Stockton and Kanangra residencies has seen roughly $40,000,000 more than expected spent on participants in the $100,000+ support band. Spend has been less than expected on all other support bands except the $10,001 - $30,000 band which has seen roughly $10,000,000 more than expected spent.&#10;&#10;The actual number of participants has been lower for each support band except for the $10,001 - $30,000 support band. " title="NSW total package costs and number of participants by trial site and annualised committed support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828950"/>
                    </a:xfrm>
                    <a:prstGeom prst="rect">
                      <a:avLst/>
                    </a:prstGeom>
                    <a:noFill/>
                    <a:ln>
                      <a:noFill/>
                    </a:ln>
                  </pic:spPr>
                </pic:pic>
              </a:graphicData>
            </a:graphic>
          </wp:inline>
        </w:drawing>
      </w:r>
    </w:p>
    <w:bookmarkEnd w:id="22"/>
    <w:p w14:paraId="5EF0172F" w14:textId="403D9B81" w:rsidR="00160D9D" w:rsidRPr="00E76327" w:rsidRDefault="00BE071E" w:rsidP="00160D9D">
      <w:pPr>
        <w:rPr>
          <w:b/>
          <w:bCs/>
          <w:sz w:val="20"/>
          <w:szCs w:val="18"/>
        </w:rPr>
      </w:pPr>
      <w:r w:rsidRPr="00E76327">
        <w:rPr>
          <w:noProof/>
          <w:lang w:eastAsia="en-AU"/>
        </w:rPr>
        <w:drawing>
          <wp:inline distT="0" distB="0" distL="0" distR="0" wp14:anchorId="0919BE12" wp14:editId="11529999">
            <wp:extent cx="5731510" cy="2832130"/>
            <wp:effectExtent l="0" t="0" r="2540" b="6350"/>
            <wp:docPr id="52" name="Picture 52" descr="This graph is for Victoria (excluding the Colanda large residence). It shows the total annualised committed support amount on the vertical axis and the annualised committed support band on the horizontal axis.&#10;&#10;Spend has been less than or equal to expected for all support bands except for the $10,001 - $30,000 band. The $10,001 - $30,000 support band has seen a larger than expected number of participants as well as roughly $15,000,000 worth of committed support above the expected." title="VIC total package costs and number of participants by trial site and annualised committed support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832130"/>
                    </a:xfrm>
                    <a:prstGeom prst="rect">
                      <a:avLst/>
                    </a:prstGeom>
                    <a:noFill/>
                    <a:ln>
                      <a:noFill/>
                    </a:ln>
                  </pic:spPr>
                </pic:pic>
              </a:graphicData>
            </a:graphic>
          </wp:inline>
        </w:drawing>
      </w:r>
    </w:p>
    <w:p w14:paraId="3BB6471B" w14:textId="77777777" w:rsidR="00160D9D" w:rsidRPr="00A2012B" w:rsidRDefault="00160D9D" w:rsidP="00160D9D">
      <w:pPr>
        <w:spacing w:before="240"/>
        <w:rPr>
          <w:rStyle w:val="BookTitle"/>
          <w:i w:val="0"/>
          <w:iCs w:val="0"/>
          <w:smallCaps w:val="0"/>
          <w:spacing w:val="0"/>
          <w:highlight w:val="lightGray"/>
        </w:rPr>
      </w:pPr>
      <w:r w:rsidRPr="00A2012B">
        <w:rPr>
          <w:rStyle w:val="BookTitle"/>
          <w:i w:val="0"/>
          <w:iCs w:val="0"/>
          <w:smallCaps w:val="0"/>
          <w:spacing w:val="0"/>
          <w:highlight w:val="lightGray"/>
        </w:rPr>
        <w:br w:type="page"/>
      </w:r>
    </w:p>
    <w:p w14:paraId="5AD2B943" w14:textId="77777777" w:rsidR="00160D9D" w:rsidRPr="00E76327" w:rsidRDefault="00160D9D" w:rsidP="00022AFA">
      <w:pPr>
        <w:pStyle w:val="Heading2"/>
        <w:numPr>
          <w:ilvl w:val="0"/>
          <w:numId w:val="0"/>
        </w:numPr>
        <w:rPr>
          <w:rStyle w:val="BookTitle"/>
          <w:bCs/>
          <w:i w:val="0"/>
          <w:iCs w:val="0"/>
          <w:smallCaps w:val="0"/>
          <w:spacing w:val="0"/>
        </w:rPr>
      </w:pPr>
      <w:r w:rsidRPr="00E76327">
        <w:rPr>
          <w:rStyle w:val="BookTitle"/>
          <w:i w:val="0"/>
          <w:iCs w:val="0"/>
          <w:smallCaps w:val="0"/>
          <w:spacing w:val="0"/>
        </w:rPr>
        <w:lastRenderedPageBreak/>
        <w:t>Continuous improvement</w:t>
      </w:r>
    </w:p>
    <w:p w14:paraId="611A331A" w14:textId="77777777" w:rsidR="00160D9D" w:rsidRPr="00E76327" w:rsidRDefault="00160D9D" w:rsidP="00160D9D">
      <w:pPr>
        <w:spacing w:before="240"/>
      </w:pPr>
      <w:r w:rsidRPr="00E76327">
        <w:t>The National Disability Insurance Agency continues to improve the scheme in response to scheme experience. This aims to ensure that the objectives of the scheme are being met for participants, and the scheme remains financially sustainable.</w:t>
      </w:r>
    </w:p>
    <w:p w14:paraId="45275EA3" w14:textId="77777777" w:rsidR="00160D9D" w:rsidRPr="00E76327" w:rsidRDefault="00160D9D" w:rsidP="00160D9D">
      <w:pPr>
        <w:spacing w:before="240"/>
      </w:pPr>
      <w:r w:rsidRPr="00E76327">
        <w:t xml:space="preserve">Two pieces of work that will continue to assist with achieving participant outcomes and financial sustainability are the development of the reference packages and the development of an outcomes framework.  </w:t>
      </w:r>
    </w:p>
    <w:p w14:paraId="1266662A" w14:textId="77777777" w:rsidR="00160D9D" w:rsidRPr="00E76327" w:rsidRDefault="00160D9D" w:rsidP="00160D9D">
      <w:pPr>
        <w:pStyle w:val="Heading3"/>
        <w:numPr>
          <w:ilvl w:val="0"/>
          <w:numId w:val="0"/>
        </w:numPr>
        <w:ind w:left="720" w:hanging="720"/>
      </w:pPr>
      <w:r w:rsidRPr="00E76327">
        <w:t>Reference packages</w:t>
      </w:r>
    </w:p>
    <w:p w14:paraId="7D6A0FA7" w14:textId="77777777" w:rsidR="00160D9D" w:rsidRPr="00E76327" w:rsidRDefault="00160D9D" w:rsidP="00160D9D">
      <w:pPr>
        <w:spacing w:before="240"/>
      </w:pPr>
      <w:r w:rsidRPr="00E76327">
        <w:t>Reference packages are being developed to assist with detailed monitoring of scheme experience, including analysis of potential cost drivers. Reference packages aim to provide an annual benchmark funding level of support for participants with similar support needs and characteristics. Reference packages also allow a referential link between resource allocation to individual participants (that is, the amount of funded support provided to each individual participant) and the overall funding envelope.</w:t>
      </w:r>
    </w:p>
    <w:p w14:paraId="68E774EC" w14:textId="7EF2A2E8" w:rsidR="00160D9D" w:rsidRPr="00E76327" w:rsidRDefault="00160D9D" w:rsidP="00160D9D">
      <w:pPr>
        <w:spacing w:before="240"/>
      </w:pPr>
      <w:r w:rsidRPr="00E76327">
        <w:t xml:space="preserve">A pilot of the reference packages commenced in February 2015 and data have now been collected for </w:t>
      </w:r>
      <w:r w:rsidR="0026637D" w:rsidRPr="00E76327">
        <w:t xml:space="preserve">approximately </w:t>
      </w:r>
      <w:r w:rsidR="006B7A29" w:rsidRPr="00E76327">
        <w:t>4,500</w:t>
      </w:r>
      <w:r w:rsidRPr="00E76327">
        <w:t xml:space="preserve"> participants.</w:t>
      </w:r>
    </w:p>
    <w:p w14:paraId="127D7A4C" w14:textId="77777777" w:rsidR="00160D9D" w:rsidRPr="00E76327" w:rsidRDefault="00160D9D" w:rsidP="00160D9D">
      <w:pPr>
        <w:spacing w:before="240"/>
      </w:pPr>
      <w:r w:rsidRPr="00E76327">
        <w:t>Note: the reference package is not a benchmark used to determine the support a participant receives, but rather allows detailed monitoring to be undertaken.</w:t>
      </w:r>
    </w:p>
    <w:p w14:paraId="72C9730C" w14:textId="77777777" w:rsidR="00160D9D" w:rsidRPr="00E76327" w:rsidRDefault="00160D9D" w:rsidP="00160D9D">
      <w:pPr>
        <w:pStyle w:val="Heading3"/>
        <w:numPr>
          <w:ilvl w:val="0"/>
          <w:numId w:val="0"/>
        </w:numPr>
        <w:ind w:left="720" w:hanging="720"/>
      </w:pPr>
      <w:r w:rsidRPr="00E76327">
        <w:t>Outcomes framework</w:t>
      </w:r>
    </w:p>
    <w:p w14:paraId="354F9177" w14:textId="77777777" w:rsidR="00160D9D" w:rsidRPr="00E76327" w:rsidRDefault="00160D9D" w:rsidP="00160D9D">
      <w:pPr>
        <w:spacing w:before="240"/>
      </w:pPr>
      <w:r w:rsidRPr="00E76327">
        <w:t xml:space="preserve">Work is </w:t>
      </w:r>
      <w:r w:rsidR="00931A08" w:rsidRPr="00E76327">
        <w:t xml:space="preserve">has been undertaken </w:t>
      </w:r>
      <w:r w:rsidRPr="00E76327">
        <w:t>to develop an outcomes framework for measuring participant and family</w:t>
      </w:r>
      <w:r w:rsidR="00931A08" w:rsidRPr="00E76327">
        <w:t>/carer</w:t>
      </w:r>
      <w:r w:rsidRPr="00E76327">
        <w:t xml:space="preserve"> outcomes. The development of this outcomes framework considers how outcomes can be measured at the scheme level as well as the individual level. </w:t>
      </w:r>
    </w:p>
    <w:p w14:paraId="488C50AE" w14:textId="77777777" w:rsidR="00160D9D" w:rsidRPr="00E76327" w:rsidRDefault="00160D9D" w:rsidP="00160D9D">
      <w:pPr>
        <w:spacing w:before="240"/>
      </w:pPr>
      <w:r w:rsidRPr="00E76327">
        <w:t xml:space="preserve">The development of this framework has involved consideration of a number of domestic and international frameworks, and has included consultations with a range of experts and stakeholders, including the Independent Advisory Council. </w:t>
      </w:r>
    </w:p>
    <w:p w14:paraId="4A0003DE" w14:textId="77777777" w:rsidR="00160D9D" w:rsidRPr="00E76327" w:rsidRDefault="00931A08" w:rsidP="00160D9D">
      <w:pPr>
        <w:spacing w:before="240"/>
      </w:pPr>
      <w:r w:rsidRPr="00E76327">
        <w:t>The</w:t>
      </w:r>
      <w:r w:rsidR="00160D9D" w:rsidRPr="00E76327">
        <w:t xml:space="preserve"> framework include</w:t>
      </w:r>
      <w:r w:rsidRPr="00E76327">
        <w:t>s</w:t>
      </w:r>
      <w:r w:rsidR="00160D9D" w:rsidRPr="00E76327">
        <w:t xml:space="preserve"> eight participant domains – choice and control, daily activities, relationships, home, health and wellbeing, lifelong learning, work, and social, community &amp; civic participation – as well as outcomes related specifically to families</w:t>
      </w:r>
      <w:r w:rsidRPr="00E76327">
        <w:t>/carers</w:t>
      </w:r>
      <w:r w:rsidR="00160D9D" w:rsidRPr="00E76327">
        <w:t>.</w:t>
      </w:r>
    </w:p>
    <w:p w14:paraId="38EE369D" w14:textId="07C32FA0" w:rsidR="00194030" w:rsidRPr="00E76327" w:rsidRDefault="00160D9D" w:rsidP="00160D9D">
      <w:pPr>
        <w:spacing w:before="240"/>
      </w:pPr>
      <w:r w:rsidRPr="00E76327">
        <w:t xml:space="preserve">The outcomes framework was piloted in the first three months of 2015. The results of the pilot, along with feedback from consultation with the disability sector </w:t>
      </w:r>
      <w:r w:rsidR="00931A08" w:rsidRPr="00E76327">
        <w:t>were used to refine the framework</w:t>
      </w:r>
      <w:r w:rsidRPr="00E76327">
        <w:t>.</w:t>
      </w:r>
      <w:r w:rsidR="00931A08" w:rsidRPr="00E76327">
        <w:t xml:space="preserve"> The </w:t>
      </w:r>
      <w:r w:rsidR="00194030" w:rsidRPr="00E76327">
        <w:t>results of the pilot study were released publicly in December 2015:</w:t>
      </w:r>
    </w:p>
    <w:p w14:paraId="36D0FCF7" w14:textId="090D2ACB" w:rsidR="00194030" w:rsidRPr="00E76327" w:rsidRDefault="00194030" w:rsidP="00160D9D">
      <w:pPr>
        <w:spacing w:before="240"/>
      </w:pPr>
      <w:r w:rsidRPr="00E76327">
        <w:t>http://www.ndis.gov.au/document/outcomes-framework-pilot</w:t>
      </w:r>
    </w:p>
    <w:p w14:paraId="2E5F7922" w14:textId="731A65B4" w:rsidR="00160D9D" w:rsidRPr="00E76327" w:rsidRDefault="00B0668C" w:rsidP="00194030">
      <w:pPr>
        <w:spacing w:before="240"/>
        <w:rPr>
          <w:rStyle w:val="BookTitle"/>
          <w:b/>
          <w:i w:val="0"/>
          <w:iCs w:val="0"/>
          <w:smallCaps w:val="0"/>
          <w:color w:val="6B2976" w:themeColor="accent1"/>
          <w:spacing w:val="0"/>
          <w:sz w:val="32"/>
        </w:rPr>
      </w:pPr>
      <w:r>
        <w:t>The NDIS outcomes framework has been collected for approximately 4,100 participants.</w:t>
      </w:r>
    </w:p>
    <w:p w14:paraId="1FB6D74F" w14:textId="77777777" w:rsidR="005C515D" w:rsidRPr="00E76327" w:rsidRDefault="005C515D" w:rsidP="00160D9D">
      <w:pPr>
        <w:rPr>
          <w:rStyle w:val="BookTitle"/>
          <w:b/>
          <w:i w:val="0"/>
          <w:iCs w:val="0"/>
          <w:smallCaps w:val="0"/>
          <w:color w:val="6B2976" w:themeColor="accent1"/>
          <w:spacing w:val="0"/>
          <w:sz w:val="32"/>
        </w:rPr>
        <w:sectPr w:rsidR="005C515D" w:rsidRPr="00E76327" w:rsidSect="00CC3463">
          <w:headerReference w:type="first" r:id="rId38"/>
          <w:pgSz w:w="11906" w:h="16838"/>
          <w:pgMar w:top="1956" w:right="1440" w:bottom="851" w:left="1440" w:header="850" w:footer="851" w:gutter="0"/>
          <w:cols w:space="708"/>
          <w:titlePg/>
          <w:docGrid w:linePitch="360"/>
        </w:sectPr>
      </w:pPr>
    </w:p>
    <w:p w14:paraId="446EAFE4" w14:textId="77777777" w:rsidR="00160D9D" w:rsidRPr="00E76327" w:rsidRDefault="00160D9D" w:rsidP="00160D9D">
      <w:pPr>
        <w:pStyle w:val="Heading2"/>
        <w:numPr>
          <w:ilvl w:val="0"/>
          <w:numId w:val="0"/>
        </w:numPr>
        <w:ind w:left="578" w:hanging="578"/>
        <w:rPr>
          <w:rStyle w:val="BookTitle"/>
          <w:bCs/>
          <w:i w:val="0"/>
          <w:iCs w:val="0"/>
          <w:smallCaps w:val="0"/>
          <w:spacing w:val="0"/>
        </w:rPr>
      </w:pPr>
      <w:r w:rsidRPr="00E76327">
        <w:rPr>
          <w:rStyle w:val="BookTitle"/>
          <w:i w:val="0"/>
          <w:iCs w:val="0"/>
          <w:smallCaps w:val="0"/>
          <w:spacing w:val="0"/>
        </w:rPr>
        <w:lastRenderedPageBreak/>
        <w:t>Appendix A</w:t>
      </w:r>
    </w:p>
    <w:p w14:paraId="655E8E86" w14:textId="77777777" w:rsidR="00160D9D" w:rsidRPr="00E76327" w:rsidRDefault="00160D9D" w:rsidP="00160D9D">
      <w:r w:rsidRPr="00E76327">
        <w:t>This appendix provides a comparison of the number of participants in the scheme to date compared with the actuarial baseline model.</w:t>
      </w:r>
    </w:p>
    <w:p w14:paraId="778E9C91" w14:textId="77777777" w:rsidR="00944D0E" w:rsidRPr="00E76327" w:rsidRDefault="00160D9D" w:rsidP="00931A08">
      <w:pPr>
        <w:pStyle w:val="TablesandFigures"/>
        <w:spacing w:before="200"/>
        <w:rPr>
          <w:bCs w:val="0"/>
        </w:rPr>
      </w:pPr>
      <w:bookmarkStart w:id="23" w:name="_Toc401841707"/>
      <w:r w:rsidRPr="00E76327">
        <w:rPr>
          <w:bCs w:val="0"/>
        </w:rPr>
        <w:t>Table A.1 Participants compared with the actuarial baseline model</w:t>
      </w:r>
      <w:bookmarkEnd w:id="23"/>
    </w:p>
    <w:tbl>
      <w:tblPr>
        <w:tblW w:w="5341" w:type="pct"/>
        <w:tblLayout w:type="fixed"/>
        <w:tblLook w:val="04A0" w:firstRow="1" w:lastRow="0" w:firstColumn="1" w:lastColumn="0" w:noHBand="0" w:noVBand="1"/>
      </w:tblPr>
      <w:tblGrid>
        <w:gridCol w:w="5385"/>
        <w:gridCol w:w="989"/>
        <w:gridCol w:w="998"/>
        <w:gridCol w:w="992"/>
        <w:gridCol w:w="989"/>
        <w:gridCol w:w="992"/>
        <w:gridCol w:w="992"/>
        <w:gridCol w:w="989"/>
        <w:gridCol w:w="1547"/>
        <w:gridCol w:w="1115"/>
      </w:tblGrid>
      <w:tr w:rsidR="0048651E" w:rsidRPr="00C825D4" w14:paraId="2ACA8CE5" w14:textId="77777777" w:rsidTr="0048651E">
        <w:trPr>
          <w:trHeight w:val="230"/>
        </w:trPr>
        <w:tc>
          <w:tcPr>
            <w:tcW w:w="1796" w:type="pct"/>
            <w:vMerge w:val="restart"/>
            <w:tcBorders>
              <w:top w:val="single" w:sz="8" w:space="0" w:color="auto"/>
              <w:left w:val="nil"/>
              <w:bottom w:val="single" w:sz="8" w:space="0" w:color="000000"/>
              <w:right w:val="nil"/>
            </w:tcBorders>
            <w:shd w:val="clear" w:color="000000" w:fill="B1A0C7"/>
            <w:vAlign w:val="center"/>
            <w:hideMark/>
          </w:tcPr>
          <w:p w14:paraId="35196A7A" w14:textId="7A69B288" w:rsidR="00931A08" w:rsidRPr="00E76327" w:rsidRDefault="00931A08" w:rsidP="00C825D4">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1 July 2013 to 3</w:t>
            </w:r>
            <w:r w:rsidR="00B35E41" w:rsidRPr="00E76327">
              <w:rPr>
                <w:rFonts w:eastAsia="Times New Roman" w:cs="Arial"/>
                <w:b/>
                <w:bCs/>
                <w:color w:val="000000"/>
                <w:sz w:val="18"/>
                <w:szCs w:val="18"/>
                <w:lang w:eastAsia="en-AU"/>
              </w:rPr>
              <w:t xml:space="preserve">1 </w:t>
            </w:r>
            <w:r w:rsidR="001369BE" w:rsidRPr="00E76327">
              <w:rPr>
                <w:rFonts w:eastAsia="Times New Roman" w:cs="Arial"/>
                <w:b/>
                <w:bCs/>
                <w:color w:val="000000"/>
                <w:sz w:val="18"/>
                <w:szCs w:val="18"/>
                <w:lang w:eastAsia="en-AU"/>
              </w:rPr>
              <w:t>March 2016</w:t>
            </w:r>
          </w:p>
        </w:tc>
        <w:tc>
          <w:tcPr>
            <w:tcW w:w="330" w:type="pct"/>
            <w:vMerge w:val="restart"/>
            <w:tcBorders>
              <w:top w:val="single" w:sz="8" w:space="0" w:color="auto"/>
              <w:left w:val="nil"/>
              <w:bottom w:val="single" w:sz="8" w:space="0" w:color="000000"/>
              <w:right w:val="nil"/>
            </w:tcBorders>
            <w:shd w:val="clear" w:color="000000" w:fill="B1A0C7"/>
            <w:vAlign w:val="center"/>
            <w:hideMark/>
          </w:tcPr>
          <w:p w14:paraId="2B169147" w14:textId="43F2F8BA" w:rsidR="00931A08" w:rsidRPr="00E76327" w:rsidRDefault="00931A08" w:rsidP="00926C37">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NSW (Hunter</w:t>
            </w:r>
            <w:r w:rsidR="0048651E" w:rsidRPr="00E76327">
              <w:rPr>
                <w:rFonts w:eastAsia="Times New Roman" w:cs="Arial"/>
                <w:b/>
                <w:bCs/>
                <w:color w:val="000000"/>
                <w:sz w:val="18"/>
                <w:szCs w:val="18"/>
                <w:lang w:eastAsia="en-AU"/>
              </w:rPr>
              <w:t>)</w:t>
            </w:r>
          </w:p>
        </w:tc>
        <w:tc>
          <w:tcPr>
            <w:tcW w:w="333" w:type="pct"/>
            <w:vMerge w:val="restart"/>
            <w:tcBorders>
              <w:top w:val="single" w:sz="8" w:space="0" w:color="auto"/>
              <w:left w:val="nil"/>
              <w:bottom w:val="single" w:sz="8" w:space="0" w:color="000000"/>
              <w:right w:val="nil"/>
            </w:tcBorders>
            <w:shd w:val="clear" w:color="000000" w:fill="B1A0C7"/>
            <w:vAlign w:val="center"/>
            <w:hideMark/>
          </w:tcPr>
          <w:p w14:paraId="1BD02B29"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SA</w:t>
            </w:r>
          </w:p>
        </w:tc>
        <w:tc>
          <w:tcPr>
            <w:tcW w:w="331" w:type="pct"/>
            <w:vMerge w:val="restart"/>
            <w:tcBorders>
              <w:top w:val="single" w:sz="8" w:space="0" w:color="auto"/>
              <w:left w:val="nil"/>
              <w:bottom w:val="single" w:sz="8" w:space="0" w:color="000000"/>
              <w:right w:val="nil"/>
            </w:tcBorders>
            <w:shd w:val="clear" w:color="000000" w:fill="B1A0C7"/>
            <w:vAlign w:val="center"/>
            <w:hideMark/>
          </w:tcPr>
          <w:p w14:paraId="1C14799F"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TAS</w:t>
            </w:r>
          </w:p>
        </w:tc>
        <w:tc>
          <w:tcPr>
            <w:tcW w:w="330" w:type="pct"/>
            <w:vMerge w:val="restart"/>
            <w:tcBorders>
              <w:top w:val="single" w:sz="8" w:space="0" w:color="auto"/>
              <w:left w:val="nil"/>
              <w:bottom w:val="single" w:sz="8" w:space="0" w:color="000000"/>
              <w:right w:val="nil"/>
            </w:tcBorders>
            <w:shd w:val="clear" w:color="000000" w:fill="B1A0C7"/>
            <w:vAlign w:val="center"/>
            <w:hideMark/>
          </w:tcPr>
          <w:p w14:paraId="588A854D"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VIC</w:t>
            </w:r>
          </w:p>
        </w:tc>
        <w:tc>
          <w:tcPr>
            <w:tcW w:w="331" w:type="pct"/>
            <w:vMerge w:val="restart"/>
            <w:tcBorders>
              <w:top w:val="single" w:sz="8" w:space="0" w:color="auto"/>
              <w:left w:val="nil"/>
              <w:bottom w:val="single" w:sz="8" w:space="0" w:color="000000"/>
              <w:right w:val="nil"/>
            </w:tcBorders>
            <w:shd w:val="clear" w:color="000000" w:fill="B1A0C7"/>
            <w:vAlign w:val="center"/>
            <w:hideMark/>
          </w:tcPr>
          <w:p w14:paraId="5528D22F"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ACT</w:t>
            </w:r>
          </w:p>
        </w:tc>
        <w:tc>
          <w:tcPr>
            <w:tcW w:w="331" w:type="pct"/>
            <w:vMerge w:val="restart"/>
            <w:tcBorders>
              <w:top w:val="single" w:sz="8" w:space="0" w:color="auto"/>
              <w:left w:val="nil"/>
              <w:bottom w:val="single" w:sz="8" w:space="0" w:color="000000"/>
              <w:right w:val="nil"/>
            </w:tcBorders>
            <w:shd w:val="clear" w:color="000000" w:fill="B1A0C7"/>
            <w:vAlign w:val="center"/>
            <w:hideMark/>
          </w:tcPr>
          <w:p w14:paraId="1A142E8B"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NT</w:t>
            </w:r>
          </w:p>
        </w:tc>
        <w:tc>
          <w:tcPr>
            <w:tcW w:w="330" w:type="pct"/>
            <w:vMerge w:val="restart"/>
            <w:tcBorders>
              <w:top w:val="single" w:sz="8" w:space="0" w:color="auto"/>
              <w:left w:val="nil"/>
              <w:bottom w:val="single" w:sz="8" w:space="0" w:color="000000"/>
              <w:right w:val="nil"/>
            </w:tcBorders>
            <w:shd w:val="clear" w:color="000000" w:fill="B1A0C7"/>
            <w:vAlign w:val="center"/>
            <w:hideMark/>
          </w:tcPr>
          <w:p w14:paraId="134A3954"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WA</w:t>
            </w:r>
          </w:p>
        </w:tc>
        <w:tc>
          <w:tcPr>
            <w:tcW w:w="516" w:type="pct"/>
            <w:vMerge w:val="restart"/>
            <w:tcBorders>
              <w:top w:val="single" w:sz="8" w:space="0" w:color="auto"/>
              <w:left w:val="nil"/>
              <w:bottom w:val="single" w:sz="8" w:space="0" w:color="000000"/>
              <w:right w:val="nil"/>
            </w:tcBorders>
            <w:shd w:val="clear" w:color="000000" w:fill="B1A0C7"/>
            <w:vAlign w:val="center"/>
            <w:hideMark/>
          </w:tcPr>
          <w:p w14:paraId="21861326"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NSW (Nepean Blue Mountains)</w:t>
            </w:r>
          </w:p>
        </w:tc>
        <w:tc>
          <w:tcPr>
            <w:tcW w:w="372" w:type="pct"/>
            <w:vMerge w:val="restart"/>
            <w:tcBorders>
              <w:top w:val="single" w:sz="8" w:space="0" w:color="auto"/>
              <w:left w:val="nil"/>
              <w:bottom w:val="single" w:sz="8" w:space="0" w:color="000000"/>
              <w:right w:val="nil"/>
            </w:tcBorders>
            <w:shd w:val="clear" w:color="000000" w:fill="B1A0C7"/>
            <w:vAlign w:val="center"/>
            <w:hideMark/>
          </w:tcPr>
          <w:p w14:paraId="2F996528" w14:textId="77777777" w:rsidR="00931A08" w:rsidRPr="00E76327" w:rsidRDefault="00931A08" w:rsidP="005C515D">
            <w:pPr>
              <w:spacing w:after="0" w:line="240" w:lineRule="auto"/>
              <w:jc w:val="center"/>
              <w:rPr>
                <w:rFonts w:eastAsia="Times New Roman" w:cs="Arial"/>
                <w:b/>
                <w:bCs/>
                <w:color w:val="000000"/>
                <w:sz w:val="18"/>
                <w:szCs w:val="18"/>
                <w:lang w:eastAsia="en-AU"/>
              </w:rPr>
            </w:pPr>
            <w:r w:rsidRPr="00E76327">
              <w:rPr>
                <w:rFonts w:eastAsia="Times New Roman" w:cs="Arial"/>
                <w:b/>
                <w:bCs/>
                <w:color w:val="000000"/>
                <w:sz w:val="18"/>
                <w:szCs w:val="18"/>
                <w:lang w:eastAsia="en-AU"/>
              </w:rPr>
              <w:t>Total</w:t>
            </w:r>
          </w:p>
        </w:tc>
      </w:tr>
      <w:tr w:rsidR="005C515D" w:rsidRPr="00C825D4" w14:paraId="722EB9D9" w14:textId="77777777" w:rsidTr="00E76327">
        <w:trPr>
          <w:trHeight w:val="460"/>
        </w:trPr>
        <w:tc>
          <w:tcPr>
            <w:tcW w:w="1796" w:type="pct"/>
            <w:vMerge/>
            <w:tcBorders>
              <w:top w:val="single" w:sz="8" w:space="0" w:color="auto"/>
              <w:left w:val="nil"/>
              <w:bottom w:val="single" w:sz="8" w:space="0" w:color="000000"/>
              <w:right w:val="nil"/>
            </w:tcBorders>
            <w:vAlign w:val="center"/>
            <w:hideMark/>
          </w:tcPr>
          <w:p w14:paraId="378BED1B"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0" w:type="pct"/>
            <w:vMerge/>
            <w:tcBorders>
              <w:top w:val="single" w:sz="8" w:space="0" w:color="auto"/>
              <w:left w:val="nil"/>
              <w:bottom w:val="single" w:sz="8" w:space="0" w:color="000000"/>
              <w:right w:val="nil"/>
            </w:tcBorders>
            <w:vAlign w:val="center"/>
            <w:hideMark/>
          </w:tcPr>
          <w:p w14:paraId="0E13FC54"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3" w:type="pct"/>
            <w:vMerge/>
            <w:tcBorders>
              <w:top w:val="single" w:sz="8" w:space="0" w:color="auto"/>
              <w:left w:val="nil"/>
              <w:bottom w:val="single" w:sz="8" w:space="0" w:color="000000"/>
              <w:right w:val="nil"/>
            </w:tcBorders>
            <w:vAlign w:val="center"/>
            <w:hideMark/>
          </w:tcPr>
          <w:p w14:paraId="2FC3DBFD"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1" w:type="pct"/>
            <w:vMerge/>
            <w:tcBorders>
              <w:top w:val="single" w:sz="8" w:space="0" w:color="auto"/>
              <w:left w:val="nil"/>
              <w:bottom w:val="single" w:sz="8" w:space="0" w:color="000000"/>
              <w:right w:val="nil"/>
            </w:tcBorders>
            <w:vAlign w:val="center"/>
            <w:hideMark/>
          </w:tcPr>
          <w:p w14:paraId="07DB389A"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0" w:type="pct"/>
            <w:vMerge/>
            <w:tcBorders>
              <w:top w:val="single" w:sz="8" w:space="0" w:color="auto"/>
              <w:left w:val="nil"/>
              <w:bottom w:val="single" w:sz="8" w:space="0" w:color="000000"/>
              <w:right w:val="nil"/>
            </w:tcBorders>
            <w:vAlign w:val="center"/>
            <w:hideMark/>
          </w:tcPr>
          <w:p w14:paraId="00172E90"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1" w:type="pct"/>
            <w:vMerge/>
            <w:tcBorders>
              <w:top w:val="single" w:sz="8" w:space="0" w:color="auto"/>
              <w:left w:val="nil"/>
              <w:bottom w:val="single" w:sz="8" w:space="0" w:color="000000"/>
              <w:right w:val="nil"/>
            </w:tcBorders>
            <w:vAlign w:val="center"/>
            <w:hideMark/>
          </w:tcPr>
          <w:p w14:paraId="1461E9C9"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1" w:type="pct"/>
            <w:vMerge/>
            <w:tcBorders>
              <w:top w:val="single" w:sz="8" w:space="0" w:color="auto"/>
              <w:left w:val="nil"/>
              <w:bottom w:val="single" w:sz="8" w:space="0" w:color="000000"/>
              <w:right w:val="nil"/>
            </w:tcBorders>
            <w:vAlign w:val="center"/>
            <w:hideMark/>
          </w:tcPr>
          <w:p w14:paraId="0B528297"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0" w:type="pct"/>
            <w:vMerge/>
            <w:tcBorders>
              <w:top w:val="single" w:sz="8" w:space="0" w:color="auto"/>
              <w:left w:val="nil"/>
              <w:bottom w:val="single" w:sz="8" w:space="0" w:color="000000"/>
              <w:right w:val="nil"/>
            </w:tcBorders>
            <w:vAlign w:val="center"/>
            <w:hideMark/>
          </w:tcPr>
          <w:p w14:paraId="77688F52"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516" w:type="pct"/>
            <w:vMerge/>
            <w:tcBorders>
              <w:top w:val="single" w:sz="8" w:space="0" w:color="auto"/>
              <w:left w:val="nil"/>
              <w:bottom w:val="single" w:sz="8" w:space="0" w:color="000000"/>
              <w:right w:val="nil"/>
            </w:tcBorders>
            <w:vAlign w:val="center"/>
            <w:hideMark/>
          </w:tcPr>
          <w:p w14:paraId="014F3AD7"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72" w:type="pct"/>
            <w:vMerge/>
            <w:tcBorders>
              <w:top w:val="single" w:sz="8" w:space="0" w:color="auto"/>
              <w:left w:val="nil"/>
              <w:bottom w:val="single" w:sz="8" w:space="0" w:color="000000"/>
              <w:right w:val="nil"/>
            </w:tcBorders>
            <w:vAlign w:val="center"/>
            <w:hideMark/>
          </w:tcPr>
          <w:p w14:paraId="579109B8" w14:textId="77777777" w:rsidR="00931A08" w:rsidRPr="00E76327" w:rsidRDefault="00931A08" w:rsidP="005C515D">
            <w:pPr>
              <w:spacing w:after="0" w:line="240" w:lineRule="auto"/>
              <w:rPr>
                <w:rFonts w:eastAsia="Times New Roman" w:cs="Arial"/>
                <w:b/>
                <w:bCs/>
                <w:color w:val="000000"/>
                <w:sz w:val="18"/>
                <w:szCs w:val="18"/>
                <w:lang w:eastAsia="en-AU"/>
              </w:rPr>
            </w:pPr>
          </w:p>
        </w:tc>
      </w:tr>
      <w:tr w:rsidR="005C515D" w:rsidRPr="00C825D4" w14:paraId="1CA6DC72" w14:textId="77777777" w:rsidTr="00E76327">
        <w:trPr>
          <w:trHeight w:val="299"/>
        </w:trPr>
        <w:tc>
          <w:tcPr>
            <w:tcW w:w="1796" w:type="pct"/>
            <w:vMerge/>
            <w:tcBorders>
              <w:top w:val="single" w:sz="8" w:space="0" w:color="auto"/>
              <w:left w:val="nil"/>
              <w:bottom w:val="single" w:sz="8" w:space="0" w:color="000000"/>
              <w:right w:val="nil"/>
            </w:tcBorders>
            <w:vAlign w:val="center"/>
            <w:hideMark/>
          </w:tcPr>
          <w:p w14:paraId="059CB59E"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0" w:type="pct"/>
            <w:vMerge/>
            <w:tcBorders>
              <w:top w:val="single" w:sz="8" w:space="0" w:color="auto"/>
              <w:left w:val="nil"/>
              <w:bottom w:val="single" w:sz="8" w:space="0" w:color="000000"/>
              <w:right w:val="nil"/>
            </w:tcBorders>
            <w:vAlign w:val="center"/>
            <w:hideMark/>
          </w:tcPr>
          <w:p w14:paraId="67F02492"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3" w:type="pct"/>
            <w:vMerge/>
            <w:tcBorders>
              <w:top w:val="single" w:sz="8" w:space="0" w:color="auto"/>
              <w:left w:val="nil"/>
              <w:bottom w:val="single" w:sz="8" w:space="0" w:color="000000"/>
              <w:right w:val="nil"/>
            </w:tcBorders>
            <w:vAlign w:val="center"/>
            <w:hideMark/>
          </w:tcPr>
          <w:p w14:paraId="02B7DB65"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1" w:type="pct"/>
            <w:vMerge/>
            <w:tcBorders>
              <w:top w:val="single" w:sz="8" w:space="0" w:color="auto"/>
              <w:left w:val="nil"/>
              <w:bottom w:val="single" w:sz="8" w:space="0" w:color="000000"/>
              <w:right w:val="nil"/>
            </w:tcBorders>
            <w:vAlign w:val="center"/>
            <w:hideMark/>
          </w:tcPr>
          <w:p w14:paraId="626869D0"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0" w:type="pct"/>
            <w:vMerge/>
            <w:tcBorders>
              <w:top w:val="single" w:sz="8" w:space="0" w:color="auto"/>
              <w:left w:val="nil"/>
              <w:bottom w:val="single" w:sz="8" w:space="0" w:color="000000"/>
              <w:right w:val="nil"/>
            </w:tcBorders>
            <w:vAlign w:val="center"/>
            <w:hideMark/>
          </w:tcPr>
          <w:p w14:paraId="5AB02C47"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1" w:type="pct"/>
            <w:vMerge/>
            <w:tcBorders>
              <w:top w:val="single" w:sz="8" w:space="0" w:color="auto"/>
              <w:left w:val="nil"/>
              <w:bottom w:val="single" w:sz="8" w:space="0" w:color="000000"/>
              <w:right w:val="nil"/>
            </w:tcBorders>
            <w:vAlign w:val="center"/>
            <w:hideMark/>
          </w:tcPr>
          <w:p w14:paraId="339F76DC"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1" w:type="pct"/>
            <w:vMerge/>
            <w:tcBorders>
              <w:top w:val="single" w:sz="8" w:space="0" w:color="auto"/>
              <w:left w:val="nil"/>
              <w:bottom w:val="single" w:sz="8" w:space="0" w:color="000000"/>
              <w:right w:val="nil"/>
            </w:tcBorders>
            <w:vAlign w:val="center"/>
            <w:hideMark/>
          </w:tcPr>
          <w:p w14:paraId="079FB250"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30" w:type="pct"/>
            <w:vMerge/>
            <w:tcBorders>
              <w:top w:val="single" w:sz="8" w:space="0" w:color="auto"/>
              <w:left w:val="nil"/>
              <w:bottom w:val="single" w:sz="8" w:space="0" w:color="000000"/>
              <w:right w:val="nil"/>
            </w:tcBorders>
            <w:vAlign w:val="center"/>
            <w:hideMark/>
          </w:tcPr>
          <w:p w14:paraId="1488591E"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516" w:type="pct"/>
            <w:vMerge/>
            <w:tcBorders>
              <w:top w:val="single" w:sz="8" w:space="0" w:color="auto"/>
              <w:left w:val="nil"/>
              <w:bottom w:val="single" w:sz="8" w:space="0" w:color="000000"/>
              <w:right w:val="nil"/>
            </w:tcBorders>
            <w:vAlign w:val="center"/>
            <w:hideMark/>
          </w:tcPr>
          <w:p w14:paraId="4DCF9443" w14:textId="77777777" w:rsidR="00931A08" w:rsidRPr="00E76327" w:rsidRDefault="00931A08" w:rsidP="005C515D">
            <w:pPr>
              <w:spacing w:after="0" w:line="240" w:lineRule="auto"/>
              <w:rPr>
                <w:rFonts w:eastAsia="Times New Roman" w:cs="Arial"/>
                <w:b/>
                <w:bCs/>
                <w:color w:val="000000"/>
                <w:sz w:val="18"/>
                <w:szCs w:val="18"/>
                <w:lang w:eastAsia="en-AU"/>
              </w:rPr>
            </w:pPr>
          </w:p>
        </w:tc>
        <w:tc>
          <w:tcPr>
            <w:tcW w:w="372" w:type="pct"/>
            <w:vMerge/>
            <w:tcBorders>
              <w:top w:val="single" w:sz="8" w:space="0" w:color="auto"/>
              <w:left w:val="nil"/>
              <w:bottom w:val="single" w:sz="8" w:space="0" w:color="000000"/>
              <w:right w:val="nil"/>
            </w:tcBorders>
            <w:vAlign w:val="center"/>
            <w:hideMark/>
          </w:tcPr>
          <w:p w14:paraId="2F77A94E" w14:textId="77777777" w:rsidR="00931A08" w:rsidRPr="00E76327" w:rsidRDefault="00931A08" w:rsidP="005C515D">
            <w:pPr>
              <w:spacing w:after="0" w:line="240" w:lineRule="auto"/>
              <w:rPr>
                <w:rFonts w:eastAsia="Times New Roman" w:cs="Arial"/>
                <w:b/>
                <w:bCs/>
                <w:color w:val="000000"/>
                <w:sz w:val="18"/>
                <w:szCs w:val="18"/>
                <w:lang w:eastAsia="en-AU"/>
              </w:rPr>
            </w:pPr>
          </w:p>
        </w:tc>
      </w:tr>
      <w:tr w:rsidR="0048651E" w:rsidRPr="00C825D4" w14:paraId="2353029D" w14:textId="77777777" w:rsidTr="0048651E">
        <w:trPr>
          <w:trHeight w:val="460"/>
        </w:trPr>
        <w:tc>
          <w:tcPr>
            <w:tcW w:w="1796" w:type="pct"/>
            <w:tcBorders>
              <w:top w:val="nil"/>
              <w:left w:val="nil"/>
              <w:bottom w:val="nil"/>
              <w:right w:val="nil"/>
            </w:tcBorders>
            <w:shd w:val="clear" w:color="000000" w:fill="F2F2F2"/>
            <w:vAlign w:val="center"/>
            <w:hideMark/>
          </w:tcPr>
          <w:p w14:paraId="4863C35A" w14:textId="77777777" w:rsidR="00C825D4" w:rsidRPr="00E76327" w:rsidRDefault="00C825D4" w:rsidP="00C825D4">
            <w:pPr>
              <w:spacing w:after="0" w:line="240" w:lineRule="auto"/>
              <w:rPr>
                <w:rFonts w:eastAsia="Times New Roman" w:cs="Arial"/>
                <w:color w:val="000000"/>
                <w:sz w:val="18"/>
                <w:szCs w:val="18"/>
                <w:lang w:eastAsia="en-AU"/>
              </w:rPr>
            </w:pPr>
            <w:r w:rsidRPr="00E76327">
              <w:rPr>
                <w:rFonts w:eastAsia="Times New Roman" w:cs="Arial"/>
                <w:color w:val="000000"/>
                <w:sz w:val="18"/>
                <w:szCs w:val="18"/>
                <w:lang w:eastAsia="en-AU"/>
              </w:rPr>
              <w:t>Number of expected participants (bilateral agreements) - (a)</w:t>
            </w:r>
            <w:r w:rsidRPr="00E76327">
              <w:rPr>
                <w:rStyle w:val="FootnoteReference"/>
                <w:rFonts w:cs="Arial"/>
                <w:caps/>
                <w:sz w:val="18"/>
                <w:szCs w:val="18"/>
              </w:rPr>
              <w:t xml:space="preserve"> </w:t>
            </w:r>
            <w:r w:rsidRPr="00E76327">
              <w:rPr>
                <w:rStyle w:val="FootnoteReference"/>
                <w:rFonts w:cs="Arial"/>
                <w:caps/>
                <w:sz w:val="18"/>
                <w:szCs w:val="18"/>
              </w:rPr>
              <w:footnoteReference w:id="15"/>
            </w:r>
            <w:r w:rsidRPr="00E76327">
              <w:rPr>
                <w:rStyle w:val="FootnoteReference"/>
                <w:rFonts w:cs="Arial"/>
                <w:caps/>
                <w:sz w:val="18"/>
                <w:szCs w:val="18"/>
              </w:rPr>
              <w:t>,</w:t>
            </w:r>
            <w:r w:rsidRPr="00E76327">
              <w:rPr>
                <w:rStyle w:val="FootnoteReference"/>
                <w:rFonts w:cs="Arial"/>
                <w:caps/>
                <w:sz w:val="18"/>
                <w:szCs w:val="18"/>
              </w:rPr>
              <w:footnoteReference w:id="16"/>
            </w:r>
          </w:p>
        </w:tc>
        <w:tc>
          <w:tcPr>
            <w:tcW w:w="330" w:type="pct"/>
            <w:tcBorders>
              <w:top w:val="nil"/>
              <w:left w:val="nil"/>
              <w:bottom w:val="nil"/>
              <w:right w:val="nil"/>
            </w:tcBorders>
            <w:shd w:val="clear" w:color="000000" w:fill="F2F2F2"/>
            <w:noWrap/>
            <w:vAlign w:val="center"/>
            <w:hideMark/>
          </w:tcPr>
          <w:p w14:paraId="364A278A" w14:textId="5B3CD202"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8,841</w:t>
            </w:r>
          </w:p>
        </w:tc>
        <w:tc>
          <w:tcPr>
            <w:tcW w:w="333" w:type="pct"/>
            <w:tcBorders>
              <w:top w:val="nil"/>
              <w:left w:val="nil"/>
              <w:bottom w:val="nil"/>
              <w:right w:val="nil"/>
            </w:tcBorders>
            <w:shd w:val="clear" w:color="000000" w:fill="F2F2F2"/>
            <w:noWrap/>
            <w:vAlign w:val="center"/>
            <w:hideMark/>
          </w:tcPr>
          <w:p w14:paraId="55DBBCC9" w14:textId="475179C8"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6,451</w:t>
            </w:r>
          </w:p>
        </w:tc>
        <w:tc>
          <w:tcPr>
            <w:tcW w:w="331" w:type="pct"/>
            <w:tcBorders>
              <w:top w:val="nil"/>
              <w:left w:val="nil"/>
              <w:bottom w:val="nil"/>
              <w:right w:val="nil"/>
            </w:tcBorders>
            <w:shd w:val="clear" w:color="000000" w:fill="F2F2F2"/>
            <w:noWrap/>
            <w:vAlign w:val="center"/>
            <w:hideMark/>
          </w:tcPr>
          <w:p w14:paraId="69E65B2F" w14:textId="1BB9CC71"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1,031</w:t>
            </w:r>
          </w:p>
        </w:tc>
        <w:tc>
          <w:tcPr>
            <w:tcW w:w="330" w:type="pct"/>
            <w:tcBorders>
              <w:top w:val="nil"/>
              <w:left w:val="nil"/>
              <w:bottom w:val="nil"/>
              <w:right w:val="nil"/>
            </w:tcBorders>
            <w:shd w:val="clear" w:color="000000" w:fill="F2F2F2"/>
            <w:noWrap/>
            <w:vAlign w:val="center"/>
            <w:hideMark/>
          </w:tcPr>
          <w:p w14:paraId="4545170E" w14:textId="41E4DC46"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4,955</w:t>
            </w:r>
          </w:p>
        </w:tc>
        <w:tc>
          <w:tcPr>
            <w:tcW w:w="331" w:type="pct"/>
            <w:tcBorders>
              <w:top w:val="nil"/>
              <w:left w:val="nil"/>
              <w:bottom w:val="nil"/>
              <w:right w:val="nil"/>
            </w:tcBorders>
            <w:shd w:val="clear" w:color="000000" w:fill="F2F2F2"/>
            <w:noWrap/>
            <w:vAlign w:val="center"/>
            <w:hideMark/>
          </w:tcPr>
          <w:p w14:paraId="06924D08" w14:textId="03E33F60"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3,651</w:t>
            </w:r>
          </w:p>
        </w:tc>
        <w:tc>
          <w:tcPr>
            <w:tcW w:w="331" w:type="pct"/>
            <w:tcBorders>
              <w:top w:val="nil"/>
              <w:left w:val="nil"/>
              <w:bottom w:val="nil"/>
              <w:right w:val="nil"/>
            </w:tcBorders>
            <w:shd w:val="clear" w:color="000000" w:fill="F2F2F2"/>
            <w:noWrap/>
            <w:vAlign w:val="center"/>
            <w:hideMark/>
          </w:tcPr>
          <w:p w14:paraId="35A1D053" w14:textId="40030677"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154</w:t>
            </w:r>
          </w:p>
        </w:tc>
        <w:tc>
          <w:tcPr>
            <w:tcW w:w="330" w:type="pct"/>
            <w:tcBorders>
              <w:top w:val="nil"/>
              <w:left w:val="nil"/>
              <w:bottom w:val="nil"/>
              <w:right w:val="nil"/>
            </w:tcBorders>
            <w:shd w:val="clear" w:color="000000" w:fill="F2F2F2"/>
            <w:noWrap/>
            <w:vAlign w:val="center"/>
            <w:hideMark/>
          </w:tcPr>
          <w:p w14:paraId="1BC1BE45" w14:textId="4F1BCCBC"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3,422</w:t>
            </w:r>
          </w:p>
        </w:tc>
        <w:tc>
          <w:tcPr>
            <w:tcW w:w="516" w:type="pct"/>
            <w:tcBorders>
              <w:top w:val="nil"/>
              <w:left w:val="nil"/>
              <w:bottom w:val="nil"/>
              <w:right w:val="nil"/>
            </w:tcBorders>
            <w:shd w:val="clear" w:color="000000" w:fill="F2F2F2"/>
            <w:vAlign w:val="center"/>
            <w:hideMark/>
          </w:tcPr>
          <w:p w14:paraId="72AD26CB" w14:textId="788A2967"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1,400</w:t>
            </w:r>
          </w:p>
        </w:tc>
        <w:tc>
          <w:tcPr>
            <w:tcW w:w="372" w:type="pct"/>
            <w:tcBorders>
              <w:top w:val="nil"/>
              <w:left w:val="nil"/>
              <w:bottom w:val="nil"/>
              <w:right w:val="nil"/>
            </w:tcBorders>
            <w:shd w:val="clear" w:color="000000" w:fill="F2F2F2"/>
            <w:noWrap/>
            <w:vAlign w:val="center"/>
            <w:hideMark/>
          </w:tcPr>
          <w:p w14:paraId="77B62FC1" w14:textId="67633DD7"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29,905</w:t>
            </w:r>
          </w:p>
        </w:tc>
      </w:tr>
      <w:tr w:rsidR="0048651E" w:rsidRPr="00C825D4" w14:paraId="7D12002C" w14:textId="77777777" w:rsidTr="0048651E">
        <w:trPr>
          <w:trHeight w:val="460"/>
        </w:trPr>
        <w:tc>
          <w:tcPr>
            <w:tcW w:w="1796" w:type="pct"/>
            <w:tcBorders>
              <w:top w:val="nil"/>
              <w:left w:val="nil"/>
              <w:bottom w:val="nil"/>
              <w:right w:val="nil"/>
            </w:tcBorders>
            <w:shd w:val="clear" w:color="000000" w:fill="DCE6F1"/>
            <w:vAlign w:val="center"/>
            <w:hideMark/>
          </w:tcPr>
          <w:p w14:paraId="4298127B" w14:textId="77777777" w:rsidR="00C825D4" w:rsidRPr="00E76327" w:rsidRDefault="00C825D4" w:rsidP="00C825D4">
            <w:pPr>
              <w:spacing w:after="0" w:line="240" w:lineRule="auto"/>
              <w:rPr>
                <w:rFonts w:eastAsia="Times New Roman" w:cs="Arial"/>
                <w:color w:val="000000"/>
                <w:sz w:val="18"/>
                <w:szCs w:val="18"/>
                <w:lang w:eastAsia="en-AU"/>
              </w:rPr>
            </w:pPr>
            <w:r w:rsidRPr="00E76327">
              <w:rPr>
                <w:rFonts w:eastAsia="Times New Roman" w:cs="Arial"/>
                <w:color w:val="000000"/>
                <w:sz w:val="18"/>
                <w:szCs w:val="18"/>
                <w:lang w:eastAsia="en-AU"/>
              </w:rPr>
              <w:t>Number of expected participants (actuarial model) - (b)</w:t>
            </w:r>
          </w:p>
        </w:tc>
        <w:tc>
          <w:tcPr>
            <w:tcW w:w="330" w:type="pct"/>
            <w:tcBorders>
              <w:top w:val="nil"/>
              <w:left w:val="nil"/>
              <w:bottom w:val="nil"/>
              <w:right w:val="nil"/>
            </w:tcBorders>
            <w:shd w:val="clear" w:color="000000" w:fill="DCE6F1"/>
            <w:noWrap/>
            <w:vAlign w:val="center"/>
            <w:hideMark/>
          </w:tcPr>
          <w:p w14:paraId="5F09E388" w14:textId="654850D2"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8,684</w:t>
            </w:r>
          </w:p>
        </w:tc>
        <w:tc>
          <w:tcPr>
            <w:tcW w:w="333" w:type="pct"/>
            <w:tcBorders>
              <w:top w:val="nil"/>
              <w:left w:val="nil"/>
              <w:bottom w:val="nil"/>
              <w:right w:val="nil"/>
            </w:tcBorders>
            <w:shd w:val="clear" w:color="000000" w:fill="DCE6F1"/>
            <w:noWrap/>
            <w:vAlign w:val="center"/>
            <w:hideMark/>
          </w:tcPr>
          <w:p w14:paraId="196AB2FF" w14:textId="225181D3"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10,186</w:t>
            </w:r>
          </w:p>
        </w:tc>
        <w:tc>
          <w:tcPr>
            <w:tcW w:w="331" w:type="pct"/>
            <w:tcBorders>
              <w:top w:val="nil"/>
              <w:left w:val="nil"/>
              <w:bottom w:val="nil"/>
              <w:right w:val="nil"/>
            </w:tcBorders>
            <w:shd w:val="clear" w:color="000000" w:fill="DCE6F1"/>
            <w:noWrap/>
            <w:vAlign w:val="center"/>
            <w:hideMark/>
          </w:tcPr>
          <w:p w14:paraId="2D61AB44" w14:textId="2BEE46F5"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1,092</w:t>
            </w:r>
          </w:p>
        </w:tc>
        <w:tc>
          <w:tcPr>
            <w:tcW w:w="330" w:type="pct"/>
            <w:tcBorders>
              <w:top w:val="nil"/>
              <w:left w:val="nil"/>
              <w:bottom w:val="nil"/>
              <w:right w:val="nil"/>
            </w:tcBorders>
            <w:shd w:val="clear" w:color="000000" w:fill="DCE6F1"/>
            <w:noWrap/>
            <w:vAlign w:val="center"/>
            <w:hideMark/>
          </w:tcPr>
          <w:p w14:paraId="16F42640" w14:textId="6F24ED88"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5,525</w:t>
            </w:r>
          </w:p>
        </w:tc>
        <w:tc>
          <w:tcPr>
            <w:tcW w:w="331" w:type="pct"/>
            <w:tcBorders>
              <w:top w:val="nil"/>
              <w:left w:val="nil"/>
              <w:bottom w:val="nil"/>
              <w:right w:val="nil"/>
            </w:tcBorders>
            <w:shd w:val="clear" w:color="000000" w:fill="DCE6F1"/>
            <w:noWrap/>
            <w:vAlign w:val="center"/>
            <w:hideMark/>
          </w:tcPr>
          <w:p w14:paraId="2F6C10DC" w14:textId="76B97403"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4,174</w:t>
            </w:r>
          </w:p>
        </w:tc>
        <w:tc>
          <w:tcPr>
            <w:tcW w:w="331" w:type="pct"/>
            <w:tcBorders>
              <w:top w:val="nil"/>
              <w:left w:val="nil"/>
              <w:bottom w:val="nil"/>
              <w:right w:val="nil"/>
            </w:tcBorders>
            <w:shd w:val="clear" w:color="000000" w:fill="DCE6F1"/>
            <w:noWrap/>
            <w:vAlign w:val="center"/>
            <w:hideMark/>
          </w:tcPr>
          <w:p w14:paraId="5FCF96D2" w14:textId="43A48FCD"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154</w:t>
            </w:r>
          </w:p>
        </w:tc>
        <w:tc>
          <w:tcPr>
            <w:tcW w:w="330" w:type="pct"/>
            <w:tcBorders>
              <w:top w:val="nil"/>
              <w:left w:val="nil"/>
              <w:bottom w:val="nil"/>
              <w:right w:val="nil"/>
            </w:tcBorders>
            <w:shd w:val="clear" w:color="000000" w:fill="DCE6F1"/>
            <w:noWrap/>
            <w:vAlign w:val="center"/>
            <w:hideMark/>
          </w:tcPr>
          <w:p w14:paraId="39D9DA65" w14:textId="1B2D76EE"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2,681</w:t>
            </w:r>
          </w:p>
        </w:tc>
        <w:tc>
          <w:tcPr>
            <w:tcW w:w="516" w:type="pct"/>
            <w:tcBorders>
              <w:top w:val="nil"/>
              <w:left w:val="nil"/>
              <w:bottom w:val="nil"/>
              <w:right w:val="nil"/>
            </w:tcBorders>
            <w:shd w:val="clear" w:color="000000" w:fill="DCE6F1"/>
            <w:vAlign w:val="center"/>
            <w:hideMark/>
          </w:tcPr>
          <w:p w14:paraId="759C21F1" w14:textId="3A383891"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1,400</w:t>
            </w:r>
          </w:p>
        </w:tc>
        <w:tc>
          <w:tcPr>
            <w:tcW w:w="372" w:type="pct"/>
            <w:tcBorders>
              <w:top w:val="nil"/>
              <w:left w:val="nil"/>
              <w:bottom w:val="nil"/>
              <w:right w:val="nil"/>
            </w:tcBorders>
            <w:shd w:val="clear" w:color="000000" w:fill="DCE6F1"/>
            <w:noWrap/>
            <w:vAlign w:val="center"/>
            <w:hideMark/>
          </w:tcPr>
          <w:p w14:paraId="01CEFECF" w14:textId="19DEDDAF"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33,896</w:t>
            </w:r>
          </w:p>
        </w:tc>
      </w:tr>
      <w:tr w:rsidR="0048651E" w:rsidRPr="00C825D4" w14:paraId="311C0621" w14:textId="77777777" w:rsidTr="0048651E">
        <w:trPr>
          <w:trHeight w:val="460"/>
        </w:trPr>
        <w:tc>
          <w:tcPr>
            <w:tcW w:w="1796" w:type="pct"/>
            <w:tcBorders>
              <w:top w:val="nil"/>
              <w:left w:val="nil"/>
              <w:bottom w:val="nil"/>
              <w:right w:val="nil"/>
            </w:tcBorders>
            <w:shd w:val="clear" w:color="000000" w:fill="FFFFFF"/>
            <w:vAlign w:val="center"/>
            <w:hideMark/>
          </w:tcPr>
          <w:p w14:paraId="369D81F0" w14:textId="77777777" w:rsidR="00C825D4" w:rsidRPr="00E76327" w:rsidRDefault="00C825D4" w:rsidP="00C825D4">
            <w:pPr>
              <w:spacing w:after="0" w:line="240" w:lineRule="auto"/>
              <w:rPr>
                <w:rFonts w:eastAsia="Times New Roman" w:cs="Arial"/>
                <w:color w:val="000000"/>
                <w:sz w:val="18"/>
                <w:szCs w:val="18"/>
                <w:lang w:eastAsia="en-AU"/>
              </w:rPr>
            </w:pPr>
            <w:r w:rsidRPr="00E76327">
              <w:rPr>
                <w:rFonts w:eastAsia="Times New Roman" w:cs="Arial"/>
                <w:color w:val="000000"/>
                <w:sz w:val="18"/>
                <w:szCs w:val="18"/>
                <w:lang w:eastAsia="en-AU"/>
              </w:rPr>
              <w:t>Number of participants (active &amp; inactive participants)</w:t>
            </w:r>
          </w:p>
        </w:tc>
        <w:tc>
          <w:tcPr>
            <w:tcW w:w="330" w:type="pct"/>
            <w:tcBorders>
              <w:top w:val="nil"/>
              <w:left w:val="nil"/>
              <w:bottom w:val="nil"/>
              <w:right w:val="nil"/>
            </w:tcBorders>
            <w:shd w:val="clear" w:color="000000" w:fill="FFFFFF"/>
            <w:noWrap/>
            <w:vAlign w:val="center"/>
            <w:hideMark/>
          </w:tcPr>
          <w:p w14:paraId="538E9899" w14:textId="15EB2F3C"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7,167</w:t>
            </w:r>
          </w:p>
        </w:tc>
        <w:tc>
          <w:tcPr>
            <w:tcW w:w="333" w:type="pct"/>
            <w:tcBorders>
              <w:top w:val="nil"/>
              <w:left w:val="nil"/>
              <w:bottom w:val="nil"/>
              <w:right w:val="nil"/>
            </w:tcBorders>
            <w:shd w:val="clear" w:color="000000" w:fill="FFFFFF"/>
            <w:noWrap/>
            <w:vAlign w:val="center"/>
            <w:hideMark/>
          </w:tcPr>
          <w:p w14:paraId="2080F934" w14:textId="7A7FCE29"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7,788</w:t>
            </w:r>
          </w:p>
        </w:tc>
        <w:tc>
          <w:tcPr>
            <w:tcW w:w="331" w:type="pct"/>
            <w:tcBorders>
              <w:top w:val="nil"/>
              <w:left w:val="nil"/>
              <w:bottom w:val="nil"/>
              <w:right w:val="nil"/>
            </w:tcBorders>
            <w:shd w:val="clear" w:color="000000" w:fill="FFFFFF"/>
            <w:noWrap/>
            <w:vAlign w:val="center"/>
            <w:hideMark/>
          </w:tcPr>
          <w:p w14:paraId="0EE50EA5" w14:textId="1414F209"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1,279</w:t>
            </w:r>
          </w:p>
        </w:tc>
        <w:tc>
          <w:tcPr>
            <w:tcW w:w="330" w:type="pct"/>
            <w:tcBorders>
              <w:top w:val="nil"/>
              <w:left w:val="nil"/>
              <w:bottom w:val="nil"/>
              <w:right w:val="nil"/>
            </w:tcBorders>
            <w:shd w:val="clear" w:color="000000" w:fill="FFFFFF"/>
            <w:noWrap/>
            <w:vAlign w:val="center"/>
            <w:hideMark/>
          </w:tcPr>
          <w:p w14:paraId="046F7FC0" w14:textId="0295EF8E"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5,515</w:t>
            </w:r>
          </w:p>
        </w:tc>
        <w:tc>
          <w:tcPr>
            <w:tcW w:w="331" w:type="pct"/>
            <w:tcBorders>
              <w:top w:val="nil"/>
              <w:left w:val="nil"/>
              <w:bottom w:val="nil"/>
              <w:right w:val="nil"/>
            </w:tcBorders>
            <w:shd w:val="clear" w:color="000000" w:fill="FFFFFF"/>
            <w:noWrap/>
            <w:vAlign w:val="center"/>
            <w:hideMark/>
          </w:tcPr>
          <w:p w14:paraId="448497E1" w14:textId="4D13DB79"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4,292</w:t>
            </w:r>
          </w:p>
        </w:tc>
        <w:tc>
          <w:tcPr>
            <w:tcW w:w="331" w:type="pct"/>
            <w:tcBorders>
              <w:top w:val="nil"/>
              <w:left w:val="nil"/>
              <w:bottom w:val="nil"/>
              <w:right w:val="nil"/>
            </w:tcBorders>
            <w:shd w:val="clear" w:color="000000" w:fill="FFFFFF"/>
            <w:noWrap/>
            <w:vAlign w:val="center"/>
            <w:hideMark/>
          </w:tcPr>
          <w:p w14:paraId="2DC3763F" w14:textId="0DD79657"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138</w:t>
            </w:r>
          </w:p>
        </w:tc>
        <w:tc>
          <w:tcPr>
            <w:tcW w:w="330" w:type="pct"/>
            <w:tcBorders>
              <w:top w:val="nil"/>
              <w:left w:val="nil"/>
              <w:bottom w:val="nil"/>
              <w:right w:val="nil"/>
            </w:tcBorders>
            <w:shd w:val="clear" w:color="000000" w:fill="FFFFFF"/>
            <w:noWrap/>
            <w:vAlign w:val="center"/>
            <w:hideMark/>
          </w:tcPr>
          <w:p w14:paraId="3E9C0AC1" w14:textId="22AF48DF"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2,291</w:t>
            </w:r>
          </w:p>
        </w:tc>
        <w:tc>
          <w:tcPr>
            <w:tcW w:w="516" w:type="pct"/>
            <w:tcBorders>
              <w:top w:val="nil"/>
              <w:left w:val="nil"/>
              <w:bottom w:val="nil"/>
              <w:right w:val="nil"/>
            </w:tcBorders>
            <w:shd w:val="clear" w:color="000000" w:fill="FFFFFF"/>
            <w:vAlign w:val="center"/>
            <w:hideMark/>
          </w:tcPr>
          <w:p w14:paraId="03556CFA" w14:textId="398B4E81"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1,299</w:t>
            </w:r>
          </w:p>
        </w:tc>
        <w:tc>
          <w:tcPr>
            <w:tcW w:w="372" w:type="pct"/>
            <w:tcBorders>
              <w:top w:val="nil"/>
              <w:left w:val="nil"/>
              <w:bottom w:val="nil"/>
              <w:right w:val="nil"/>
            </w:tcBorders>
            <w:shd w:val="clear" w:color="000000" w:fill="FFFFFF"/>
            <w:noWrap/>
            <w:vAlign w:val="center"/>
            <w:hideMark/>
          </w:tcPr>
          <w:p w14:paraId="7F4264A5" w14:textId="304F8D3F"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29,769</w:t>
            </w:r>
          </w:p>
        </w:tc>
      </w:tr>
      <w:tr w:rsidR="0048651E" w:rsidRPr="00C825D4" w14:paraId="5998BDA5" w14:textId="77777777" w:rsidTr="0048651E">
        <w:trPr>
          <w:trHeight w:val="460"/>
        </w:trPr>
        <w:tc>
          <w:tcPr>
            <w:tcW w:w="1796" w:type="pct"/>
            <w:tcBorders>
              <w:top w:val="nil"/>
              <w:left w:val="nil"/>
              <w:bottom w:val="nil"/>
              <w:right w:val="nil"/>
            </w:tcBorders>
            <w:shd w:val="clear" w:color="000000" w:fill="F2F2F2"/>
            <w:vAlign w:val="center"/>
            <w:hideMark/>
          </w:tcPr>
          <w:p w14:paraId="1B23F808" w14:textId="77777777" w:rsidR="00C825D4" w:rsidRPr="00E76327" w:rsidRDefault="00C825D4" w:rsidP="00C825D4">
            <w:pPr>
              <w:spacing w:after="0" w:line="240" w:lineRule="auto"/>
              <w:rPr>
                <w:rFonts w:eastAsia="Times New Roman" w:cs="Arial"/>
                <w:i/>
                <w:iCs/>
                <w:color w:val="000000"/>
                <w:sz w:val="18"/>
                <w:szCs w:val="18"/>
                <w:lang w:eastAsia="en-AU"/>
              </w:rPr>
            </w:pPr>
            <w:r w:rsidRPr="00E76327">
              <w:rPr>
                <w:rFonts w:eastAsia="Times New Roman" w:cs="Arial"/>
                <w:i/>
                <w:iCs/>
                <w:color w:val="000000"/>
                <w:sz w:val="18"/>
                <w:szCs w:val="18"/>
                <w:lang w:eastAsia="en-AU"/>
              </w:rPr>
              <w:t>Percentage deemed eligible compared with expected - (a)</w:t>
            </w:r>
          </w:p>
        </w:tc>
        <w:tc>
          <w:tcPr>
            <w:tcW w:w="330" w:type="pct"/>
            <w:tcBorders>
              <w:top w:val="nil"/>
              <w:left w:val="nil"/>
              <w:bottom w:val="nil"/>
              <w:right w:val="nil"/>
            </w:tcBorders>
            <w:shd w:val="clear" w:color="000000" w:fill="F2F2F2"/>
            <w:noWrap/>
            <w:vAlign w:val="center"/>
          </w:tcPr>
          <w:p w14:paraId="4DEF0ECA" w14:textId="76EA7051"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81%</w:t>
            </w:r>
          </w:p>
        </w:tc>
        <w:tc>
          <w:tcPr>
            <w:tcW w:w="333" w:type="pct"/>
            <w:tcBorders>
              <w:top w:val="nil"/>
              <w:left w:val="nil"/>
              <w:bottom w:val="nil"/>
              <w:right w:val="nil"/>
            </w:tcBorders>
            <w:shd w:val="clear" w:color="000000" w:fill="F2F2F2"/>
            <w:noWrap/>
            <w:vAlign w:val="center"/>
          </w:tcPr>
          <w:p w14:paraId="67174AF3" w14:textId="1AE3C9BD"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121%</w:t>
            </w:r>
          </w:p>
        </w:tc>
        <w:tc>
          <w:tcPr>
            <w:tcW w:w="331" w:type="pct"/>
            <w:tcBorders>
              <w:top w:val="nil"/>
              <w:left w:val="nil"/>
              <w:bottom w:val="nil"/>
              <w:right w:val="nil"/>
            </w:tcBorders>
            <w:shd w:val="clear" w:color="000000" w:fill="F2F2F2"/>
            <w:noWrap/>
            <w:vAlign w:val="center"/>
          </w:tcPr>
          <w:p w14:paraId="03A337E1" w14:textId="2FBF2A4F"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124%</w:t>
            </w:r>
          </w:p>
        </w:tc>
        <w:tc>
          <w:tcPr>
            <w:tcW w:w="330" w:type="pct"/>
            <w:tcBorders>
              <w:top w:val="nil"/>
              <w:left w:val="nil"/>
              <w:bottom w:val="nil"/>
              <w:right w:val="nil"/>
            </w:tcBorders>
            <w:shd w:val="clear" w:color="000000" w:fill="F2F2F2"/>
            <w:noWrap/>
            <w:vAlign w:val="center"/>
          </w:tcPr>
          <w:p w14:paraId="27A35FEC" w14:textId="53C6D996"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111%</w:t>
            </w:r>
          </w:p>
        </w:tc>
        <w:tc>
          <w:tcPr>
            <w:tcW w:w="331" w:type="pct"/>
            <w:tcBorders>
              <w:top w:val="nil"/>
              <w:left w:val="nil"/>
              <w:bottom w:val="nil"/>
              <w:right w:val="nil"/>
            </w:tcBorders>
            <w:shd w:val="clear" w:color="000000" w:fill="F2F2F2"/>
            <w:noWrap/>
            <w:vAlign w:val="center"/>
          </w:tcPr>
          <w:p w14:paraId="41A3A884" w14:textId="0E9634E0"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118%</w:t>
            </w:r>
          </w:p>
        </w:tc>
        <w:tc>
          <w:tcPr>
            <w:tcW w:w="331" w:type="pct"/>
            <w:tcBorders>
              <w:top w:val="nil"/>
              <w:left w:val="nil"/>
              <w:bottom w:val="nil"/>
              <w:right w:val="nil"/>
            </w:tcBorders>
            <w:shd w:val="clear" w:color="000000" w:fill="F2F2F2"/>
            <w:noWrap/>
            <w:vAlign w:val="center"/>
          </w:tcPr>
          <w:p w14:paraId="3E84AA3E" w14:textId="33771FA3"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90%</w:t>
            </w:r>
          </w:p>
        </w:tc>
        <w:tc>
          <w:tcPr>
            <w:tcW w:w="330" w:type="pct"/>
            <w:tcBorders>
              <w:top w:val="nil"/>
              <w:left w:val="nil"/>
              <w:bottom w:val="nil"/>
              <w:right w:val="nil"/>
            </w:tcBorders>
            <w:shd w:val="clear" w:color="000000" w:fill="F2F2F2"/>
            <w:noWrap/>
            <w:vAlign w:val="center"/>
          </w:tcPr>
          <w:p w14:paraId="0283E1A5" w14:textId="7C0574C5"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67%</w:t>
            </w:r>
          </w:p>
        </w:tc>
        <w:tc>
          <w:tcPr>
            <w:tcW w:w="516" w:type="pct"/>
            <w:tcBorders>
              <w:top w:val="nil"/>
              <w:left w:val="nil"/>
              <w:bottom w:val="nil"/>
              <w:right w:val="nil"/>
            </w:tcBorders>
            <w:shd w:val="clear" w:color="000000" w:fill="F2F2F2"/>
            <w:vAlign w:val="center"/>
          </w:tcPr>
          <w:p w14:paraId="1874379B" w14:textId="785DB17C"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93%</w:t>
            </w:r>
          </w:p>
        </w:tc>
        <w:tc>
          <w:tcPr>
            <w:tcW w:w="372" w:type="pct"/>
            <w:tcBorders>
              <w:top w:val="nil"/>
              <w:left w:val="nil"/>
              <w:bottom w:val="nil"/>
              <w:right w:val="nil"/>
            </w:tcBorders>
            <w:shd w:val="clear" w:color="000000" w:fill="F2F2F2"/>
            <w:noWrap/>
            <w:vAlign w:val="center"/>
          </w:tcPr>
          <w:p w14:paraId="3D8605C9" w14:textId="3D6ECF11"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100%</w:t>
            </w:r>
          </w:p>
        </w:tc>
      </w:tr>
      <w:tr w:rsidR="0048651E" w:rsidRPr="00C825D4" w14:paraId="2C169C0B" w14:textId="77777777" w:rsidTr="0048651E">
        <w:trPr>
          <w:trHeight w:val="460"/>
        </w:trPr>
        <w:tc>
          <w:tcPr>
            <w:tcW w:w="1796" w:type="pct"/>
            <w:tcBorders>
              <w:top w:val="nil"/>
              <w:left w:val="nil"/>
              <w:bottom w:val="nil"/>
              <w:right w:val="nil"/>
            </w:tcBorders>
            <w:shd w:val="clear" w:color="000000" w:fill="DCE6F1"/>
            <w:vAlign w:val="center"/>
            <w:hideMark/>
          </w:tcPr>
          <w:p w14:paraId="53B043AC" w14:textId="77777777" w:rsidR="00C825D4" w:rsidRPr="00E76327" w:rsidRDefault="00C825D4" w:rsidP="00C825D4">
            <w:pPr>
              <w:spacing w:after="0" w:line="240" w:lineRule="auto"/>
              <w:rPr>
                <w:rFonts w:eastAsia="Times New Roman" w:cs="Arial"/>
                <w:i/>
                <w:iCs/>
                <w:color w:val="000000"/>
                <w:sz w:val="18"/>
                <w:szCs w:val="18"/>
                <w:lang w:eastAsia="en-AU"/>
              </w:rPr>
            </w:pPr>
            <w:r w:rsidRPr="00E76327">
              <w:rPr>
                <w:rFonts w:eastAsia="Times New Roman" w:cs="Arial"/>
                <w:i/>
                <w:iCs/>
                <w:color w:val="000000"/>
                <w:sz w:val="18"/>
                <w:szCs w:val="18"/>
                <w:lang w:eastAsia="en-AU"/>
              </w:rPr>
              <w:t>Percentage deemed eligible compared with expected - (b)</w:t>
            </w:r>
          </w:p>
        </w:tc>
        <w:tc>
          <w:tcPr>
            <w:tcW w:w="330" w:type="pct"/>
            <w:tcBorders>
              <w:top w:val="nil"/>
              <w:left w:val="nil"/>
              <w:bottom w:val="nil"/>
              <w:right w:val="nil"/>
            </w:tcBorders>
            <w:shd w:val="clear" w:color="000000" w:fill="DCE6F1"/>
            <w:noWrap/>
            <w:vAlign w:val="center"/>
          </w:tcPr>
          <w:p w14:paraId="2C210A6F" w14:textId="5F0AA41A"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83%</w:t>
            </w:r>
          </w:p>
        </w:tc>
        <w:tc>
          <w:tcPr>
            <w:tcW w:w="333" w:type="pct"/>
            <w:tcBorders>
              <w:top w:val="nil"/>
              <w:left w:val="nil"/>
              <w:bottom w:val="nil"/>
              <w:right w:val="nil"/>
            </w:tcBorders>
            <w:shd w:val="clear" w:color="000000" w:fill="DCE6F1"/>
            <w:noWrap/>
            <w:vAlign w:val="center"/>
          </w:tcPr>
          <w:p w14:paraId="0A99FBDA" w14:textId="36466CFC"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76%</w:t>
            </w:r>
          </w:p>
        </w:tc>
        <w:tc>
          <w:tcPr>
            <w:tcW w:w="331" w:type="pct"/>
            <w:tcBorders>
              <w:top w:val="nil"/>
              <w:left w:val="nil"/>
              <w:bottom w:val="nil"/>
              <w:right w:val="nil"/>
            </w:tcBorders>
            <w:shd w:val="clear" w:color="000000" w:fill="DCE6F1"/>
            <w:noWrap/>
            <w:vAlign w:val="center"/>
          </w:tcPr>
          <w:p w14:paraId="505F7E29" w14:textId="46CFDCD5"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117%</w:t>
            </w:r>
          </w:p>
        </w:tc>
        <w:tc>
          <w:tcPr>
            <w:tcW w:w="330" w:type="pct"/>
            <w:tcBorders>
              <w:top w:val="nil"/>
              <w:left w:val="nil"/>
              <w:bottom w:val="nil"/>
              <w:right w:val="nil"/>
            </w:tcBorders>
            <w:shd w:val="clear" w:color="000000" w:fill="DCE6F1"/>
            <w:noWrap/>
            <w:vAlign w:val="center"/>
          </w:tcPr>
          <w:p w14:paraId="7A77CBEC" w14:textId="2F57B6B0"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100%</w:t>
            </w:r>
          </w:p>
        </w:tc>
        <w:tc>
          <w:tcPr>
            <w:tcW w:w="331" w:type="pct"/>
            <w:tcBorders>
              <w:top w:val="nil"/>
              <w:left w:val="nil"/>
              <w:bottom w:val="nil"/>
              <w:right w:val="nil"/>
            </w:tcBorders>
            <w:shd w:val="clear" w:color="000000" w:fill="DCE6F1"/>
            <w:noWrap/>
            <w:vAlign w:val="center"/>
          </w:tcPr>
          <w:p w14:paraId="60D7258D" w14:textId="53085993"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103%</w:t>
            </w:r>
          </w:p>
        </w:tc>
        <w:tc>
          <w:tcPr>
            <w:tcW w:w="331" w:type="pct"/>
            <w:tcBorders>
              <w:top w:val="nil"/>
              <w:left w:val="nil"/>
              <w:bottom w:val="nil"/>
              <w:right w:val="nil"/>
            </w:tcBorders>
            <w:shd w:val="clear" w:color="000000" w:fill="DCE6F1"/>
            <w:noWrap/>
            <w:vAlign w:val="center"/>
          </w:tcPr>
          <w:p w14:paraId="38C88623" w14:textId="02613BDD"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90%</w:t>
            </w:r>
          </w:p>
        </w:tc>
        <w:tc>
          <w:tcPr>
            <w:tcW w:w="330" w:type="pct"/>
            <w:tcBorders>
              <w:top w:val="nil"/>
              <w:left w:val="nil"/>
              <w:bottom w:val="nil"/>
              <w:right w:val="nil"/>
            </w:tcBorders>
            <w:shd w:val="clear" w:color="000000" w:fill="DCE6F1"/>
            <w:noWrap/>
            <w:vAlign w:val="center"/>
          </w:tcPr>
          <w:p w14:paraId="7FCEC67A" w14:textId="6742507E"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85%</w:t>
            </w:r>
          </w:p>
        </w:tc>
        <w:tc>
          <w:tcPr>
            <w:tcW w:w="516" w:type="pct"/>
            <w:tcBorders>
              <w:top w:val="nil"/>
              <w:left w:val="nil"/>
              <w:bottom w:val="nil"/>
              <w:right w:val="nil"/>
            </w:tcBorders>
            <w:shd w:val="clear" w:color="000000" w:fill="DCE6F1"/>
            <w:vAlign w:val="center"/>
          </w:tcPr>
          <w:p w14:paraId="3AA12763" w14:textId="7616EF5A"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93%</w:t>
            </w:r>
          </w:p>
        </w:tc>
        <w:tc>
          <w:tcPr>
            <w:tcW w:w="372" w:type="pct"/>
            <w:tcBorders>
              <w:top w:val="nil"/>
              <w:left w:val="nil"/>
              <w:bottom w:val="nil"/>
              <w:right w:val="nil"/>
            </w:tcBorders>
            <w:shd w:val="clear" w:color="000000" w:fill="DCE6F1"/>
            <w:noWrap/>
            <w:vAlign w:val="center"/>
          </w:tcPr>
          <w:p w14:paraId="5370DE8D" w14:textId="68E95105"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88%</w:t>
            </w:r>
          </w:p>
        </w:tc>
      </w:tr>
      <w:tr w:rsidR="00C825D4" w:rsidRPr="00C825D4" w14:paraId="3F0CE1C9" w14:textId="77777777" w:rsidTr="00E76327">
        <w:trPr>
          <w:trHeight w:val="460"/>
        </w:trPr>
        <w:tc>
          <w:tcPr>
            <w:tcW w:w="1796" w:type="pct"/>
            <w:tcBorders>
              <w:top w:val="nil"/>
              <w:left w:val="nil"/>
              <w:bottom w:val="nil"/>
              <w:right w:val="nil"/>
            </w:tcBorders>
            <w:shd w:val="clear" w:color="auto" w:fill="auto"/>
            <w:vAlign w:val="center"/>
            <w:hideMark/>
          </w:tcPr>
          <w:p w14:paraId="7A6D1D25" w14:textId="77777777" w:rsidR="00C825D4" w:rsidRPr="00E76327" w:rsidRDefault="00C825D4" w:rsidP="00C825D4">
            <w:pPr>
              <w:spacing w:after="0" w:line="240" w:lineRule="auto"/>
              <w:rPr>
                <w:rFonts w:eastAsia="Times New Roman" w:cs="Arial"/>
                <w:color w:val="000000"/>
                <w:sz w:val="18"/>
                <w:szCs w:val="18"/>
                <w:lang w:eastAsia="en-AU"/>
              </w:rPr>
            </w:pPr>
            <w:r w:rsidRPr="00E76327">
              <w:rPr>
                <w:rFonts w:eastAsia="Times New Roman" w:cs="Arial"/>
                <w:color w:val="000000"/>
                <w:sz w:val="18"/>
                <w:szCs w:val="18"/>
                <w:lang w:eastAsia="en-AU"/>
              </w:rPr>
              <w:t>Number of participants with current approved plans (active &amp; inactive participants)</w:t>
            </w:r>
          </w:p>
        </w:tc>
        <w:tc>
          <w:tcPr>
            <w:tcW w:w="330" w:type="pct"/>
            <w:tcBorders>
              <w:top w:val="nil"/>
              <w:left w:val="nil"/>
              <w:bottom w:val="nil"/>
              <w:right w:val="nil"/>
            </w:tcBorders>
            <w:shd w:val="clear" w:color="auto" w:fill="auto"/>
            <w:noWrap/>
            <w:vAlign w:val="center"/>
            <w:hideMark/>
          </w:tcPr>
          <w:p w14:paraId="47041BC3" w14:textId="59D61A6F"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6,510</w:t>
            </w:r>
          </w:p>
        </w:tc>
        <w:tc>
          <w:tcPr>
            <w:tcW w:w="333" w:type="pct"/>
            <w:tcBorders>
              <w:top w:val="nil"/>
              <w:left w:val="nil"/>
              <w:bottom w:val="nil"/>
              <w:right w:val="nil"/>
            </w:tcBorders>
            <w:shd w:val="clear" w:color="auto" w:fill="auto"/>
            <w:noWrap/>
            <w:vAlign w:val="center"/>
            <w:hideMark/>
          </w:tcPr>
          <w:p w14:paraId="03A9E37B" w14:textId="05C10A91"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5,825</w:t>
            </w:r>
          </w:p>
        </w:tc>
        <w:tc>
          <w:tcPr>
            <w:tcW w:w="331" w:type="pct"/>
            <w:tcBorders>
              <w:top w:val="nil"/>
              <w:left w:val="nil"/>
              <w:bottom w:val="nil"/>
              <w:right w:val="nil"/>
            </w:tcBorders>
            <w:shd w:val="clear" w:color="auto" w:fill="auto"/>
            <w:noWrap/>
            <w:vAlign w:val="center"/>
            <w:hideMark/>
          </w:tcPr>
          <w:p w14:paraId="27889EC8" w14:textId="59BF01EA"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1,135</w:t>
            </w:r>
          </w:p>
        </w:tc>
        <w:tc>
          <w:tcPr>
            <w:tcW w:w="330" w:type="pct"/>
            <w:tcBorders>
              <w:top w:val="nil"/>
              <w:left w:val="nil"/>
              <w:bottom w:val="nil"/>
              <w:right w:val="nil"/>
            </w:tcBorders>
            <w:shd w:val="clear" w:color="auto" w:fill="auto"/>
            <w:noWrap/>
            <w:vAlign w:val="center"/>
            <w:hideMark/>
          </w:tcPr>
          <w:p w14:paraId="3F4021DE" w14:textId="0FB9526A"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4,867</w:t>
            </w:r>
          </w:p>
        </w:tc>
        <w:tc>
          <w:tcPr>
            <w:tcW w:w="331" w:type="pct"/>
            <w:tcBorders>
              <w:top w:val="nil"/>
              <w:left w:val="nil"/>
              <w:bottom w:val="nil"/>
              <w:right w:val="nil"/>
            </w:tcBorders>
            <w:shd w:val="clear" w:color="auto" w:fill="auto"/>
            <w:noWrap/>
            <w:vAlign w:val="center"/>
            <w:hideMark/>
          </w:tcPr>
          <w:p w14:paraId="1A6018DE" w14:textId="539B6F45"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3,429</w:t>
            </w:r>
          </w:p>
        </w:tc>
        <w:tc>
          <w:tcPr>
            <w:tcW w:w="331" w:type="pct"/>
            <w:tcBorders>
              <w:top w:val="nil"/>
              <w:left w:val="nil"/>
              <w:bottom w:val="nil"/>
              <w:right w:val="nil"/>
            </w:tcBorders>
            <w:shd w:val="clear" w:color="auto" w:fill="auto"/>
            <w:noWrap/>
            <w:vAlign w:val="center"/>
            <w:hideMark/>
          </w:tcPr>
          <w:p w14:paraId="73A6C09B" w14:textId="0D087DD7"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135</w:t>
            </w:r>
          </w:p>
        </w:tc>
        <w:tc>
          <w:tcPr>
            <w:tcW w:w="330" w:type="pct"/>
            <w:tcBorders>
              <w:top w:val="nil"/>
              <w:left w:val="nil"/>
              <w:bottom w:val="nil"/>
              <w:right w:val="nil"/>
            </w:tcBorders>
            <w:shd w:val="clear" w:color="auto" w:fill="auto"/>
            <w:noWrap/>
            <w:vAlign w:val="center"/>
            <w:hideMark/>
          </w:tcPr>
          <w:p w14:paraId="5F37F0D8" w14:textId="19D0576E"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1,882</w:t>
            </w:r>
          </w:p>
        </w:tc>
        <w:tc>
          <w:tcPr>
            <w:tcW w:w="516" w:type="pct"/>
            <w:tcBorders>
              <w:top w:val="nil"/>
              <w:left w:val="nil"/>
              <w:bottom w:val="nil"/>
              <w:right w:val="nil"/>
            </w:tcBorders>
            <w:shd w:val="clear" w:color="auto" w:fill="auto"/>
            <w:vAlign w:val="center"/>
            <w:hideMark/>
          </w:tcPr>
          <w:p w14:paraId="001F7619" w14:textId="68B6E4E2"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1,083</w:t>
            </w:r>
          </w:p>
        </w:tc>
        <w:tc>
          <w:tcPr>
            <w:tcW w:w="372" w:type="pct"/>
            <w:tcBorders>
              <w:top w:val="nil"/>
              <w:left w:val="nil"/>
              <w:bottom w:val="nil"/>
              <w:right w:val="nil"/>
            </w:tcBorders>
            <w:shd w:val="clear" w:color="000000" w:fill="FFFFFF"/>
            <w:noWrap/>
            <w:vAlign w:val="center"/>
            <w:hideMark/>
          </w:tcPr>
          <w:p w14:paraId="52025893" w14:textId="4B77AEB5" w:rsidR="00C825D4" w:rsidRPr="00E76327" w:rsidRDefault="00C825D4" w:rsidP="00C825D4">
            <w:pPr>
              <w:spacing w:after="0" w:line="240" w:lineRule="auto"/>
              <w:jc w:val="center"/>
              <w:rPr>
                <w:rFonts w:eastAsia="Times New Roman" w:cs="Arial"/>
                <w:color w:val="000000"/>
                <w:sz w:val="18"/>
                <w:szCs w:val="18"/>
                <w:lang w:eastAsia="en-AU"/>
              </w:rPr>
            </w:pPr>
            <w:r w:rsidRPr="00E76327">
              <w:rPr>
                <w:rFonts w:cs="Arial"/>
                <w:color w:val="000000"/>
                <w:sz w:val="18"/>
                <w:szCs w:val="18"/>
              </w:rPr>
              <w:t>24,866</w:t>
            </w:r>
          </w:p>
        </w:tc>
      </w:tr>
      <w:tr w:rsidR="0048651E" w:rsidRPr="00C825D4" w14:paraId="5D885075" w14:textId="77777777" w:rsidTr="0048651E">
        <w:trPr>
          <w:trHeight w:val="460"/>
        </w:trPr>
        <w:tc>
          <w:tcPr>
            <w:tcW w:w="1796" w:type="pct"/>
            <w:tcBorders>
              <w:top w:val="nil"/>
              <w:left w:val="nil"/>
              <w:bottom w:val="nil"/>
              <w:right w:val="nil"/>
            </w:tcBorders>
            <w:shd w:val="clear" w:color="000000" w:fill="F2F2F2"/>
            <w:vAlign w:val="center"/>
            <w:hideMark/>
          </w:tcPr>
          <w:p w14:paraId="6C3EB0D6" w14:textId="77777777" w:rsidR="00C825D4" w:rsidRPr="00E76327" w:rsidRDefault="00C825D4" w:rsidP="00C825D4">
            <w:pPr>
              <w:spacing w:after="0" w:line="240" w:lineRule="auto"/>
              <w:rPr>
                <w:rFonts w:eastAsia="Times New Roman" w:cs="Arial"/>
                <w:i/>
                <w:iCs/>
                <w:color w:val="000000"/>
                <w:sz w:val="18"/>
                <w:szCs w:val="18"/>
                <w:lang w:eastAsia="en-AU"/>
              </w:rPr>
            </w:pPr>
            <w:r w:rsidRPr="00E76327">
              <w:rPr>
                <w:rFonts w:eastAsia="Times New Roman" w:cs="Arial"/>
                <w:i/>
                <w:iCs/>
                <w:color w:val="000000"/>
                <w:sz w:val="18"/>
                <w:szCs w:val="18"/>
                <w:lang w:eastAsia="en-AU"/>
              </w:rPr>
              <w:t>Percentage with approved plans compared with expected - (a)</w:t>
            </w:r>
          </w:p>
        </w:tc>
        <w:tc>
          <w:tcPr>
            <w:tcW w:w="330" w:type="pct"/>
            <w:tcBorders>
              <w:top w:val="nil"/>
              <w:left w:val="nil"/>
              <w:bottom w:val="nil"/>
              <w:right w:val="nil"/>
            </w:tcBorders>
            <w:shd w:val="clear" w:color="000000" w:fill="F2F2F2"/>
            <w:noWrap/>
            <w:vAlign w:val="center"/>
            <w:hideMark/>
          </w:tcPr>
          <w:p w14:paraId="3C12F342" w14:textId="49763237"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74%</w:t>
            </w:r>
          </w:p>
        </w:tc>
        <w:tc>
          <w:tcPr>
            <w:tcW w:w="333" w:type="pct"/>
            <w:tcBorders>
              <w:top w:val="nil"/>
              <w:left w:val="nil"/>
              <w:bottom w:val="nil"/>
              <w:right w:val="nil"/>
            </w:tcBorders>
            <w:shd w:val="clear" w:color="000000" w:fill="F2F2F2"/>
            <w:noWrap/>
            <w:vAlign w:val="center"/>
            <w:hideMark/>
          </w:tcPr>
          <w:p w14:paraId="3E0B0C02" w14:textId="5671475D"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90%</w:t>
            </w:r>
          </w:p>
        </w:tc>
        <w:tc>
          <w:tcPr>
            <w:tcW w:w="331" w:type="pct"/>
            <w:tcBorders>
              <w:top w:val="nil"/>
              <w:left w:val="nil"/>
              <w:bottom w:val="nil"/>
              <w:right w:val="nil"/>
            </w:tcBorders>
            <w:shd w:val="clear" w:color="000000" w:fill="F2F2F2"/>
            <w:noWrap/>
            <w:vAlign w:val="center"/>
            <w:hideMark/>
          </w:tcPr>
          <w:p w14:paraId="48D88B2F" w14:textId="52CB9D64"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110%</w:t>
            </w:r>
          </w:p>
        </w:tc>
        <w:tc>
          <w:tcPr>
            <w:tcW w:w="330" w:type="pct"/>
            <w:tcBorders>
              <w:top w:val="nil"/>
              <w:left w:val="nil"/>
              <w:bottom w:val="nil"/>
              <w:right w:val="nil"/>
            </w:tcBorders>
            <w:shd w:val="clear" w:color="000000" w:fill="F2F2F2"/>
            <w:noWrap/>
            <w:vAlign w:val="center"/>
            <w:hideMark/>
          </w:tcPr>
          <w:p w14:paraId="3660577A" w14:textId="6861E0AA"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98%</w:t>
            </w:r>
          </w:p>
        </w:tc>
        <w:tc>
          <w:tcPr>
            <w:tcW w:w="331" w:type="pct"/>
            <w:tcBorders>
              <w:top w:val="nil"/>
              <w:left w:val="nil"/>
              <w:bottom w:val="nil"/>
              <w:right w:val="nil"/>
            </w:tcBorders>
            <w:shd w:val="clear" w:color="000000" w:fill="F2F2F2"/>
            <w:noWrap/>
            <w:vAlign w:val="center"/>
            <w:hideMark/>
          </w:tcPr>
          <w:p w14:paraId="2908AF26" w14:textId="0DF4C3B6"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94%</w:t>
            </w:r>
          </w:p>
        </w:tc>
        <w:tc>
          <w:tcPr>
            <w:tcW w:w="331" w:type="pct"/>
            <w:tcBorders>
              <w:top w:val="nil"/>
              <w:left w:val="nil"/>
              <w:bottom w:val="nil"/>
              <w:right w:val="nil"/>
            </w:tcBorders>
            <w:shd w:val="clear" w:color="000000" w:fill="F2F2F2"/>
            <w:noWrap/>
            <w:vAlign w:val="center"/>
            <w:hideMark/>
          </w:tcPr>
          <w:p w14:paraId="4D3417C0" w14:textId="0204CA74"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88%</w:t>
            </w:r>
          </w:p>
        </w:tc>
        <w:tc>
          <w:tcPr>
            <w:tcW w:w="330" w:type="pct"/>
            <w:tcBorders>
              <w:top w:val="nil"/>
              <w:left w:val="nil"/>
              <w:bottom w:val="nil"/>
              <w:right w:val="nil"/>
            </w:tcBorders>
            <w:shd w:val="clear" w:color="000000" w:fill="F2F2F2"/>
            <w:noWrap/>
            <w:vAlign w:val="center"/>
            <w:hideMark/>
          </w:tcPr>
          <w:p w14:paraId="627FFD82" w14:textId="0CD77380"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55%</w:t>
            </w:r>
          </w:p>
        </w:tc>
        <w:tc>
          <w:tcPr>
            <w:tcW w:w="516" w:type="pct"/>
            <w:tcBorders>
              <w:top w:val="nil"/>
              <w:left w:val="nil"/>
              <w:bottom w:val="nil"/>
              <w:right w:val="nil"/>
            </w:tcBorders>
            <w:shd w:val="clear" w:color="000000" w:fill="F2F2F2"/>
            <w:vAlign w:val="center"/>
            <w:hideMark/>
          </w:tcPr>
          <w:p w14:paraId="632D5F7B" w14:textId="4076A130"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77%</w:t>
            </w:r>
          </w:p>
        </w:tc>
        <w:tc>
          <w:tcPr>
            <w:tcW w:w="372" w:type="pct"/>
            <w:tcBorders>
              <w:top w:val="nil"/>
              <w:left w:val="nil"/>
              <w:bottom w:val="nil"/>
              <w:right w:val="nil"/>
            </w:tcBorders>
            <w:shd w:val="clear" w:color="000000" w:fill="F2F2F2"/>
            <w:noWrap/>
            <w:vAlign w:val="center"/>
            <w:hideMark/>
          </w:tcPr>
          <w:p w14:paraId="5EB4EA2B" w14:textId="221274F0"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83%</w:t>
            </w:r>
          </w:p>
        </w:tc>
      </w:tr>
      <w:tr w:rsidR="0048651E" w:rsidRPr="00C825D4" w14:paraId="0661F379" w14:textId="77777777" w:rsidTr="0048651E">
        <w:trPr>
          <w:trHeight w:val="460"/>
        </w:trPr>
        <w:tc>
          <w:tcPr>
            <w:tcW w:w="1796" w:type="pct"/>
            <w:tcBorders>
              <w:top w:val="nil"/>
              <w:left w:val="nil"/>
              <w:bottom w:val="single" w:sz="8" w:space="0" w:color="auto"/>
              <w:right w:val="nil"/>
            </w:tcBorders>
            <w:shd w:val="clear" w:color="000000" w:fill="DCE6F1"/>
            <w:vAlign w:val="center"/>
            <w:hideMark/>
          </w:tcPr>
          <w:p w14:paraId="5183745E" w14:textId="77777777" w:rsidR="00C825D4" w:rsidRPr="00E76327" w:rsidRDefault="00C825D4" w:rsidP="00C825D4">
            <w:pPr>
              <w:spacing w:after="0" w:line="240" w:lineRule="auto"/>
              <w:rPr>
                <w:rFonts w:eastAsia="Times New Roman" w:cs="Arial"/>
                <w:i/>
                <w:iCs/>
                <w:color w:val="000000"/>
                <w:sz w:val="18"/>
                <w:szCs w:val="18"/>
                <w:lang w:eastAsia="en-AU"/>
              </w:rPr>
            </w:pPr>
            <w:r w:rsidRPr="00E76327">
              <w:rPr>
                <w:rFonts w:eastAsia="Times New Roman" w:cs="Arial"/>
                <w:i/>
                <w:iCs/>
                <w:color w:val="000000"/>
                <w:sz w:val="18"/>
                <w:szCs w:val="18"/>
                <w:lang w:eastAsia="en-AU"/>
              </w:rPr>
              <w:t>Percentage with approved plans compared with expected - (b)</w:t>
            </w:r>
          </w:p>
        </w:tc>
        <w:tc>
          <w:tcPr>
            <w:tcW w:w="330" w:type="pct"/>
            <w:tcBorders>
              <w:top w:val="nil"/>
              <w:left w:val="nil"/>
              <w:bottom w:val="single" w:sz="8" w:space="0" w:color="auto"/>
              <w:right w:val="nil"/>
            </w:tcBorders>
            <w:shd w:val="clear" w:color="000000" w:fill="DCE6F1"/>
            <w:noWrap/>
            <w:vAlign w:val="center"/>
            <w:hideMark/>
          </w:tcPr>
          <w:p w14:paraId="3B140826" w14:textId="391CE2D2"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75%</w:t>
            </w:r>
          </w:p>
        </w:tc>
        <w:tc>
          <w:tcPr>
            <w:tcW w:w="333" w:type="pct"/>
            <w:tcBorders>
              <w:top w:val="nil"/>
              <w:left w:val="nil"/>
              <w:bottom w:val="single" w:sz="8" w:space="0" w:color="auto"/>
              <w:right w:val="nil"/>
            </w:tcBorders>
            <w:shd w:val="clear" w:color="000000" w:fill="DCE6F1"/>
            <w:noWrap/>
            <w:vAlign w:val="center"/>
            <w:hideMark/>
          </w:tcPr>
          <w:p w14:paraId="0A897705" w14:textId="24365EA5"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57%</w:t>
            </w:r>
          </w:p>
        </w:tc>
        <w:tc>
          <w:tcPr>
            <w:tcW w:w="331" w:type="pct"/>
            <w:tcBorders>
              <w:top w:val="nil"/>
              <w:left w:val="nil"/>
              <w:bottom w:val="single" w:sz="8" w:space="0" w:color="auto"/>
              <w:right w:val="nil"/>
            </w:tcBorders>
            <w:shd w:val="clear" w:color="000000" w:fill="DCE6F1"/>
            <w:noWrap/>
            <w:vAlign w:val="center"/>
            <w:hideMark/>
          </w:tcPr>
          <w:p w14:paraId="56A7ACCB" w14:textId="54D996F0"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104%</w:t>
            </w:r>
          </w:p>
        </w:tc>
        <w:tc>
          <w:tcPr>
            <w:tcW w:w="330" w:type="pct"/>
            <w:tcBorders>
              <w:top w:val="nil"/>
              <w:left w:val="nil"/>
              <w:bottom w:val="single" w:sz="8" w:space="0" w:color="auto"/>
              <w:right w:val="nil"/>
            </w:tcBorders>
            <w:shd w:val="clear" w:color="000000" w:fill="DCE6F1"/>
            <w:noWrap/>
            <w:vAlign w:val="center"/>
            <w:hideMark/>
          </w:tcPr>
          <w:p w14:paraId="799CC780" w14:textId="3A805B77"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88%</w:t>
            </w:r>
          </w:p>
        </w:tc>
        <w:tc>
          <w:tcPr>
            <w:tcW w:w="331" w:type="pct"/>
            <w:tcBorders>
              <w:top w:val="nil"/>
              <w:left w:val="nil"/>
              <w:bottom w:val="single" w:sz="8" w:space="0" w:color="auto"/>
              <w:right w:val="nil"/>
            </w:tcBorders>
            <w:shd w:val="clear" w:color="000000" w:fill="DCE6F1"/>
            <w:noWrap/>
            <w:vAlign w:val="center"/>
            <w:hideMark/>
          </w:tcPr>
          <w:p w14:paraId="0E9E7EF3" w14:textId="6941BBBF"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82%</w:t>
            </w:r>
          </w:p>
        </w:tc>
        <w:tc>
          <w:tcPr>
            <w:tcW w:w="331" w:type="pct"/>
            <w:tcBorders>
              <w:top w:val="nil"/>
              <w:left w:val="nil"/>
              <w:bottom w:val="single" w:sz="8" w:space="0" w:color="auto"/>
              <w:right w:val="nil"/>
            </w:tcBorders>
            <w:shd w:val="clear" w:color="000000" w:fill="DCE6F1"/>
            <w:noWrap/>
            <w:vAlign w:val="center"/>
            <w:hideMark/>
          </w:tcPr>
          <w:p w14:paraId="7178F715" w14:textId="19CC6E39"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88%</w:t>
            </w:r>
          </w:p>
        </w:tc>
        <w:tc>
          <w:tcPr>
            <w:tcW w:w="330" w:type="pct"/>
            <w:tcBorders>
              <w:top w:val="nil"/>
              <w:left w:val="nil"/>
              <w:bottom w:val="single" w:sz="8" w:space="0" w:color="auto"/>
              <w:right w:val="nil"/>
            </w:tcBorders>
            <w:shd w:val="clear" w:color="000000" w:fill="DCE6F1"/>
            <w:noWrap/>
            <w:vAlign w:val="center"/>
            <w:hideMark/>
          </w:tcPr>
          <w:p w14:paraId="48ABD36B" w14:textId="52AD4065"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70%</w:t>
            </w:r>
          </w:p>
        </w:tc>
        <w:tc>
          <w:tcPr>
            <w:tcW w:w="516" w:type="pct"/>
            <w:tcBorders>
              <w:top w:val="nil"/>
              <w:left w:val="nil"/>
              <w:bottom w:val="single" w:sz="8" w:space="0" w:color="auto"/>
              <w:right w:val="nil"/>
            </w:tcBorders>
            <w:shd w:val="clear" w:color="000000" w:fill="DCE6F1"/>
            <w:vAlign w:val="center"/>
            <w:hideMark/>
          </w:tcPr>
          <w:p w14:paraId="02DA9434" w14:textId="5B8C4BAA" w:rsidR="00C825D4" w:rsidRPr="00E7632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77%</w:t>
            </w:r>
          </w:p>
        </w:tc>
        <w:tc>
          <w:tcPr>
            <w:tcW w:w="372" w:type="pct"/>
            <w:tcBorders>
              <w:top w:val="nil"/>
              <w:left w:val="nil"/>
              <w:bottom w:val="single" w:sz="8" w:space="0" w:color="auto"/>
              <w:right w:val="nil"/>
            </w:tcBorders>
            <w:shd w:val="clear" w:color="000000" w:fill="DCE6F1"/>
            <w:noWrap/>
            <w:vAlign w:val="center"/>
            <w:hideMark/>
          </w:tcPr>
          <w:p w14:paraId="16744AB0" w14:textId="303FA4F5" w:rsidR="00C825D4" w:rsidRPr="00926C37" w:rsidRDefault="00C825D4" w:rsidP="00C825D4">
            <w:pPr>
              <w:spacing w:after="0" w:line="240" w:lineRule="auto"/>
              <w:jc w:val="center"/>
              <w:rPr>
                <w:rFonts w:eastAsia="Times New Roman" w:cs="Arial"/>
                <w:i/>
                <w:iCs/>
                <w:color w:val="000000"/>
                <w:sz w:val="18"/>
                <w:szCs w:val="18"/>
                <w:lang w:eastAsia="en-AU"/>
              </w:rPr>
            </w:pPr>
            <w:r w:rsidRPr="00E76327">
              <w:rPr>
                <w:rFonts w:cs="Arial"/>
                <w:i/>
                <w:iCs/>
                <w:color w:val="000000"/>
                <w:sz w:val="18"/>
                <w:szCs w:val="18"/>
              </w:rPr>
              <w:t>73%</w:t>
            </w:r>
          </w:p>
        </w:tc>
      </w:tr>
    </w:tbl>
    <w:p w14:paraId="76C60F8B" w14:textId="77777777" w:rsidR="00931A08" w:rsidRPr="00160D9D" w:rsidRDefault="00931A08">
      <w:pPr>
        <w:pStyle w:val="TablesandFigures"/>
        <w:spacing w:before="200"/>
      </w:pPr>
    </w:p>
    <w:sectPr w:rsidR="00931A08" w:rsidRPr="00160D9D" w:rsidSect="005C515D">
      <w:pgSz w:w="16838" w:h="11906" w:orient="landscape"/>
      <w:pgMar w:top="1440" w:right="1956" w:bottom="1440" w:left="851" w:header="85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B8BCA" w14:textId="77777777" w:rsidR="0048651E" w:rsidRDefault="0048651E" w:rsidP="0040047A">
      <w:r>
        <w:separator/>
      </w:r>
    </w:p>
    <w:p w14:paraId="672EB1A0" w14:textId="77777777" w:rsidR="0048651E" w:rsidRDefault="0048651E"/>
  </w:endnote>
  <w:endnote w:type="continuationSeparator" w:id="0">
    <w:p w14:paraId="7F02FE4E" w14:textId="77777777" w:rsidR="0048651E" w:rsidRDefault="0048651E" w:rsidP="0040047A">
      <w:r>
        <w:continuationSeparator/>
      </w:r>
    </w:p>
    <w:p w14:paraId="30E2FF3B" w14:textId="77777777" w:rsidR="0048651E" w:rsidRDefault="00486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08839"/>
      <w:docPartObj>
        <w:docPartGallery w:val="Page Numbers (Bottom of Page)"/>
        <w:docPartUnique/>
      </w:docPartObj>
    </w:sdtPr>
    <w:sdtEndPr>
      <w:rPr>
        <w:noProof/>
      </w:rPr>
    </w:sdtEndPr>
    <w:sdtContent>
      <w:p w14:paraId="62ECDC69" w14:textId="528E00C4" w:rsidR="0048651E" w:rsidRDefault="0048651E">
        <w:pPr>
          <w:pStyle w:val="Footer"/>
          <w:jc w:val="right"/>
        </w:pPr>
        <w:r>
          <w:fldChar w:fldCharType="begin"/>
        </w:r>
        <w:r>
          <w:instrText xml:space="preserve"> PAGE   \* MERGEFORMAT </w:instrText>
        </w:r>
        <w:r>
          <w:fldChar w:fldCharType="separate"/>
        </w:r>
        <w:r w:rsidR="00012318">
          <w:rPr>
            <w:noProof/>
          </w:rPr>
          <w:t>17</w:t>
        </w:r>
        <w:r>
          <w:rPr>
            <w:noProof/>
          </w:rPr>
          <w:fldChar w:fldCharType="end"/>
        </w:r>
      </w:p>
    </w:sdtContent>
  </w:sdt>
  <w:p w14:paraId="33D09DB5" w14:textId="77777777" w:rsidR="0048651E" w:rsidRDefault="00486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AF2AA" w14:textId="77777777" w:rsidR="0048651E" w:rsidRDefault="0048651E" w:rsidP="0040047A">
      <w:r>
        <w:separator/>
      </w:r>
    </w:p>
    <w:p w14:paraId="1D8C4697" w14:textId="77777777" w:rsidR="0048651E" w:rsidRDefault="0048651E"/>
  </w:footnote>
  <w:footnote w:type="continuationSeparator" w:id="0">
    <w:p w14:paraId="359661C1" w14:textId="77777777" w:rsidR="0048651E" w:rsidRDefault="0048651E" w:rsidP="0040047A">
      <w:r>
        <w:continuationSeparator/>
      </w:r>
    </w:p>
    <w:p w14:paraId="6530F9CF" w14:textId="77777777" w:rsidR="0048651E" w:rsidRDefault="0048651E"/>
  </w:footnote>
  <w:footnote w:id="1">
    <w:p w14:paraId="5A3442E4" w14:textId="605D86BE" w:rsidR="00E76327" w:rsidRDefault="00E76327" w:rsidP="00E76327">
      <w:pPr>
        <w:pStyle w:val="FootnoteText"/>
      </w:pPr>
      <w:r>
        <w:rPr>
          <w:rStyle w:val="FootnoteReference"/>
        </w:rPr>
        <w:footnoteRef/>
      </w:r>
      <w:r>
        <w:t xml:space="preserve"> </w:t>
      </w:r>
      <w:r w:rsidR="00CD783C">
        <w:t>Note:</w:t>
      </w:r>
      <w:r>
        <w:t xml:space="preserve"> this excludes the 16 participants who have been determined eligible as at 31 March 2016 in the Far North Queensland early transition site but do not yet have approved plans.</w:t>
      </w:r>
    </w:p>
  </w:footnote>
  <w:footnote w:id="2">
    <w:p w14:paraId="593A66C0" w14:textId="06E2C113" w:rsidR="00CD783C" w:rsidRDefault="00CD783C" w:rsidP="00CD783C">
      <w:pPr>
        <w:pStyle w:val="FootnoteText"/>
      </w:pPr>
      <w:r>
        <w:rPr>
          <w:rStyle w:val="FootnoteReference"/>
        </w:rPr>
        <w:footnoteRef/>
      </w:r>
      <w:r>
        <w:t xml:space="preserve"> Note: these revisions do not reflect higher than expected scheme costs. </w:t>
      </w:r>
    </w:p>
  </w:footnote>
  <w:footnote w:id="3">
    <w:p w14:paraId="6AAC5850" w14:textId="77777777" w:rsidR="0048651E" w:rsidRDefault="0048651E" w:rsidP="00F60EB4">
      <w:pPr>
        <w:pStyle w:val="FootnoteText"/>
      </w:pPr>
      <w:r>
        <w:rPr>
          <w:rStyle w:val="FootnoteReference"/>
        </w:rPr>
        <w:footnoteRef/>
      </w:r>
      <w:r>
        <w:t xml:space="preserve"> Bilateral agreement targets are targets for approved plans, rather than participants. The NDIS funding responsibility begins from the date of first plan approval. There is a lag between a participant being deemed eligible and having their plan approved.</w:t>
      </w:r>
    </w:p>
  </w:footnote>
  <w:footnote w:id="4">
    <w:p w14:paraId="70C4F44A" w14:textId="28634FDA" w:rsidR="0048651E" w:rsidRDefault="0048651E" w:rsidP="00F60EB4">
      <w:pPr>
        <w:pStyle w:val="FootnoteText"/>
      </w:pPr>
      <w:r>
        <w:rPr>
          <w:rStyle w:val="FootnoteReference"/>
        </w:rPr>
        <w:footnoteRef/>
      </w:r>
      <w:r>
        <w:t xml:space="preserve"> Where bilateral agreement targets are quarterly, the monthly target is pro-rated evenly across the months (e.g. the monthly target is one third of the quarterly target).</w:t>
      </w:r>
    </w:p>
  </w:footnote>
  <w:footnote w:id="5">
    <w:p w14:paraId="4EDCA50E" w14:textId="164A09E2" w:rsidR="0048651E" w:rsidRDefault="0048651E" w:rsidP="00160D9D">
      <w:pPr>
        <w:pStyle w:val="FootnoteText"/>
      </w:pPr>
      <w:r>
        <w:rPr>
          <w:rStyle w:val="FootnoteReference"/>
        </w:rPr>
        <w:footnoteRef/>
      </w:r>
      <w:r>
        <w:t xml:space="preserve"> The vertical axis is different for the Northern Territory and Nepean Blue Mountains sites.</w:t>
      </w:r>
    </w:p>
  </w:footnote>
  <w:footnote w:id="6">
    <w:p w14:paraId="01B4F2C4" w14:textId="3EFEA569" w:rsidR="0048651E" w:rsidRDefault="0048651E" w:rsidP="00160D9D">
      <w:pPr>
        <w:pStyle w:val="FootnoteText"/>
      </w:pPr>
      <w:r>
        <w:rPr>
          <w:rStyle w:val="FootnoteReference"/>
        </w:rPr>
        <w:footnoteRef/>
      </w:r>
      <w:r>
        <w:t xml:space="preserve"> </w:t>
      </w:r>
      <w:r w:rsidRPr="00974CA7">
        <w:t>Note</w:t>
      </w:r>
      <w:r w:rsidR="00711375">
        <w:t>:</w:t>
      </w:r>
      <w:r w:rsidRPr="00974CA7">
        <w:t xml:space="preserve"> the amount of committed supports expected to be provided in </w:t>
      </w:r>
      <w:r>
        <w:t xml:space="preserve">both </w:t>
      </w:r>
      <w:r w:rsidRPr="00974CA7">
        <w:t>2013</w:t>
      </w:r>
      <w:r>
        <w:t>-</w:t>
      </w:r>
      <w:r w:rsidRPr="00974CA7">
        <w:t xml:space="preserve">14 </w:t>
      </w:r>
      <w:r>
        <w:t xml:space="preserve">and 2014-15 </w:t>
      </w:r>
      <w:r w:rsidRPr="00974CA7">
        <w:t xml:space="preserve">has increased since the end of </w:t>
      </w:r>
      <w:r>
        <w:t>these financial years</w:t>
      </w:r>
      <w:r w:rsidRPr="00974CA7">
        <w:t xml:space="preserve">. The main reasons for this increase include correction of errors in funded supports entered into Siebel, funded supports being added and quotes from providers being received and updated in plans. </w:t>
      </w:r>
    </w:p>
  </w:footnote>
  <w:footnote w:id="7">
    <w:p w14:paraId="15D1F32A" w14:textId="77777777" w:rsidR="0048651E" w:rsidRDefault="0048651E" w:rsidP="00160D9D">
      <w:pPr>
        <w:pStyle w:val="FootnoteText"/>
      </w:pPr>
      <w:r w:rsidRPr="002F584B">
        <w:rPr>
          <w:rStyle w:val="FootnoteReference"/>
        </w:rPr>
        <w:footnoteRef/>
      </w:r>
      <w:r w:rsidRPr="002F584B">
        <w:rPr>
          <w:rStyle w:val="FootnoteReference"/>
        </w:rPr>
        <w:t xml:space="preserve"> </w:t>
      </w:r>
      <w:r w:rsidRPr="003A739A">
        <w:t>Stockton and Kanangra are large residences in the New South Wales trial site and Colanda is a large residential centre in the Victorian trial site.</w:t>
      </w:r>
    </w:p>
  </w:footnote>
  <w:footnote w:id="8">
    <w:p w14:paraId="326A6150" w14:textId="77777777" w:rsidR="0048651E" w:rsidRPr="00D53E1B" w:rsidRDefault="0048651E" w:rsidP="00160D9D">
      <w:pPr>
        <w:pStyle w:val="FootnoteText"/>
        <w:rPr>
          <w:sz w:val="12"/>
          <w:szCs w:val="16"/>
        </w:rPr>
      </w:pPr>
      <w:r w:rsidRPr="002F584B">
        <w:rPr>
          <w:rStyle w:val="FootnoteReference"/>
        </w:rPr>
        <w:footnoteRef/>
      </w:r>
      <w:r>
        <w:t xml:space="preserve"> </w:t>
      </w:r>
      <w:r w:rsidRPr="003A739A">
        <w:t>New South Wales</w:t>
      </w:r>
      <w:r>
        <w:t xml:space="preserve"> (Hunter)</w:t>
      </w:r>
      <w:r w:rsidRPr="003A739A">
        <w:t xml:space="preserve"> did not specify the average cost of providing supported accommodation in the Stockton and Kanangra large residential centre and hence an estimate has been used. </w:t>
      </w:r>
    </w:p>
  </w:footnote>
  <w:footnote w:id="9">
    <w:p w14:paraId="12DEB912" w14:textId="00931C43" w:rsidR="0048651E" w:rsidRDefault="0048651E">
      <w:pPr>
        <w:pStyle w:val="FootnoteText"/>
      </w:pPr>
      <w:r>
        <w:rPr>
          <w:rStyle w:val="FootnoteReference"/>
        </w:rPr>
        <w:footnoteRef/>
      </w:r>
      <w:r>
        <w:t xml:space="preserve"> The vertical axis is different for each trial site.</w:t>
      </w:r>
    </w:p>
  </w:footnote>
  <w:footnote w:id="10">
    <w:p w14:paraId="3623F661" w14:textId="77777777" w:rsidR="0048651E" w:rsidRPr="00F02C80" w:rsidRDefault="0048651E" w:rsidP="00160D9D">
      <w:pPr>
        <w:pStyle w:val="FootnoteText"/>
      </w:pPr>
      <w:r w:rsidRPr="00F02C80">
        <w:rPr>
          <w:rStyle w:val="FootnoteReference"/>
        </w:rPr>
        <w:footnoteRef/>
      </w:r>
      <w:r w:rsidRPr="00F02C80">
        <w:t xml:space="preserve"> Note: the number of participants with approved plans in the Northern Territory is low. Hence numbers should be treated with caution.</w:t>
      </w:r>
    </w:p>
  </w:footnote>
  <w:footnote w:id="11">
    <w:p w14:paraId="1CAFC98C" w14:textId="77777777" w:rsidR="0048651E" w:rsidRDefault="0048651E" w:rsidP="00160D9D">
      <w:pPr>
        <w:pStyle w:val="FootnoteText"/>
      </w:pPr>
      <w:r>
        <w:rPr>
          <w:rStyle w:val="FootnoteReference"/>
        </w:rPr>
        <w:footnoteRef/>
      </w:r>
      <w:r>
        <w:t xml:space="preserve"> The vertical axis is different for each trial site.</w:t>
      </w:r>
    </w:p>
  </w:footnote>
  <w:footnote w:id="12">
    <w:p w14:paraId="1ED3BF53" w14:textId="77777777" w:rsidR="0048651E" w:rsidRPr="00882623" w:rsidRDefault="0048651E" w:rsidP="00111A56">
      <w:pPr>
        <w:pStyle w:val="FootnoteText"/>
        <w:rPr>
          <w:sz w:val="16"/>
          <w:szCs w:val="16"/>
        </w:rPr>
      </w:pPr>
      <w:r w:rsidRPr="00E23597">
        <w:rPr>
          <w:rStyle w:val="FootnoteReference"/>
          <w:szCs w:val="16"/>
        </w:rPr>
        <w:footnoteRef/>
      </w:r>
      <w:r w:rsidRPr="00E23597">
        <w:rPr>
          <w:szCs w:val="16"/>
        </w:rPr>
        <w:t xml:space="preserve"> </w:t>
      </w:r>
      <w:r>
        <w:rPr>
          <w:szCs w:val="16"/>
        </w:rPr>
        <w:t xml:space="preserve">The </w:t>
      </w:r>
      <w:r w:rsidRPr="00E23597">
        <w:rPr>
          <w:szCs w:val="16"/>
        </w:rPr>
        <w:t>Stockton</w:t>
      </w:r>
      <w:r>
        <w:rPr>
          <w:szCs w:val="16"/>
        </w:rPr>
        <w:t xml:space="preserve">, </w:t>
      </w:r>
      <w:r w:rsidRPr="00E23597">
        <w:rPr>
          <w:szCs w:val="16"/>
        </w:rPr>
        <w:t>Kanangra and Colanda large residence</w:t>
      </w:r>
      <w:r>
        <w:rPr>
          <w:szCs w:val="16"/>
        </w:rPr>
        <w:t>s</w:t>
      </w:r>
      <w:r w:rsidRPr="00E23597">
        <w:rPr>
          <w:szCs w:val="16"/>
        </w:rPr>
        <w:t xml:space="preserve"> </w:t>
      </w:r>
      <w:r>
        <w:rPr>
          <w:szCs w:val="16"/>
        </w:rPr>
        <w:t>result in</w:t>
      </w:r>
      <w:r w:rsidRPr="00E23597">
        <w:rPr>
          <w:szCs w:val="16"/>
        </w:rPr>
        <w:t xml:space="preserve"> high concentration</w:t>
      </w:r>
      <w:r>
        <w:rPr>
          <w:szCs w:val="16"/>
        </w:rPr>
        <w:t>s of high cost people in specific</w:t>
      </w:r>
      <w:r w:rsidRPr="00E23597">
        <w:rPr>
          <w:szCs w:val="16"/>
        </w:rPr>
        <w:t xml:space="preserve"> geographical area</w:t>
      </w:r>
      <w:r>
        <w:rPr>
          <w:szCs w:val="16"/>
        </w:rPr>
        <w:t>s</w:t>
      </w:r>
      <w:r w:rsidRPr="00E23597">
        <w:rPr>
          <w:szCs w:val="16"/>
        </w:rPr>
        <w:t>. For this reason Stockton, Kanangra and Colanda have been excluded from this analysis.</w:t>
      </w:r>
    </w:p>
  </w:footnote>
  <w:footnote w:id="13">
    <w:p w14:paraId="3C5FA739" w14:textId="77777777" w:rsidR="0048651E" w:rsidRDefault="0048651E" w:rsidP="00160D9D">
      <w:pPr>
        <w:pStyle w:val="FootnoteText"/>
      </w:pPr>
      <w:r>
        <w:rPr>
          <w:rStyle w:val="FootnoteReference"/>
        </w:rPr>
        <w:footnoteRef/>
      </w:r>
      <w:r>
        <w:t xml:space="preserve"> The vertical axis is different for each trial site</w:t>
      </w:r>
    </w:p>
  </w:footnote>
  <w:footnote w:id="14">
    <w:p w14:paraId="3C9F07E7" w14:textId="00182D1E" w:rsidR="0048651E" w:rsidRDefault="0048651E" w:rsidP="00160D9D">
      <w:pPr>
        <w:pStyle w:val="FootnoteText"/>
      </w:pPr>
      <w:r>
        <w:rPr>
          <w:rStyle w:val="FootnoteReference"/>
        </w:rPr>
        <w:footnoteRef/>
      </w:r>
      <w:r>
        <w:t xml:space="preserve"> The vertical axis is different for all trial sites and the New South Wales (Nepean Blue Mountains) site</w:t>
      </w:r>
    </w:p>
  </w:footnote>
  <w:footnote w:id="15">
    <w:p w14:paraId="3BFF0CB9" w14:textId="77777777" w:rsidR="0048651E" w:rsidRDefault="0048651E" w:rsidP="005C515D">
      <w:pPr>
        <w:pStyle w:val="FootnoteText"/>
      </w:pPr>
      <w:r>
        <w:rPr>
          <w:rStyle w:val="FootnoteReference"/>
        </w:rPr>
        <w:footnoteRef/>
      </w:r>
      <w:r>
        <w:t xml:space="preserve"> Bilateral agreement targets are targets for approved plans, rather than participants. The NDIS funding responsibility begins from the date of first plan approval. There is a lag between a participant being deemed eligible and having their plan approved.</w:t>
      </w:r>
    </w:p>
  </w:footnote>
  <w:footnote w:id="16">
    <w:p w14:paraId="4297ECF3" w14:textId="2FDEB9C7" w:rsidR="0048651E" w:rsidRDefault="0048651E" w:rsidP="005C515D">
      <w:pPr>
        <w:pStyle w:val="FootnoteText"/>
      </w:pPr>
      <w:r>
        <w:rPr>
          <w:rStyle w:val="FootnoteReference"/>
        </w:rPr>
        <w:footnoteRef/>
      </w:r>
      <w:r>
        <w:t xml:space="preserve"> Where bilateral agreement targets are quarterly, the monthly target is pro-rated evenly across the months (e.g. monthly target is one third of quarterly target).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B347" w14:textId="3354FA82" w:rsidR="0048651E" w:rsidRDefault="0048651E">
    <w:pPr>
      <w:pStyle w:val="Header"/>
    </w:pPr>
    <w:r>
      <w:rPr>
        <w:noProof/>
        <w:lang w:eastAsia="en-AU"/>
      </w:rPr>
      <w:drawing>
        <wp:anchor distT="0" distB="0" distL="114300" distR="114300" simplePos="0" relativeHeight="251659264" behindDoc="1" locked="0" layoutInCell="1" allowOverlap="1" wp14:anchorId="5E1B2CC2" wp14:editId="4A4D8543">
          <wp:simplePos x="0" y="0"/>
          <wp:positionH relativeFrom="page">
            <wp:posOffset>5666740</wp:posOffset>
          </wp:positionH>
          <wp:positionV relativeFrom="page">
            <wp:posOffset>413385</wp:posOffset>
          </wp:positionV>
          <wp:extent cx="1271455" cy="660694"/>
          <wp:effectExtent l="0" t="0" r="508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271455" cy="6606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9A08B" w14:textId="144AC2C5" w:rsidR="0048651E" w:rsidRDefault="004865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217F6" w14:textId="77777777" w:rsidR="0048651E" w:rsidRDefault="004865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912E0" w14:textId="77777777" w:rsidR="0048651E" w:rsidRDefault="00486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509FC4"/>
    <w:lvl w:ilvl="0">
      <w:start w:val="1"/>
      <w:numFmt w:val="bullet"/>
      <w:pStyle w:val="ListBullet"/>
      <w:lvlText w:val=""/>
      <w:lvlJc w:val="left"/>
      <w:pPr>
        <w:tabs>
          <w:tab w:val="num" w:pos="5245"/>
        </w:tabs>
        <w:ind w:left="5245" w:hanging="360"/>
      </w:pPr>
      <w:rPr>
        <w:rFonts w:ascii="Symbol" w:hAnsi="Symbol" w:hint="default"/>
      </w:rPr>
    </w:lvl>
  </w:abstractNum>
  <w:abstractNum w:abstractNumId="1" w15:restartNumberingAfterBreak="0">
    <w:nsid w:val="053864C5"/>
    <w:multiLevelType w:val="hybridMultilevel"/>
    <w:tmpl w:val="20EEC5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AC7F8B"/>
    <w:multiLevelType w:val="hybridMultilevel"/>
    <w:tmpl w:val="9E44FE46"/>
    <w:lvl w:ilvl="0" w:tplc="0C090001">
      <w:start w:val="1"/>
      <w:numFmt w:val="bullet"/>
      <w:lvlText w:val=""/>
      <w:lvlJc w:val="left"/>
      <w:pPr>
        <w:ind w:left="720" w:hanging="360"/>
      </w:pPr>
      <w:rPr>
        <w:rFonts w:ascii="Symbol" w:hAnsi="Symbol" w:hint="default"/>
      </w:rPr>
    </w:lvl>
    <w:lvl w:ilvl="1" w:tplc="9D38E95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E064B"/>
    <w:multiLevelType w:val="hybridMultilevel"/>
    <w:tmpl w:val="224C2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0D5328"/>
    <w:multiLevelType w:val="multilevel"/>
    <w:tmpl w:val="98B837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upperLetter"/>
      <w:lvlText w:val="Appendix %9"/>
      <w:lvlJc w:val="left"/>
      <w:pPr>
        <w:ind w:left="1584" w:hanging="1584"/>
      </w:pPr>
      <w:rPr>
        <w:rFonts w:hint="default"/>
      </w:rPr>
    </w:lvl>
  </w:abstractNum>
  <w:abstractNum w:abstractNumId="5" w15:restartNumberingAfterBreak="0">
    <w:nsid w:val="32650AF3"/>
    <w:multiLevelType w:val="hybridMultilevel"/>
    <w:tmpl w:val="096CD616"/>
    <w:lvl w:ilvl="0" w:tplc="5B82F708">
      <w:start w:val="1"/>
      <w:numFmt w:val="bullet"/>
      <w:pStyle w:val="Subtit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4C4C82"/>
    <w:multiLevelType w:val="hybridMultilevel"/>
    <w:tmpl w:val="D1149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AE758C"/>
    <w:multiLevelType w:val="hybridMultilevel"/>
    <w:tmpl w:val="C0A03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3675BBF"/>
    <w:multiLevelType w:val="hybridMultilevel"/>
    <w:tmpl w:val="CAD4D2A0"/>
    <w:lvl w:ilvl="0" w:tplc="AA2E4FAA">
      <w:start w:val="1"/>
      <w:numFmt w:val="upperLetter"/>
      <w:pStyle w:val="Heading6"/>
      <w:lvlText w:val="Appendi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8E45DBD"/>
    <w:multiLevelType w:val="hybridMultilevel"/>
    <w:tmpl w:val="A852F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917BB9"/>
    <w:multiLevelType w:val="multilevel"/>
    <w:tmpl w:val="4E5C847A"/>
    <w:lvl w:ilvl="0">
      <w:start w:val="1"/>
      <w:numFmt w:val="none"/>
      <w:pStyle w:val="PwCNormal"/>
      <w:suff w:val="nothing"/>
      <w:lvlText w:val=""/>
      <w:lvlJc w:val="left"/>
      <w:pPr>
        <w:ind w:left="0" w:firstLine="0"/>
      </w:pPr>
      <w:rPr>
        <w:rFonts w:hint="default"/>
        <w:color w:val="auto"/>
      </w:rPr>
    </w:lvl>
    <w:lvl w:ilvl="1">
      <w:start w:val="1"/>
      <w:numFmt w:val="none"/>
      <w:pStyle w:val="Indent1"/>
      <w:suff w:val="nothing"/>
      <w:lvlText w:val=""/>
      <w:lvlJc w:val="left"/>
      <w:pPr>
        <w:ind w:left="567" w:firstLine="0"/>
      </w:pPr>
      <w:rPr>
        <w:rFonts w:hint="default"/>
      </w:rPr>
    </w:lvl>
    <w:lvl w:ilvl="2">
      <w:start w:val="1"/>
      <w:numFmt w:val="none"/>
      <w:pStyle w:val="Indent2"/>
      <w:suff w:val="nothing"/>
      <w:lvlText w:val=""/>
      <w:lvlJc w:val="left"/>
      <w:pPr>
        <w:ind w:left="1134" w:firstLine="0"/>
      </w:pPr>
      <w:rPr>
        <w:rFonts w:hint="default"/>
      </w:rPr>
    </w:lvl>
    <w:lvl w:ilvl="3">
      <w:start w:val="1"/>
      <w:numFmt w:val="none"/>
      <w:pStyle w:val="Indent3"/>
      <w:suff w:val="nothing"/>
      <w:lvlText w:val=""/>
      <w:lvlJc w:val="left"/>
      <w:pPr>
        <w:ind w:left="1701" w:firstLine="0"/>
      </w:pPr>
      <w:rPr>
        <w:rFonts w:hint="default"/>
      </w:rPr>
    </w:lvl>
    <w:lvl w:ilvl="4">
      <w:start w:val="1"/>
      <w:numFmt w:val="none"/>
      <w:pStyle w:val="Indent4"/>
      <w:suff w:val="nothing"/>
      <w:lvlText w:val=""/>
      <w:lvlJc w:val="left"/>
      <w:pPr>
        <w:ind w:left="2268" w:firstLine="0"/>
      </w:pPr>
      <w:rPr>
        <w:rFonts w:hint="default"/>
      </w:rPr>
    </w:lvl>
    <w:lvl w:ilvl="5">
      <w:start w:val="1"/>
      <w:numFmt w:val="none"/>
      <w:pStyle w:val="Indent5"/>
      <w:suff w:val="nothing"/>
      <w:lvlText w:val=""/>
      <w:lvlJc w:val="left"/>
      <w:pPr>
        <w:ind w:left="2835" w:firstLine="0"/>
      </w:pPr>
      <w:rPr>
        <w:rFonts w:hint="default"/>
      </w:rPr>
    </w:lvl>
    <w:lvl w:ilvl="6">
      <w:start w:val="1"/>
      <w:numFmt w:val="none"/>
      <w:pStyle w:val="Indent6"/>
      <w:suff w:val="nothing"/>
      <w:lvlText w:val=""/>
      <w:lvlJc w:val="left"/>
      <w:pPr>
        <w:ind w:left="3402" w:firstLine="0"/>
      </w:pPr>
      <w:rPr>
        <w:rFonts w:hint="default"/>
      </w:rPr>
    </w:lvl>
    <w:lvl w:ilvl="7">
      <w:start w:val="1"/>
      <w:numFmt w:val="none"/>
      <w:pStyle w:val="Indent7"/>
      <w:suff w:val="nothing"/>
      <w:lvlText w:val=""/>
      <w:lvlJc w:val="left"/>
      <w:pPr>
        <w:ind w:left="3969" w:firstLine="0"/>
      </w:pPr>
      <w:rPr>
        <w:rFonts w:hint="default"/>
      </w:rPr>
    </w:lvl>
    <w:lvl w:ilvl="8">
      <w:start w:val="1"/>
      <w:numFmt w:val="none"/>
      <w:pStyle w:val="Indent8"/>
      <w:suff w:val="nothing"/>
      <w:lvlText w:val=""/>
      <w:lvlJc w:val="left"/>
      <w:pPr>
        <w:ind w:left="4536" w:firstLine="0"/>
      </w:pPr>
      <w:rPr>
        <w:rFonts w:hint="default"/>
      </w:rPr>
    </w:lvl>
  </w:abstractNum>
  <w:abstractNum w:abstractNumId="11" w15:restartNumberingAfterBreak="0">
    <w:nsid w:val="639B752E"/>
    <w:multiLevelType w:val="hybridMultilevel"/>
    <w:tmpl w:val="075CA6E4"/>
    <w:lvl w:ilvl="0" w:tplc="C68A15E2">
      <w:start w:val="1"/>
      <w:numFmt w:val="decimal"/>
      <w:pStyle w:val="CoverOutcomeSubtitle"/>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0"/>
  </w:num>
  <w:num w:numId="3">
    <w:abstractNumId w:val="10"/>
  </w:num>
  <w:num w:numId="4">
    <w:abstractNumId w:val="11"/>
  </w:num>
  <w:num w:numId="5">
    <w:abstractNumId w:val="4"/>
  </w:num>
  <w:num w:numId="6">
    <w:abstractNumId w:val="2"/>
  </w:num>
  <w:num w:numId="7">
    <w:abstractNumId w:val="8"/>
  </w:num>
  <w:num w:numId="8">
    <w:abstractNumId w:val="6"/>
  </w:num>
  <w:num w:numId="9">
    <w:abstractNumId w:val="4"/>
  </w:num>
  <w:num w:numId="10">
    <w:abstractNumId w:val="4"/>
  </w:num>
  <w:num w:numId="11">
    <w:abstractNumId w:val="9"/>
  </w:num>
  <w:num w:numId="12">
    <w:abstractNumId w:val="7"/>
  </w:num>
  <w:num w:numId="13">
    <w:abstractNumId w:val="1"/>
  </w:num>
  <w:num w:numId="14">
    <w:abstractNumId w:val="2"/>
  </w:num>
  <w:num w:numId="1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039959d4-6ec7-49cf-ae4f-ed405f83042c"/>
  </w:docVars>
  <w:rsids>
    <w:rsidRoot w:val="000A790D"/>
    <w:rsid w:val="0000466A"/>
    <w:rsid w:val="00005783"/>
    <w:rsid w:val="00005A0B"/>
    <w:rsid w:val="00012318"/>
    <w:rsid w:val="000163F5"/>
    <w:rsid w:val="00020564"/>
    <w:rsid w:val="00021776"/>
    <w:rsid w:val="00022AFA"/>
    <w:rsid w:val="00022F87"/>
    <w:rsid w:val="00023289"/>
    <w:rsid w:val="00027126"/>
    <w:rsid w:val="00030651"/>
    <w:rsid w:val="00030747"/>
    <w:rsid w:val="00031E11"/>
    <w:rsid w:val="000329AC"/>
    <w:rsid w:val="000347C8"/>
    <w:rsid w:val="00034D8B"/>
    <w:rsid w:val="000361AE"/>
    <w:rsid w:val="00036334"/>
    <w:rsid w:val="00040E95"/>
    <w:rsid w:val="00042870"/>
    <w:rsid w:val="00045B01"/>
    <w:rsid w:val="0004695D"/>
    <w:rsid w:val="00046AA0"/>
    <w:rsid w:val="000478EF"/>
    <w:rsid w:val="00047DCF"/>
    <w:rsid w:val="000554D1"/>
    <w:rsid w:val="00055C43"/>
    <w:rsid w:val="00056C97"/>
    <w:rsid w:val="00057713"/>
    <w:rsid w:val="00063B1D"/>
    <w:rsid w:val="00064D2D"/>
    <w:rsid w:val="000650C6"/>
    <w:rsid w:val="00065DA9"/>
    <w:rsid w:val="00066203"/>
    <w:rsid w:val="00066C53"/>
    <w:rsid w:val="0006711C"/>
    <w:rsid w:val="00067417"/>
    <w:rsid w:val="00070099"/>
    <w:rsid w:val="000704BE"/>
    <w:rsid w:val="0007055D"/>
    <w:rsid w:val="00070D80"/>
    <w:rsid w:val="000721F4"/>
    <w:rsid w:val="00073321"/>
    <w:rsid w:val="000739FB"/>
    <w:rsid w:val="0007526E"/>
    <w:rsid w:val="00075E5F"/>
    <w:rsid w:val="00076C65"/>
    <w:rsid w:val="00081C15"/>
    <w:rsid w:val="0008287F"/>
    <w:rsid w:val="00083DC4"/>
    <w:rsid w:val="0008472A"/>
    <w:rsid w:val="00084D8B"/>
    <w:rsid w:val="000857C4"/>
    <w:rsid w:val="00086C98"/>
    <w:rsid w:val="00090935"/>
    <w:rsid w:val="0009153B"/>
    <w:rsid w:val="00092D81"/>
    <w:rsid w:val="00093F5D"/>
    <w:rsid w:val="0009406B"/>
    <w:rsid w:val="00094920"/>
    <w:rsid w:val="00094CBC"/>
    <w:rsid w:val="00096DAD"/>
    <w:rsid w:val="00097F52"/>
    <w:rsid w:val="000A261B"/>
    <w:rsid w:val="000A2AA5"/>
    <w:rsid w:val="000A5D90"/>
    <w:rsid w:val="000A646C"/>
    <w:rsid w:val="000A78BD"/>
    <w:rsid w:val="000A790D"/>
    <w:rsid w:val="000B0AE2"/>
    <w:rsid w:val="000B10CC"/>
    <w:rsid w:val="000B2E66"/>
    <w:rsid w:val="000B2EC4"/>
    <w:rsid w:val="000B3C9B"/>
    <w:rsid w:val="000B3F27"/>
    <w:rsid w:val="000B5E51"/>
    <w:rsid w:val="000B6C61"/>
    <w:rsid w:val="000B75D7"/>
    <w:rsid w:val="000C0B0E"/>
    <w:rsid w:val="000C5484"/>
    <w:rsid w:val="000C6739"/>
    <w:rsid w:val="000C7CA6"/>
    <w:rsid w:val="000D588A"/>
    <w:rsid w:val="000D637A"/>
    <w:rsid w:val="000E0D45"/>
    <w:rsid w:val="000E3931"/>
    <w:rsid w:val="000E3F67"/>
    <w:rsid w:val="000E64AD"/>
    <w:rsid w:val="000E7696"/>
    <w:rsid w:val="000E7A99"/>
    <w:rsid w:val="000F057F"/>
    <w:rsid w:val="000F1428"/>
    <w:rsid w:val="000F2588"/>
    <w:rsid w:val="000F2705"/>
    <w:rsid w:val="000F2D85"/>
    <w:rsid w:val="000F6D1E"/>
    <w:rsid w:val="000F7B11"/>
    <w:rsid w:val="001031A5"/>
    <w:rsid w:val="00106147"/>
    <w:rsid w:val="001065BA"/>
    <w:rsid w:val="001076AD"/>
    <w:rsid w:val="00111A56"/>
    <w:rsid w:val="00112037"/>
    <w:rsid w:val="001146D2"/>
    <w:rsid w:val="0011553D"/>
    <w:rsid w:val="00115B5E"/>
    <w:rsid w:val="00116D4F"/>
    <w:rsid w:val="00116E90"/>
    <w:rsid w:val="00121D50"/>
    <w:rsid w:val="00121E81"/>
    <w:rsid w:val="00126367"/>
    <w:rsid w:val="00131170"/>
    <w:rsid w:val="00131B94"/>
    <w:rsid w:val="00134AF0"/>
    <w:rsid w:val="001369BE"/>
    <w:rsid w:val="00137008"/>
    <w:rsid w:val="00141814"/>
    <w:rsid w:val="0014197C"/>
    <w:rsid w:val="00145029"/>
    <w:rsid w:val="00145962"/>
    <w:rsid w:val="001470B9"/>
    <w:rsid w:val="00150581"/>
    <w:rsid w:val="00151AC7"/>
    <w:rsid w:val="00151F23"/>
    <w:rsid w:val="00152A49"/>
    <w:rsid w:val="00153618"/>
    <w:rsid w:val="00155404"/>
    <w:rsid w:val="0015590C"/>
    <w:rsid w:val="0015593F"/>
    <w:rsid w:val="0015733D"/>
    <w:rsid w:val="00160D9D"/>
    <w:rsid w:val="00162450"/>
    <w:rsid w:val="00162FD9"/>
    <w:rsid w:val="00163274"/>
    <w:rsid w:val="001634EB"/>
    <w:rsid w:val="00164726"/>
    <w:rsid w:val="001724F7"/>
    <w:rsid w:val="001732E4"/>
    <w:rsid w:val="00173473"/>
    <w:rsid w:val="00173C30"/>
    <w:rsid w:val="00173C45"/>
    <w:rsid w:val="00177BB1"/>
    <w:rsid w:val="00182648"/>
    <w:rsid w:val="00183EB1"/>
    <w:rsid w:val="00186709"/>
    <w:rsid w:val="00187166"/>
    <w:rsid w:val="00187E47"/>
    <w:rsid w:val="001936CA"/>
    <w:rsid w:val="00193B3B"/>
    <w:rsid w:val="00194030"/>
    <w:rsid w:val="00196BD1"/>
    <w:rsid w:val="00197709"/>
    <w:rsid w:val="001A2988"/>
    <w:rsid w:val="001A3A12"/>
    <w:rsid w:val="001A4D30"/>
    <w:rsid w:val="001A5597"/>
    <w:rsid w:val="001A57FC"/>
    <w:rsid w:val="001A5E82"/>
    <w:rsid w:val="001A6485"/>
    <w:rsid w:val="001A78E6"/>
    <w:rsid w:val="001B7EEE"/>
    <w:rsid w:val="001C0F30"/>
    <w:rsid w:val="001C3BAA"/>
    <w:rsid w:val="001D1261"/>
    <w:rsid w:val="001D1F91"/>
    <w:rsid w:val="001D3E06"/>
    <w:rsid w:val="001D4EB4"/>
    <w:rsid w:val="001D5A04"/>
    <w:rsid w:val="001D61FF"/>
    <w:rsid w:val="001E0020"/>
    <w:rsid w:val="001E04E3"/>
    <w:rsid w:val="001E0E50"/>
    <w:rsid w:val="001E28AF"/>
    <w:rsid w:val="001E2F25"/>
    <w:rsid w:val="001E630D"/>
    <w:rsid w:val="001F1175"/>
    <w:rsid w:val="001F269A"/>
    <w:rsid w:val="001F458C"/>
    <w:rsid w:val="001F4BBF"/>
    <w:rsid w:val="001F4D18"/>
    <w:rsid w:val="001F543A"/>
    <w:rsid w:val="001F576F"/>
    <w:rsid w:val="001F5BD7"/>
    <w:rsid w:val="001F68B8"/>
    <w:rsid w:val="001F6D58"/>
    <w:rsid w:val="001F78CE"/>
    <w:rsid w:val="002014D6"/>
    <w:rsid w:val="002020C0"/>
    <w:rsid w:val="002026E9"/>
    <w:rsid w:val="00217798"/>
    <w:rsid w:val="00217AF8"/>
    <w:rsid w:val="00217C4E"/>
    <w:rsid w:val="00217FA8"/>
    <w:rsid w:val="00220030"/>
    <w:rsid w:val="00222741"/>
    <w:rsid w:val="00222970"/>
    <w:rsid w:val="00224258"/>
    <w:rsid w:val="002267D9"/>
    <w:rsid w:val="00226D0C"/>
    <w:rsid w:val="002270F2"/>
    <w:rsid w:val="00227A5E"/>
    <w:rsid w:val="00230EA6"/>
    <w:rsid w:val="00231166"/>
    <w:rsid w:val="00232532"/>
    <w:rsid w:val="00232823"/>
    <w:rsid w:val="00232E13"/>
    <w:rsid w:val="00234764"/>
    <w:rsid w:val="00234CEF"/>
    <w:rsid w:val="00234EB2"/>
    <w:rsid w:val="00234F3B"/>
    <w:rsid w:val="00235730"/>
    <w:rsid w:val="00235A00"/>
    <w:rsid w:val="00240411"/>
    <w:rsid w:val="0024145F"/>
    <w:rsid w:val="00241EF4"/>
    <w:rsid w:val="00242B7A"/>
    <w:rsid w:val="002457F2"/>
    <w:rsid w:val="0024729F"/>
    <w:rsid w:val="00250661"/>
    <w:rsid w:val="0025265F"/>
    <w:rsid w:val="0025610A"/>
    <w:rsid w:val="002562F5"/>
    <w:rsid w:val="00260441"/>
    <w:rsid w:val="00261303"/>
    <w:rsid w:val="002627EC"/>
    <w:rsid w:val="00263676"/>
    <w:rsid w:val="002641A1"/>
    <w:rsid w:val="00265B58"/>
    <w:rsid w:val="0026637D"/>
    <w:rsid w:val="00266586"/>
    <w:rsid w:val="002665AC"/>
    <w:rsid w:val="002704FD"/>
    <w:rsid w:val="00270A06"/>
    <w:rsid w:val="00271CC5"/>
    <w:rsid w:val="00272868"/>
    <w:rsid w:val="00272A55"/>
    <w:rsid w:val="002744E0"/>
    <w:rsid w:val="002777F3"/>
    <w:rsid w:val="00277BA7"/>
    <w:rsid w:val="00280D7C"/>
    <w:rsid w:val="00282A8B"/>
    <w:rsid w:val="0028629A"/>
    <w:rsid w:val="00290E34"/>
    <w:rsid w:val="0029390A"/>
    <w:rsid w:val="00295E0A"/>
    <w:rsid w:val="00296A68"/>
    <w:rsid w:val="00297E8C"/>
    <w:rsid w:val="002A0AE0"/>
    <w:rsid w:val="002A6481"/>
    <w:rsid w:val="002A66E6"/>
    <w:rsid w:val="002A6827"/>
    <w:rsid w:val="002B3074"/>
    <w:rsid w:val="002B4182"/>
    <w:rsid w:val="002C0EAC"/>
    <w:rsid w:val="002C144B"/>
    <w:rsid w:val="002C2043"/>
    <w:rsid w:val="002C3B76"/>
    <w:rsid w:val="002C47E2"/>
    <w:rsid w:val="002C5263"/>
    <w:rsid w:val="002C7267"/>
    <w:rsid w:val="002C7606"/>
    <w:rsid w:val="002C7E62"/>
    <w:rsid w:val="002D1388"/>
    <w:rsid w:val="002D1EBC"/>
    <w:rsid w:val="002D2701"/>
    <w:rsid w:val="002D3293"/>
    <w:rsid w:val="002D4CAF"/>
    <w:rsid w:val="002D722F"/>
    <w:rsid w:val="002D7EE1"/>
    <w:rsid w:val="002D7F8F"/>
    <w:rsid w:val="002E1326"/>
    <w:rsid w:val="002E29CF"/>
    <w:rsid w:val="002E2C4F"/>
    <w:rsid w:val="002E439E"/>
    <w:rsid w:val="002E48B8"/>
    <w:rsid w:val="002E4D0F"/>
    <w:rsid w:val="002E5A9A"/>
    <w:rsid w:val="002E7C13"/>
    <w:rsid w:val="002F0DAF"/>
    <w:rsid w:val="002F30C4"/>
    <w:rsid w:val="002F4805"/>
    <w:rsid w:val="002F6E3B"/>
    <w:rsid w:val="00300318"/>
    <w:rsid w:val="00300841"/>
    <w:rsid w:val="003016D0"/>
    <w:rsid w:val="00301976"/>
    <w:rsid w:val="00301DD5"/>
    <w:rsid w:val="00303C98"/>
    <w:rsid w:val="00304F80"/>
    <w:rsid w:val="0030509B"/>
    <w:rsid w:val="00305FD4"/>
    <w:rsid w:val="003063CF"/>
    <w:rsid w:val="00306CC5"/>
    <w:rsid w:val="003070F8"/>
    <w:rsid w:val="0031058C"/>
    <w:rsid w:val="00321274"/>
    <w:rsid w:val="00323716"/>
    <w:rsid w:val="003309F6"/>
    <w:rsid w:val="003342EA"/>
    <w:rsid w:val="00337A79"/>
    <w:rsid w:val="00344E91"/>
    <w:rsid w:val="0034521C"/>
    <w:rsid w:val="00345D70"/>
    <w:rsid w:val="00346DAA"/>
    <w:rsid w:val="00347D8B"/>
    <w:rsid w:val="00350E60"/>
    <w:rsid w:val="00357344"/>
    <w:rsid w:val="00360122"/>
    <w:rsid w:val="00360752"/>
    <w:rsid w:val="003621A9"/>
    <w:rsid w:val="00363342"/>
    <w:rsid w:val="00363D98"/>
    <w:rsid w:val="0036424B"/>
    <w:rsid w:val="00364A49"/>
    <w:rsid w:val="00370615"/>
    <w:rsid w:val="00370BBB"/>
    <w:rsid w:val="00372EC6"/>
    <w:rsid w:val="00372ED0"/>
    <w:rsid w:val="00374448"/>
    <w:rsid w:val="00376036"/>
    <w:rsid w:val="0037667E"/>
    <w:rsid w:val="00381EC9"/>
    <w:rsid w:val="00383709"/>
    <w:rsid w:val="0038387C"/>
    <w:rsid w:val="00385992"/>
    <w:rsid w:val="0039037D"/>
    <w:rsid w:val="00391453"/>
    <w:rsid w:val="003921A0"/>
    <w:rsid w:val="003A1C97"/>
    <w:rsid w:val="003A5A03"/>
    <w:rsid w:val="003A6036"/>
    <w:rsid w:val="003A68EC"/>
    <w:rsid w:val="003B2BB8"/>
    <w:rsid w:val="003B3084"/>
    <w:rsid w:val="003B4A5A"/>
    <w:rsid w:val="003B4C68"/>
    <w:rsid w:val="003B6830"/>
    <w:rsid w:val="003C0809"/>
    <w:rsid w:val="003C19B0"/>
    <w:rsid w:val="003C213D"/>
    <w:rsid w:val="003C7330"/>
    <w:rsid w:val="003D34FF"/>
    <w:rsid w:val="003D4076"/>
    <w:rsid w:val="003D4D8A"/>
    <w:rsid w:val="003D662D"/>
    <w:rsid w:val="003D79F0"/>
    <w:rsid w:val="003D7A95"/>
    <w:rsid w:val="003E181D"/>
    <w:rsid w:val="003E3CFB"/>
    <w:rsid w:val="003E3D6A"/>
    <w:rsid w:val="003E50DA"/>
    <w:rsid w:val="003E5EE4"/>
    <w:rsid w:val="003E6553"/>
    <w:rsid w:val="003E7B90"/>
    <w:rsid w:val="003F191B"/>
    <w:rsid w:val="003F2BC1"/>
    <w:rsid w:val="003F37D2"/>
    <w:rsid w:val="003F707D"/>
    <w:rsid w:val="003F7899"/>
    <w:rsid w:val="0040047A"/>
    <w:rsid w:val="00400CEF"/>
    <w:rsid w:val="004055EB"/>
    <w:rsid w:val="0040722C"/>
    <w:rsid w:val="004076A5"/>
    <w:rsid w:val="00410856"/>
    <w:rsid w:val="00412479"/>
    <w:rsid w:val="004125C3"/>
    <w:rsid w:val="00412BE7"/>
    <w:rsid w:val="004139D1"/>
    <w:rsid w:val="0041461C"/>
    <w:rsid w:val="00414768"/>
    <w:rsid w:val="00414820"/>
    <w:rsid w:val="00417B02"/>
    <w:rsid w:val="00417C4C"/>
    <w:rsid w:val="004247CD"/>
    <w:rsid w:val="00424DAF"/>
    <w:rsid w:val="004313F8"/>
    <w:rsid w:val="0043466E"/>
    <w:rsid w:val="00436F0D"/>
    <w:rsid w:val="004371C2"/>
    <w:rsid w:val="00440A4F"/>
    <w:rsid w:val="00440EFA"/>
    <w:rsid w:val="004437C7"/>
    <w:rsid w:val="00443D12"/>
    <w:rsid w:val="00445A93"/>
    <w:rsid w:val="004464B3"/>
    <w:rsid w:val="00446878"/>
    <w:rsid w:val="00450DC6"/>
    <w:rsid w:val="00451864"/>
    <w:rsid w:val="00452EFE"/>
    <w:rsid w:val="004547A3"/>
    <w:rsid w:val="00454F16"/>
    <w:rsid w:val="00462468"/>
    <w:rsid w:val="0046477F"/>
    <w:rsid w:val="00464F7D"/>
    <w:rsid w:val="00465330"/>
    <w:rsid w:val="00471D44"/>
    <w:rsid w:val="004763F5"/>
    <w:rsid w:val="00482780"/>
    <w:rsid w:val="0048295E"/>
    <w:rsid w:val="00486179"/>
    <w:rsid w:val="0048651E"/>
    <w:rsid w:val="0048767B"/>
    <w:rsid w:val="004906AD"/>
    <w:rsid w:val="00493898"/>
    <w:rsid w:val="004942B5"/>
    <w:rsid w:val="004965CA"/>
    <w:rsid w:val="00496908"/>
    <w:rsid w:val="00497DE7"/>
    <w:rsid w:val="004A0FA7"/>
    <w:rsid w:val="004A1AF0"/>
    <w:rsid w:val="004A48F5"/>
    <w:rsid w:val="004A586A"/>
    <w:rsid w:val="004A764B"/>
    <w:rsid w:val="004A7795"/>
    <w:rsid w:val="004B0132"/>
    <w:rsid w:val="004B16AF"/>
    <w:rsid w:val="004B30C8"/>
    <w:rsid w:val="004B4387"/>
    <w:rsid w:val="004B4ED0"/>
    <w:rsid w:val="004B54CA"/>
    <w:rsid w:val="004B62F3"/>
    <w:rsid w:val="004B64A5"/>
    <w:rsid w:val="004B67E5"/>
    <w:rsid w:val="004C0BC8"/>
    <w:rsid w:val="004C115D"/>
    <w:rsid w:val="004C1EBB"/>
    <w:rsid w:val="004C2320"/>
    <w:rsid w:val="004C2971"/>
    <w:rsid w:val="004C2CF5"/>
    <w:rsid w:val="004C3287"/>
    <w:rsid w:val="004C3849"/>
    <w:rsid w:val="004C4DCC"/>
    <w:rsid w:val="004C5642"/>
    <w:rsid w:val="004C7800"/>
    <w:rsid w:val="004D0B33"/>
    <w:rsid w:val="004D2115"/>
    <w:rsid w:val="004D27DE"/>
    <w:rsid w:val="004D3DF1"/>
    <w:rsid w:val="004D3EA8"/>
    <w:rsid w:val="004D52C2"/>
    <w:rsid w:val="004D554D"/>
    <w:rsid w:val="004D5C9D"/>
    <w:rsid w:val="004D65C8"/>
    <w:rsid w:val="004E1448"/>
    <w:rsid w:val="004E1520"/>
    <w:rsid w:val="004E1580"/>
    <w:rsid w:val="004E3523"/>
    <w:rsid w:val="004E4AD6"/>
    <w:rsid w:val="004E4F0E"/>
    <w:rsid w:val="004E5CBF"/>
    <w:rsid w:val="004E6598"/>
    <w:rsid w:val="004F1551"/>
    <w:rsid w:val="004F15F4"/>
    <w:rsid w:val="004F282C"/>
    <w:rsid w:val="004F6FEB"/>
    <w:rsid w:val="004F7A26"/>
    <w:rsid w:val="00502280"/>
    <w:rsid w:val="00503B69"/>
    <w:rsid w:val="00506D6F"/>
    <w:rsid w:val="00510B0D"/>
    <w:rsid w:val="00511651"/>
    <w:rsid w:val="00512B99"/>
    <w:rsid w:val="00513F12"/>
    <w:rsid w:val="005151A3"/>
    <w:rsid w:val="00516095"/>
    <w:rsid w:val="00516959"/>
    <w:rsid w:val="00516DC0"/>
    <w:rsid w:val="0051736C"/>
    <w:rsid w:val="005174FF"/>
    <w:rsid w:val="005206A9"/>
    <w:rsid w:val="005218BF"/>
    <w:rsid w:val="00524B4F"/>
    <w:rsid w:val="005314DA"/>
    <w:rsid w:val="00533DC7"/>
    <w:rsid w:val="00534E10"/>
    <w:rsid w:val="00536BE4"/>
    <w:rsid w:val="00536F8B"/>
    <w:rsid w:val="0053793E"/>
    <w:rsid w:val="005423A3"/>
    <w:rsid w:val="00543A5D"/>
    <w:rsid w:val="00543ED1"/>
    <w:rsid w:val="00543F97"/>
    <w:rsid w:val="00550B51"/>
    <w:rsid w:val="00551C4E"/>
    <w:rsid w:val="00552907"/>
    <w:rsid w:val="0055325E"/>
    <w:rsid w:val="00554CFD"/>
    <w:rsid w:val="00556CFD"/>
    <w:rsid w:val="00557A61"/>
    <w:rsid w:val="00560707"/>
    <w:rsid w:val="005609AD"/>
    <w:rsid w:val="0056490F"/>
    <w:rsid w:val="00564BF4"/>
    <w:rsid w:val="00565761"/>
    <w:rsid w:val="00566699"/>
    <w:rsid w:val="00570037"/>
    <w:rsid w:val="00572320"/>
    <w:rsid w:val="00572429"/>
    <w:rsid w:val="005724B4"/>
    <w:rsid w:val="005724E1"/>
    <w:rsid w:val="005735B1"/>
    <w:rsid w:val="00573603"/>
    <w:rsid w:val="00573D28"/>
    <w:rsid w:val="00573EE3"/>
    <w:rsid w:val="00577657"/>
    <w:rsid w:val="0058106E"/>
    <w:rsid w:val="005812EB"/>
    <w:rsid w:val="00582638"/>
    <w:rsid w:val="005837F8"/>
    <w:rsid w:val="00583806"/>
    <w:rsid w:val="00583F46"/>
    <w:rsid w:val="0058607C"/>
    <w:rsid w:val="005862FB"/>
    <w:rsid w:val="00586A92"/>
    <w:rsid w:val="00587203"/>
    <w:rsid w:val="005961AB"/>
    <w:rsid w:val="00597DB0"/>
    <w:rsid w:val="005A0090"/>
    <w:rsid w:val="005A1636"/>
    <w:rsid w:val="005A3145"/>
    <w:rsid w:val="005A46E9"/>
    <w:rsid w:val="005A7316"/>
    <w:rsid w:val="005B11F3"/>
    <w:rsid w:val="005B21FE"/>
    <w:rsid w:val="005B290B"/>
    <w:rsid w:val="005B2EFF"/>
    <w:rsid w:val="005B404F"/>
    <w:rsid w:val="005B43D5"/>
    <w:rsid w:val="005B54F7"/>
    <w:rsid w:val="005B5888"/>
    <w:rsid w:val="005B6BE1"/>
    <w:rsid w:val="005B7F16"/>
    <w:rsid w:val="005C0B6C"/>
    <w:rsid w:val="005C2923"/>
    <w:rsid w:val="005C3AA9"/>
    <w:rsid w:val="005C430A"/>
    <w:rsid w:val="005C515D"/>
    <w:rsid w:val="005D2FF4"/>
    <w:rsid w:val="005D7F71"/>
    <w:rsid w:val="005E2ED7"/>
    <w:rsid w:val="005E3005"/>
    <w:rsid w:val="005E4244"/>
    <w:rsid w:val="005E67D6"/>
    <w:rsid w:val="005E6AE6"/>
    <w:rsid w:val="005E789A"/>
    <w:rsid w:val="005F1AAB"/>
    <w:rsid w:val="005F318E"/>
    <w:rsid w:val="005F3A58"/>
    <w:rsid w:val="005F6644"/>
    <w:rsid w:val="005F6FAB"/>
    <w:rsid w:val="005F6FE2"/>
    <w:rsid w:val="005F7972"/>
    <w:rsid w:val="00600507"/>
    <w:rsid w:val="00604071"/>
    <w:rsid w:val="00604D20"/>
    <w:rsid w:val="00606544"/>
    <w:rsid w:val="00607E3B"/>
    <w:rsid w:val="006117A5"/>
    <w:rsid w:val="00611949"/>
    <w:rsid w:val="00612A5D"/>
    <w:rsid w:val="0061344D"/>
    <w:rsid w:val="006134F6"/>
    <w:rsid w:val="00613738"/>
    <w:rsid w:val="0061399D"/>
    <w:rsid w:val="006148D5"/>
    <w:rsid w:val="00615581"/>
    <w:rsid w:val="00615D0F"/>
    <w:rsid w:val="00621A9F"/>
    <w:rsid w:val="0062325D"/>
    <w:rsid w:val="00623FBC"/>
    <w:rsid w:val="006248F1"/>
    <w:rsid w:val="00624A0F"/>
    <w:rsid w:val="00626D9F"/>
    <w:rsid w:val="0062782B"/>
    <w:rsid w:val="00631C2B"/>
    <w:rsid w:val="0063225D"/>
    <w:rsid w:val="0063320A"/>
    <w:rsid w:val="00636BF3"/>
    <w:rsid w:val="006371DB"/>
    <w:rsid w:val="00640A32"/>
    <w:rsid w:val="00641C07"/>
    <w:rsid w:val="00642482"/>
    <w:rsid w:val="006435F2"/>
    <w:rsid w:val="006438A6"/>
    <w:rsid w:val="00645FD7"/>
    <w:rsid w:val="00647B5B"/>
    <w:rsid w:val="0065096D"/>
    <w:rsid w:val="00650F8F"/>
    <w:rsid w:val="0065261B"/>
    <w:rsid w:val="00653368"/>
    <w:rsid w:val="006533CC"/>
    <w:rsid w:val="00653B50"/>
    <w:rsid w:val="00653E57"/>
    <w:rsid w:val="00653F46"/>
    <w:rsid w:val="00654114"/>
    <w:rsid w:val="00656661"/>
    <w:rsid w:val="0065683E"/>
    <w:rsid w:val="00657669"/>
    <w:rsid w:val="00660435"/>
    <w:rsid w:val="006608EF"/>
    <w:rsid w:val="0066130E"/>
    <w:rsid w:val="0066169E"/>
    <w:rsid w:val="00662F63"/>
    <w:rsid w:val="006665D0"/>
    <w:rsid w:val="006670DB"/>
    <w:rsid w:val="006674EF"/>
    <w:rsid w:val="00667978"/>
    <w:rsid w:val="00671CC5"/>
    <w:rsid w:val="00672BE3"/>
    <w:rsid w:val="00674F98"/>
    <w:rsid w:val="00675998"/>
    <w:rsid w:val="00675F0D"/>
    <w:rsid w:val="00677E48"/>
    <w:rsid w:val="006811CE"/>
    <w:rsid w:val="0068271B"/>
    <w:rsid w:val="00687795"/>
    <w:rsid w:val="00690AAE"/>
    <w:rsid w:val="0069431E"/>
    <w:rsid w:val="00694F74"/>
    <w:rsid w:val="00695965"/>
    <w:rsid w:val="006960BE"/>
    <w:rsid w:val="0069755C"/>
    <w:rsid w:val="006A2CCF"/>
    <w:rsid w:val="006A3F7F"/>
    <w:rsid w:val="006A4B20"/>
    <w:rsid w:val="006A4CE7"/>
    <w:rsid w:val="006A4E20"/>
    <w:rsid w:val="006A53A3"/>
    <w:rsid w:val="006A60DA"/>
    <w:rsid w:val="006A7270"/>
    <w:rsid w:val="006A7452"/>
    <w:rsid w:val="006B1BA1"/>
    <w:rsid w:val="006B23C0"/>
    <w:rsid w:val="006B284D"/>
    <w:rsid w:val="006B7A29"/>
    <w:rsid w:val="006B7DF9"/>
    <w:rsid w:val="006C0897"/>
    <w:rsid w:val="006C08CC"/>
    <w:rsid w:val="006C254A"/>
    <w:rsid w:val="006C27D1"/>
    <w:rsid w:val="006C3A4B"/>
    <w:rsid w:val="006C40EE"/>
    <w:rsid w:val="006C6C3F"/>
    <w:rsid w:val="006C7B7F"/>
    <w:rsid w:val="006C7DC6"/>
    <w:rsid w:val="006D0170"/>
    <w:rsid w:val="006D12B3"/>
    <w:rsid w:val="006D2CF9"/>
    <w:rsid w:val="006D2D74"/>
    <w:rsid w:val="006D3B70"/>
    <w:rsid w:val="006D4FEE"/>
    <w:rsid w:val="006E25F1"/>
    <w:rsid w:val="006E3832"/>
    <w:rsid w:val="006E4094"/>
    <w:rsid w:val="006E52BD"/>
    <w:rsid w:val="006E6A84"/>
    <w:rsid w:val="006F1DB4"/>
    <w:rsid w:val="006F2163"/>
    <w:rsid w:val="006F3EB6"/>
    <w:rsid w:val="00701163"/>
    <w:rsid w:val="00702903"/>
    <w:rsid w:val="00702E1A"/>
    <w:rsid w:val="00703545"/>
    <w:rsid w:val="00710B20"/>
    <w:rsid w:val="00711375"/>
    <w:rsid w:val="00711D5F"/>
    <w:rsid w:val="00712004"/>
    <w:rsid w:val="0071275D"/>
    <w:rsid w:val="007128E9"/>
    <w:rsid w:val="007139BF"/>
    <w:rsid w:val="00713F6F"/>
    <w:rsid w:val="007140BA"/>
    <w:rsid w:val="00715BC2"/>
    <w:rsid w:val="00716B05"/>
    <w:rsid w:val="00717B35"/>
    <w:rsid w:val="00726697"/>
    <w:rsid w:val="007301A8"/>
    <w:rsid w:val="00730C70"/>
    <w:rsid w:val="0073226E"/>
    <w:rsid w:val="00732C4F"/>
    <w:rsid w:val="0073509E"/>
    <w:rsid w:val="007353D4"/>
    <w:rsid w:val="0073640A"/>
    <w:rsid w:val="00737805"/>
    <w:rsid w:val="00742A81"/>
    <w:rsid w:val="007437A1"/>
    <w:rsid w:val="00743948"/>
    <w:rsid w:val="00744B54"/>
    <w:rsid w:val="00745693"/>
    <w:rsid w:val="00745D8A"/>
    <w:rsid w:val="0074719B"/>
    <w:rsid w:val="00747516"/>
    <w:rsid w:val="007507BE"/>
    <w:rsid w:val="00750D99"/>
    <w:rsid w:val="007519C5"/>
    <w:rsid w:val="00751BAA"/>
    <w:rsid w:val="0075282A"/>
    <w:rsid w:val="007536F4"/>
    <w:rsid w:val="00753BF7"/>
    <w:rsid w:val="007555E9"/>
    <w:rsid w:val="00755AC4"/>
    <w:rsid w:val="007561FF"/>
    <w:rsid w:val="00756B3D"/>
    <w:rsid w:val="00756C21"/>
    <w:rsid w:val="00760A0C"/>
    <w:rsid w:val="00762A5C"/>
    <w:rsid w:val="00763608"/>
    <w:rsid w:val="007648DC"/>
    <w:rsid w:val="0076613E"/>
    <w:rsid w:val="00767164"/>
    <w:rsid w:val="00770C5D"/>
    <w:rsid w:val="007720CF"/>
    <w:rsid w:val="00772BCC"/>
    <w:rsid w:val="00773C58"/>
    <w:rsid w:val="00775E8E"/>
    <w:rsid w:val="00782266"/>
    <w:rsid w:val="00784785"/>
    <w:rsid w:val="00785261"/>
    <w:rsid w:val="00787990"/>
    <w:rsid w:val="007879C7"/>
    <w:rsid w:val="007908AC"/>
    <w:rsid w:val="00790C55"/>
    <w:rsid w:val="007921B0"/>
    <w:rsid w:val="007936B6"/>
    <w:rsid w:val="00793F62"/>
    <w:rsid w:val="007A0E2E"/>
    <w:rsid w:val="007A1278"/>
    <w:rsid w:val="007A131F"/>
    <w:rsid w:val="007A1D3B"/>
    <w:rsid w:val="007A1E00"/>
    <w:rsid w:val="007B0256"/>
    <w:rsid w:val="007B07BB"/>
    <w:rsid w:val="007B0F9F"/>
    <w:rsid w:val="007B1D46"/>
    <w:rsid w:val="007B22B0"/>
    <w:rsid w:val="007B2565"/>
    <w:rsid w:val="007B2BB1"/>
    <w:rsid w:val="007B2CA8"/>
    <w:rsid w:val="007B5E6E"/>
    <w:rsid w:val="007B723B"/>
    <w:rsid w:val="007B7F69"/>
    <w:rsid w:val="007C0283"/>
    <w:rsid w:val="007C3192"/>
    <w:rsid w:val="007C5139"/>
    <w:rsid w:val="007C7956"/>
    <w:rsid w:val="007D01FD"/>
    <w:rsid w:val="007D0739"/>
    <w:rsid w:val="007D07A3"/>
    <w:rsid w:val="007D39F8"/>
    <w:rsid w:val="007D3A9C"/>
    <w:rsid w:val="007D3C7F"/>
    <w:rsid w:val="007D591D"/>
    <w:rsid w:val="007D5ED1"/>
    <w:rsid w:val="007E0077"/>
    <w:rsid w:val="007E0253"/>
    <w:rsid w:val="007E0B26"/>
    <w:rsid w:val="007E4A2B"/>
    <w:rsid w:val="007E4B4F"/>
    <w:rsid w:val="007E5478"/>
    <w:rsid w:val="007F0518"/>
    <w:rsid w:val="007F31C1"/>
    <w:rsid w:val="007F328C"/>
    <w:rsid w:val="007F4969"/>
    <w:rsid w:val="007F49DF"/>
    <w:rsid w:val="007F5327"/>
    <w:rsid w:val="007F5A5A"/>
    <w:rsid w:val="007F6F29"/>
    <w:rsid w:val="007F7178"/>
    <w:rsid w:val="00803B9E"/>
    <w:rsid w:val="008042FE"/>
    <w:rsid w:val="0080711E"/>
    <w:rsid w:val="008107C4"/>
    <w:rsid w:val="0081129A"/>
    <w:rsid w:val="008125A9"/>
    <w:rsid w:val="00813DC0"/>
    <w:rsid w:val="0081484A"/>
    <w:rsid w:val="00821AAA"/>
    <w:rsid w:val="00823F6E"/>
    <w:rsid w:val="00825836"/>
    <w:rsid w:val="00826225"/>
    <w:rsid w:val="00827694"/>
    <w:rsid w:val="00834051"/>
    <w:rsid w:val="00835088"/>
    <w:rsid w:val="0083640D"/>
    <w:rsid w:val="008366B2"/>
    <w:rsid w:val="0083792F"/>
    <w:rsid w:val="00840303"/>
    <w:rsid w:val="00850245"/>
    <w:rsid w:val="00852734"/>
    <w:rsid w:val="008530DF"/>
    <w:rsid w:val="008537AB"/>
    <w:rsid w:val="00853FDF"/>
    <w:rsid w:val="00857567"/>
    <w:rsid w:val="00857A8D"/>
    <w:rsid w:val="00861B18"/>
    <w:rsid w:val="0086320B"/>
    <w:rsid w:val="00864807"/>
    <w:rsid w:val="00864BFD"/>
    <w:rsid w:val="00865090"/>
    <w:rsid w:val="008714F4"/>
    <w:rsid w:val="00873BEB"/>
    <w:rsid w:val="008747D9"/>
    <w:rsid w:val="008802B6"/>
    <w:rsid w:val="0088144C"/>
    <w:rsid w:val="008816EA"/>
    <w:rsid w:val="00883103"/>
    <w:rsid w:val="00885119"/>
    <w:rsid w:val="00885A9B"/>
    <w:rsid w:val="00886101"/>
    <w:rsid w:val="00886AC7"/>
    <w:rsid w:val="0089281D"/>
    <w:rsid w:val="008936BD"/>
    <w:rsid w:val="00893BD8"/>
    <w:rsid w:val="00893C3A"/>
    <w:rsid w:val="00893F07"/>
    <w:rsid w:val="008943F1"/>
    <w:rsid w:val="00894804"/>
    <w:rsid w:val="008A0C1C"/>
    <w:rsid w:val="008A2A1F"/>
    <w:rsid w:val="008A60A9"/>
    <w:rsid w:val="008A712E"/>
    <w:rsid w:val="008A77FB"/>
    <w:rsid w:val="008A7D59"/>
    <w:rsid w:val="008B3C5F"/>
    <w:rsid w:val="008B3FF3"/>
    <w:rsid w:val="008B4A77"/>
    <w:rsid w:val="008B63F4"/>
    <w:rsid w:val="008B7054"/>
    <w:rsid w:val="008B73CD"/>
    <w:rsid w:val="008C1D14"/>
    <w:rsid w:val="008C23B3"/>
    <w:rsid w:val="008C241B"/>
    <w:rsid w:val="008C597A"/>
    <w:rsid w:val="008C7947"/>
    <w:rsid w:val="008D0817"/>
    <w:rsid w:val="008D1A97"/>
    <w:rsid w:val="008D2313"/>
    <w:rsid w:val="008D2F4A"/>
    <w:rsid w:val="008D3A21"/>
    <w:rsid w:val="008D4C93"/>
    <w:rsid w:val="008E4580"/>
    <w:rsid w:val="008E5BC4"/>
    <w:rsid w:val="008E5E54"/>
    <w:rsid w:val="008E6149"/>
    <w:rsid w:val="008F48AF"/>
    <w:rsid w:val="008F57C2"/>
    <w:rsid w:val="008F69B7"/>
    <w:rsid w:val="00900A8D"/>
    <w:rsid w:val="00900AA0"/>
    <w:rsid w:val="00906206"/>
    <w:rsid w:val="00910513"/>
    <w:rsid w:val="00910B3C"/>
    <w:rsid w:val="009111DC"/>
    <w:rsid w:val="0091471A"/>
    <w:rsid w:val="009155D4"/>
    <w:rsid w:val="00921786"/>
    <w:rsid w:val="00921807"/>
    <w:rsid w:val="009225F0"/>
    <w:rsid w:val="0092307D"/>
    <w:rsid w:val="00924B0E"/>
    <w:rsid w:val="00925AC8"/>
    <w:rsid w:val="0092688A"/>
    <w:rsid w:val="00926C37"/>
    <w:rsid w:val="00926CF6"/>
    <w:rsid w:val="00927D31"/>
    <w:rsid w:val="009308AE"/>
    <w:rsid w:val="00930D1A"/>
    <w:rsid w:val="00930D23"/>
    <w:rsid w:val="00931A08"/>
    <w:rsid w:val="009323D7"/>
    <w:rsid w:val="00933708"/>
    <w:rsid w:val="00933FA1"/>
    <w:rsid w:val="0093622F"/>
    <w:rsid w:val="00936A68"/>
    <w:rsid w:val="009372DB"/>
    <w:rsid w:val="0093791A"/>
    <w:rsid w:val="00937B19"/>
    <w:rsid w:val="00940F21"/>
    <w:rsid w:val="0094427D"/>
    <w:rsid w:val="00944375"/>
    <w:rsid w:val="00944A9F"/>
    <w:rsid w:val="00944D0E"/>
    <w:rsid w:val="00945984"/>
    <w:rsid w:val="00945FA7"/>
    <w:rsid w:val="00946171"/>
    <w:rsid w:val="00950D37"/>
    <w:rsid w:val="0095564B"/>
    <w:rsid w:val="00960E31"/>
    <w:rsid w:val="00960FA5"/>
    <w:rsid w:val="009703F4"/>
    <w:rsid w:val="00970665"/>
    <w:rsid w:val="0097150C"/>
    <w:rsid w:val="00971593"/>
    <w:rsid w:val="00971D39"/>
    <w:rsid w:val="00973313"/>
    <w:rsid w:val="009821EF"/>
    <w:rsid w:val="00982A7C"/>
    <w:rsid w:val="00982F6B"/>
    <w:rsid w:val="0098354E"/>
    <w:rsid w:val="00983BBD"/>
    <w:rsid w:val="00984566"/>
    <w:rsid w:val="00984C8C"/>
    <w:rsid w:val="00985136"/>
    <w:rsid w:val="009862E4"/>
    <w:rsid w:val="00986595"/>
    <w:rsid w:val="00990EBB"/>
    <w:rsid w:val="00991D33"/>
    <w:rsid w:val="00991EEE"/>
    <w:rsid w:val="00992332"/>
    <w:rsid w:val="0099318C"/>
    <w:rsid w:val="0099710A"/>
    <w:rsid w:val="009A05B7"/>
    <w:rsid w:val="009A2101"/>
    <w:rsid w:val="009A21C7"/>
    <w:rsid w:val="009A348C"/>
    <w:rsid w:val="009A4579"/>
    <w:rsid w:val="009A55E2"/>
    <w:rsid w:val="009B01E4"/>
    <w:rsid w:val="009B2EC9"/>
    <w:rsid w:val="009B32E6"/>
    <w:rsid w:val="009B66AF"/>
    <w:rsid w:val="009B69FE"/>
    <w:rsid w:val="009B7AA1"/>
    <w:rsid w:val="009C0C9E"/>
    <w:rsid w:val="009C54DF"/>
    <w:rsid w:val="009D0F34"/>
    <w:rsid w:val="009D1500"/>
    <w:rsid w:val="009D26C1"/>
    <w:rsid w:val="009D329D"/>
    <w:rsid w:val="009D5457"/>
    <w:rsid w:val="009D7D28"/>
    <w:rsid w:val="009E10B3"/>
    <w:rsid w:val="009E5550"/>
    <w:rsid w:val="009E7619"/>
    <w:rsid w:val="009F16DE"/>
    <w:rsid w:val="00A019C7"/>
    <w:rsid w:val="00A01A08"/>
    <w:rsid w:val="00A01FF8"/>
    <w:rsid w:val="00A05E02"/>
    <w:rsid w:val="00A07648"/>
    <w:rsid w:val="00A11D28"/>
    <w:rsid w:val="00A2012B"/>
    <w:rsid w:val="00A203A8"/>
    <w:rsid w:val="00A20A1B"/>
    <w:rsid w:val="00A20E3B"/>
    <w:rsid w:val="00A224B2"/>
    <w:rsid w:val="00A2359C"/>
    <w:rsid w:val="00A27D43"/>
    <w:rsid w:val="00A35691"/>
    <w:rsid w:val="00A35CC7"/>
    <w:rsid w:val="00A361BC"/>
    <w:rsid w:val="00A36476"/>
    <w:rsid w:val="00A36D7B"/>
    <w:rsid w:val="00A375FF"/>
    <w:rsid w:val="00A416DE"/>
    <w:rsid w:val="00A43DE4"/>
    <w:rsid w:val="00A4413A"/>
    <w:rsid w:val="00A44F08"/>
    <w:rsid w:val="00A453BC"/>
    <w:rsid w:val="00A45EF2"/>
    <w:rsid w:val="00A47C93"/>
    <w:rsid w:val="00A511D9"/>
    <w:rsid w:val="00A53771"/>
    <w:rsid w:val="00A54688"/>
    <w:rsid w:val="00A547AE"/>
    <w:rsid w:val="00A55710"/>
    <w:rsid w:val="00A56C45"/>
    <w:rsid w:val="00A57A55"/>
    <w:rsid w:val="00A625EE"/>
    <w:rsid w:val="00A637CF"/>
    <w:rsid w:val="00A638C2"/>
    <w:rsid w:val="00A67A2F"/>
    <w:rsid w:val="00A700AC"/>
    <w:rsid w:val="00A74E9A"/>
    <w:rsid w:val="00A7514F"/>
    <w:rsid w:val="00A76738"/>
    <w:rsid w:val="00A76BFC"/>
    <w:rsid w:val="00A7711D"/>
    <w:rsid w:val="00A802D3"/>
    <w:rsid w:val="00A803AB"/>
    <w:rsid w:val="00A814A3"/>
    <w:rsid w:val="00A816FA"/>
    <w:rsid w:val="00A82612"/>
    <w:rsid w:val="00A82C76"/>
    <w:rsid w:val="00A83CA1"/>
    <w:rsid w:val="00A84130"/>
    <w:rsid w:val="00A8523B"/>
    <w:rsid w:val="00A86D5E"/>
    <w:rsid w:val="00A87D84"/>
    <w:rsid w:val="00A90494"/>
    <w:rsid w:val="00A920BC"/>
    <w:rsid w:val="00A923EC"/>
    <w:rsid w:val="00A92571"/>
    <w:rsid w:val="00A931E0"/>
    <w:rsid w:val="00A9496A"/>
    <w:rsid w:val="00A9509C"/>
    <w:rsid w:val="00A954C9"/>
    <w:rsid w:val="00A96851"/>
    <w:rsid w:val="00A97393"/>
    <w:rsid w:val="00A97A9A"/>
    <w:rsid w:val="00AA08B3"/>
    <w:rsid w:val="00AA3660"/>
    <w:rsid w:val="00AA6891"/>
    <w:rsid w:val="00AA6A36"/>
    <w:rsid w:val="00AA73C4"/>
    <w:rsid w:val="00AA7A9D"/>
    <w:rsid w:val="00AB3781"/>
    <w:rsid w:val="00AB387C"/>
    <w:rsid w:val="00AB3DCF"/>
    <w:rsid w:val="00AB6563"/>
    <w:rsid w:val="00AB696A"/>
    <w:rsid w:val="00AB6A74"/>
    <w:rsid w:val="00AB7721"/>
    <w:rsid w:val="00AC1B66"/>
    <w:rsid w:val="00AC1FDE"/>
    <w:rsid w:val="00AC39ED"/>
    <w:rsid w:val="00AC636D"/>
    <w:rsid w:val="00AD0028"/>
    <w:rsid w:val="00AD074A"/>
    <w:rsid w:val="00AD0F32"/>
    <w:rsid w:val="00AD7059"/>
    <w:rsid w:val="00AD7AC9"/>
    <w:rsid w:val="00AE1543"/>
    <w:rsid w:val="00AE193F"/>
    <w:rsid w:val="00AE23FA"/>
    <w:rsid w:val="00AE4E55"/>
    <w:rsid w:val="00AE6248"/>
    <w:rsid w:val="00AE66A1"/>
    <w:rsid w:val="00AF01C7"/>
    <w:rsid w:val="00AF064B"/>
    <w:rsid w:val="00AF2856"/>
    <w:rsid w:val="00AF3B2E"/>
    <w:rsid w:val="00AF63E5"/>
    <w:rsid w:val="00AF7811"/>
    <w:rsid w:val="00B008C6"/>
    <w:rsid w:val="00B03329"/>
    <w:rsid w:val="00B03B73"/>
    <w:rsid w:val="00B03C78"/>
    <w:rsid w:val="00B0529B"/>
    <w:rsid w:val="00B06431"/>
    <w:rsid w:val="00B0668C"/>
    <w:rsid w:val="00B07AE5"/>
    <w:rsid w:val="00B104E6"/>
    <w:rsid w:val="00B10A68"/>
    <w:rsid w:val="00B113C1"/>
    <w:rsid w:val="00B13B15"/>
    <w:rsid w:val="00B14196"/>
    <w:rsid w:val="00B141B9"/>
    <w:rsid w:val="00B14BD8"/>
    <w:rsid w:val="00B174E2"/>
    <w:rsid w:val="00B17F62"/>
    <w:rsid w:val="00B17FC0"/>
    <w:rsid w:val="00B30399"/>
    <w:rsid w:val="00B3285E"/>
    <w:rsid w:val="00B330B8"/>
    <w:rsid w:val="00B333F1"/>
    <w:rsid w:val="00B345BF"/>
    <w:rsid w:val="00B3513B"/>
    <w:rsid w:val="00B358BD"/>
    <w:rsid w:val="00B35E41"/>
    <w:rsid w:val="00B410B3"/>
    <w:rsid w:val="00B4214F"/>
    <w:rsid w:val="00B433AE"/>
    <w:rsid w:val="00B43CAF"/>
    <w:rsid w:val="00B43F0B"/>
    <w:rsid w:val="00B45A02"/>
    <w:rsid w:val="00B45DDF"/>
    <w:rsid w:val="00B473C9"/>
    <w:rsid w:val="00B513A6"/>
    <w:rsid w:val="00B53B34"/>
    <w:rsid w:val="00B5528E"/>
    <w:rsid w:val="00B55530"/>
    <w:rsid w:val="00B5787B"/>
    <w:rsid w:val="00B61238"/>
    <w:rsid w:val="00B6383E"/>
    <w:rsid w:val="00B652F7"/>
    <w:rsid w:val="00B66016"/>
    <w:rsid w:val="00B66593"/>
    <w:rsid w:val="00B66A9B"/>
    <w:rsid w:val="00B66AE1"/>
    <w:rsid w:val="00B6712E"/>
    <w:rsid w:val="00B67FD5"/>
    <w:rsid w:val="00B70189"/>
    <w:rsid w:val="00B715D8"/>
    <w:rsid w:val="00B723B9"/>
    <w:rsid w:val="00B72878"/>
    <w:rsid w:val="00B734B4"/>
    <w:rsid w:val="00B747A0"/>
    <w:rsid w:val="00B74C1A"/>
    <w:rsid w:val="00B752D5"/>
    <w:rsid w:val="00B77091"/>
    <w:rsid w:val="00B7776D"/>
    <w:rsid w:val="00B81312"/>
    <w:rsid w:val="00B825CF"/>
    <w:rsid w:val="00B8323E"/>
    <w:rsid w:val="00B83C84"/>
    <w:rsid w:val="00B86EF6"/>
    <w:rsid w:val="00B90651"/>
    <w:rsid w:val="00B908D4"/>
    <w:rsid w:val="00B92722"/>
    <w:rsid w:val="00B92BA2"/>
    <w:rsid w:val="00B93FC8"/>
    <w:rsid w:val="00B94162"/>
    <w:rsid w:val="00B96544"/>
    <w:rsid w:val="00B9732B"/>
    <w:rsid w:val="00BA2567"/>
    <w:rsid w:val="00BA2DB9"/>
    <w:rsid w:val="00BA4D24"/>
    <w:rsid w:val="00BA7EEF"/>
    <w:rsid w:val="00BB070D"/>
    <w:rsid w:val="00BB1EAC"/>
    <w:rsid w:val="00BB6459"/>
    <w:rsid w:val="00BB6A08"/>
    <w:rsid w:val="00BC3715"/>
    <w:rsid w:val="00BC391C"/>
    <w:rsid w:val="00BC783A"/>
    <w:rsid w:val="00BD1C58"/>
    <w:rsid w:val="00BD2B75"/>
    <w:rsid w:val="00BD3333"/>
    <w:rsid w:val="00BE0145"/>
    <w:rsid w:val="00BE071E"/>
    <w:rsid w:val="00BE38D3"/>
    <w:rsid w:val="00BE3CD6"/>
    <w:rsid w:val="00BE4A3B"/>
    <w:rsid w:val="00BE6E78"/>
    <w:rsid w:val="00BE7148"/>
    <w:rsid w:val="00BF2C74"/>
    <w:rsid w:val="00BF47C9"/>
    <w:rsid w:val="00BF4862"/>
    <w:rsid w:val="00BF4928"/>
    <w:rsid w:val="00BF545B"/>
    <w:rsid w:val="00BF5502"/>
    <w:rsid w:val="00C0068F"/>
    <w:rsid w:val="00C02497"/>
    <w:rsid w:val="00C03344"/>
    <w:rsid w:val="00C03CAA"/>
    <w:rsid w:val="00C03DD3"/>
    <w:rsid w:val="00C04D45"/>
    <w:rsid w:val="00C04EF8"/>
    <w:rsid w:val="00C0543A"/>
    <w:rsid w:val="00C06408"/>
    <w:rsid w:val="00C06CA7"/>
    <w:rsid w:val="00C124F8"/>
    <w:rsid w:val="00C12DF3"/>
    <w:rsid w:val="00C16427"/>
    <w:rsid w:val="00C1700D"/>
    <w:rsid w:val="00C174E2"/>
    <w:rsid w:val="00C22248"/>
    <w:rsid w:val="00C24CE4"/>
    <w:rsid w:val="00C272A2"/>
    <w:rsid w:val="00C32E39"/>
    <w:rsid w:val="00C342FC"/>
    <w:rsid w:val="00C346F8"/>
    <w:rsid w:val="00C3553B"/>
    <w:rsid w:val="00C400C1"/>
    <w:rsid w:val="00C41A19"/>
    <w:rsid w:val="00C41BCD"/>
    <w:rsid w:val="00C42C84"/>
    <w:rsid w:val="00C50523"/>
    <w:rsid w:val="00C52B15"/>
    <w:rsid w:val="00C561FB"/>
    <w:rsid w:val="00C60421"/>
    <w:rsid w:val="00C61A5B"/>
    <w:rsid w:val="00C631C2"/>
    <w:rsid w:val="00C64D41"/>
    <w:rsid w:val="00C661E6"/>
    <w:rsid w:val="00C667F1"/>
    <w:rsid w:val="00C6683B"/>
    <w:rsid w:val="00C67DAC"/>
    <w:rsid w:val="00C70F70"/>
    <w:rsid w:val="00C710F8"/>
    <w:rsid w:val="00C7548E"/>
    <w:rsid w:val="00C825D4"/>
    <w:rsid w:val="00C84B83"/>
    <w:rsid w:val="00C86FF5"/>
    <w:rsid w:val="00C87187"/>
    <w:rsid w:val="00C901BE"/>
    <w:rsid w:val="00C930FD"/>
    <w:rsid w:val="00C94E4D"/>
    <w:rsid w:val="00C97152"/>
    <w:rsid w:val="00C97854"/>
    <w:rsid w:val="00CA0288"/>
    <w:rsid w:val="00CA2110"/>
    <w:rsid w:val="00CA21F4"/>
    <w:rsid w:val="00CA2760"/>
    <w:rsid w:val="00CA3568"/>
    <w:rsid w:val="00CA3B1F"/>
    <w:rsid w:val="00CB0572"/>
    <w:rsid w:val="00CB24AB"/>
    <w:rsid w:val="00CB2E76"/>
    <w:rsid w:val="00CB591C"/>
    <w:rsid w:val="00CB6B8D"/>
    <w:rsid w:val="00CB6EF0"/>
    <w:rsid w:val="00CC069E"/>
    <w:rsid w:val="00CC2E13"/>
    <w:rsid w:val="00CC3463"/>
    <w:rsid w:val="00CC3ABA"/>
    <w:rsid w:val="00CC3CE4"/>
    <w:rsid w:val="00CC533C"/>
    <w:rsid w:val="00CC7C36"/>
    <w:rsid w:val="00CD16C8"/>
    <w:rsid w:val="00CD2EB0"/>
    <w:rsid w:val="00CD5997"/>
    <w:rsid w:val="00CD783C"/>
    <w:rsid w:val="00CE1930"/>
    <w:rsid w:val="00CE41C3"/>
    <w:rsid w:val="00CE47BD"/>
    <w:rsid w:val="00CE5A08"/>
    <w:rsid w:val="00CF2C47"/>
    <w:rsid w:val="00CF4F3F"/>
    <w:rsid w:val="00CF6C6A"/>
    <w:rsid w:val="00CF7E60"/>
    <w:rsid w:val="00D00038"/>
    <w:rsid w:val="00D00611"/>
    <w:rsid w:val="00D00766"/>
    <w:rsid w:val="00D0223C"/>
    <w:rsid w:val="00D0225E"/>
    <w:rsid w:val="00D02DF3"/>
    <w:rsid w:val="00D03790"/>
    <w:rsid w:val="00D063A6"/>
    <w:rsid w:val="00D07DF4"/>
    <w:rsid w:val="00D136D3"/>
    <w:rsid w:val="00D13712"/>
    <w:rsid w:val="00D1375A"/>
    <w:rsid w:val="00D17105"/>
    <w:rsid w:val="00D21236"/>
    <w:rsid w:val="00D2186D"/>
    <w:rsid w:val="00D2415A"/>
    <w:rsid w:val="00D241EF"/>
    <w:rsid w:val="00D24E65"/>
    <w:rsid w:val="00D2685C"/>
    <w:rsid w:val="00D27A70"/>
    <w:rsid w:val="00D30594"/>
    <w:rsid w:val="00D31A62"/>
    <w:rsid w:val="00D3237A"/>
    <w:rsid w:val="00D33034"/>
    <w:rsid w:val="00D33848"/>
    <w:rsid w:val="00D34454"/>
    <w:rsid w:val="00D3462C"/>
    <w:rsid w:val="00D3639C"/>
    <w:rsid w:val="00D40B47"/>
    <w:rsid w:val="00D43CD1"/>
    <w:rsid w:val="00D43D51"/>
    <w:rsid w:val="00D44755"/>
    <w:rsid w:val="00D45B8F"/>
    <w:rsid w:val="00D47289"/>
    <w:rsid w:val="00D474CF"/>
    <w:rsid w:val="00D50EAF"/>
    <w:rsid w:val="00D51680"/>
    <w:rsid w:val="00D51DEF"/>
    <w:rsid w:val="00D540C8"/>
    <w:rsid w:val="00D54375"/>
    <w:rsid w:val="00D57A46"/>
    <w:rsid w:val="00D60D78"/>
    <w:rsid w:val="00D623A3"/>
    <w:rsid w:val="00D625FE"/>
    <w:rsid w:val="00D62D5A"/>
    <w:rsid w:val="00D645E0"/>
    <w:rsid w:val="00D655B2"/>
    <w:rsid w:val="00D65619"/>
    <w:rsid w:val="00D67A5B"/>
    <w:rsid w:val="00D67C71"/>
    <w:rsid w:val="00D67D15"/>
    <w:rsid w:val="00D67DC1"/>
    <w:rsid w:val="00D67E14"/>
    <w:rsid w:val="00D72977"/>
    <w:rsid w:val="00D74908"/>
    <w:rsid w:val="00D74A3B"/>
    <w:rsid w:val="00D755C6"/>
    <w:rsid w:val="00D75B41"/>
    <w:rsid w:val="00D77F68"/>
    <w:rsid w:val="00D80E24"/>
    <w:rsid w:val="00D82E2C"/>
    <w:rsid w:val="00D82EA6"/>
    <w:rsid w:val="00D862DA"/>
    <w:rsid w:val="00D8644A"/>
    <w:rsid w:val="00D86583"/>
    <w:rsid w:val="00D86D6D"/>
    <w:rsid w:val="00D87F81"/>
    <w:rsid w:val="00D90ACC"/>
    <w:rsid w:val="00D92648"/>
    <w:rsid w:val="00D9329C"/>
    <w:rsid w:val="00D94259"/>
    <w:rsid w:val="00D9579E"/>
    <w:rsid w:val="00D9710C"/>
    <w:rsid w:val="00DA0999"/>
    <w:rsid w:val="00DA0D82"/>
    <w:rsid w:val="00DA1667"/>
    <w:rsid w:val="00DA2B9B"/>
    <w:rsid w:val="00DA5838"/>
    <w:rsid w:val="00DA589D"/>
    <w:rsid w:val="00DA5D2D"/>
    <w:rsid w:val="00DB0505"/>
    <w:rsid w:val="00DB0D1F"/>
    <w:rsid w:val="00DB0FA3"/>
    <w:rsid w:val="00DB254A"/>
    <w:rsid w:val="00DB3602"/>
    <w:rsid w:val="00DB7772"/>
    <w:rsid w:val="00DC0281"/>
    <w:rsid w:val="00DC3DF5"/>
    <w:rsid w:val="00DC3E22"/>
    <w:rsid w:val="00DC5078"/>
    <w:rsid w:val="00DC6045"/>
    <w:rsid w:val="00DD4E5E"/>
    <w:rsid w:val="00DD797C"/>
    <w:rsid w:val="00DE0092"/>
    <w:rsid w:val="00DE00DA"/>
    <w:rsid w:val="00DE7688"/>
    <w:rsid w:val="00DE78AC"/>
    <w:rsid w:val="00DF09C4"/>
    <w:rsid w:val="00DF22E8"/>
    <w:rsid w:val="00DF3ED1"/>
    <w:rsid w:val="00DF65DA"/>
    <w:rsid w:val="00E0183B"/>
    <w:rsid w:val="00E01B34"/>
    <w:rsid w:val="00E02D72"/>
    <w:rsid w:val="00E034AE"/>
    <w:rsid w:val="00E0452A"/>
    <w:rsid w:val="00E04602"/>
    <w:rsid w:val="00E049D8"/>
    <w:rsid w:val="00E0582F"/>
    <w:rsid w:val="00E06B74"/>
    <w:rsid w:val="00E06EBB"/>
    <w:rsid w:val="00E076F5"/>
    <w:rsid w:val="00E1310B"/>
    <w:rsid w:val="00E15645"/>
    <w:rsid w:val="00E16D88"/>
    <w:rsid w:val="00E2045D"/>
    <w:rsid w:val="00E20947"/>
    <w:rsid w:val="00E22E2F"/>
    <w:rsid w:val="00E23597"/>
    <w:rsid w:val="00E25562"/>
    <w:rsid w:val="00E25A16"/>
    <w:rsid w:val="00E26008"/>
    <w:rsid w:val="00E26F40"/>
    <w:rsid w:val="00E276F5"/>
    <w:rsid w:val="00E27B84"/>
    <w:rsid w:val="00E27F32"/>
    <w:rsid w:val="00E3340C"/>
    <w:rsid w:val="00E3661A"/>
    <w:rsid w:val="00E36A25"/>
    <w:rsid w:val="00E40F18"/>
    <w:rsid w:val="00E471D5"/>
    <w:rsid w:val="00E50C2F"/>
    <w:rsid w:val="00E55D72"/>
    <w:rsid w:val="00E614B1"/>
    <w:rsid w:val="00E616D1"/>
    <w:rsid w:val="00E6227B"/>
    <w:rsid w:val="00E63602"/>
    <w:rsid w:val="00E63648"/>
    <w:rsid w:val="00E6542D"/>
    <w:rsid w:val="00E659DA"/>
    <w:rsid w:val="00E66C9A"/>
    <w:rsid w:val="00E71885"/>
    <w:rsid w:val="00E7188D"/>
    <w:rsid w:val="00E73DC5"/>
    <w:rsid w:val="00E76327"/>
    <w:rsid w:val="00E76409"/>
    <w:rsid w:val="00E765B2"/>
    <w:rsid w:val="00E779CF"/>
    <w:rsid w:val="00E827F0"/>
    <w:rsid w:val="00E84712"/>
    <w:rsid w:val="00E848E4"/>
    <w:rsid w:val="00E87714"/>
    <w:rsid w:val="00E87C59"/>
    <w:rsid w:val="00E92C0C"/>
    <w:rsid w:val="00E93143"/>
    <w:rsid w:val="00E94E33"/>
    <w:rsid w:val="00E95800"/>
    <w:rsid w:val="00E95EF7"/>
    <w:rsid w:val="00E97B01"/>
    <w:rsid w:val="00E97B4E"/>
    <w:rsid w:val="00EA0771"/>
    <w:rsid w:val="00EA07C5"/>
    <w:rsid w:val="00EA080A"/>
    <w:rsid w:val="00EA0B00"/>
    <w:rsid w:val="00EA0D92"/>
    <w:rsid w:val="00EA1A1A"/>
    <w:rsid w:val="00EA3806"/>
    <w:rsid w:val="00EA4FF7"/>
    <w:rsid w:val="00EA5B03"/>
    <w:rsid w:val="00EA5CF2"/>
    <w:rsid w:val="00EB0402"/>
    <w:rsid w:val="00EB0888"/>
    <w:rsid w:val="00EB10EA"/>
    <w:rsid w:val="00EB1879"/>
    <w:rsid w:val="00EB2355"/>
    <w:rsid w:val="00EB6905"/>
    <w:rsid w:val="00EB73E3"/>
    <w:rsid w:val="00EC30C2"/>
    <w:rsid w:val="00EC5EEA"/>
    <w:rsid w:val="00ED0BD3"/>
    <w:rsid w:val="00ED5023"/>
    <w:rsid w:val="00EE0DAD"/>
    <w:rsid w:val="00EE1E8B"/>
    <w:rsid w:val="00EE42E8"/>
    <w:rsid w:val="00EE535B"/>
    <w:rsid w:val="00EE55E1"/>
    <w:rsid w:val="00EE68B5"/>
    <w:rsid w:val="00EE6DC5"/>
    <w:rsid w:val="00EE6E66"/>
    <w:rsid w:val="00EF009D"/>
    <w:rsid w:val="00EF1370"/>
    <w:rsid w:val="00EF16EF"/>
    <w:rsid w:val="00EF4768"/>
    <w:rsid w:val="00EF48BE"/>
    <w:rsid w:val="00EF5007"/>
    <w:rsid w:val="00EF5AF2"/>
    <w:rsid w:val="00EF68C4"/>
    <w:rsid w:val="00EF71B4"/>
    <w:rsid w:val="00EF7E6B"/>
    <w:rsid w:val="00EF7F45"/>
    <w:rsid w:val="00F02C80"/>
    <w:rsid w:val="00F03566"/>
    <w:rsid w:val="00F045EF"/>
    <w:rsid w:val="00F04DE4"/>
    <w:rsid w:val="00F05C24"/>
    <w:rsid w:val="00F06512"/>
    <w:rsid w:val="00F10019"/>
    <w:rsid w:val="00F1177F"/>
    <w:rsid w:val="00F12D0D"/>
    <w:rsid w:val="00F200BB"/>
    <w:rsid w:val="00F2092D"/>
    <w:rsid w:val="00F20CB3"/>
    <w:rsid w:val="00F21505"/>
    <w:rsid w:val="00F23F42"/>
    <w:rsid w:val="00F24028"/>
    <w:rsid w:val="00F260B8"/>
    <w:rsid w:val="00F32CFE"/>
    <w:rsid w:val="00F33EDB"/>
    <w:rsid w:val="00F351F3"/>
    <w:rsid w:val="00F37412"/>
    <w:rsid w:val="00F403B4"/>
    <w:rsid w:val="00F42AE5"/>
    <w:rsid w:val="00F44B1E"/>
    <w:rsid w:val="00F454CD"/>
    <w:rsid w:val="00F45B78"/>
    <w:rsid w:val="00F50219"/>
    <w:rsid w:val="00F51CB1"/>
    <w:rsid w:val="00F52BCA"/>
    <w:rsid w:val="00F54817"/>
    <w:rsid w:val="00F54F13"/>
    <w:rsid w:val="00F578B1"/>
    <w:rsid w:val="00F57B58"/>
    <w:rsid w:val="00F601C7"/>
    <w:rsid w:val="00F60628"/>
    <w:rsid w:val="00F60EB4"/>
    <w:rsid w:val="00F62AE6"/>
    <w:rsid w:val="00F67092"/>
    <w:rsid w:val="00F71956"/>
    <w:rsid w:val="00F73644"/>
    <w:rsid w:val="00F73A82"/>
    <w:rsid w:val="00F73F57"/>
    <w:rsid w:val="00F7479D"/>
    <w:rsid w:val="00F7492C"/>
    <w:rsid w:val="00F82082"/>
    <w:rsid w:val="00F83E03"/>
    <w:rsid w:val="00F84E40"/>
    <w:rsid w:val="00F86617"/>
    <w:rsid w:val="00F86837"/>
    <w:rsid w:val="00F86A04"/>
    <w:rsid w:val="00F912C9"/>
    <w:rsid w:val="00F919F5"/>
    <w:rsid w:val="00F952A5"/>
    <w:rsid w:val="00F95532"/>
    <w:rsid w:val="00F956B4"/>
    <w:rsid w:val="00F96006"/>
    <w:rsid w:val="00F96E6F"/>
    <w:rsid w:val="00FA05F9"/>
    <w:rsid w:val="00FA13BC"/>
    <w:rsid w:val="00FA5A79"/>
    <w:rsid w:val="00FA5D18"/>
    <w:rsid w:val="00FA70C2"/>
    <w:rsid w:val="00FA7BE9"/>
    <w:rsid w:val="00FB0065"/>
    <w:rsid w:val="00FB07D7"/>
    <w:rsid w:val="00FB5E06"/>
    <w:rsid w:val="00FB68B3"/>
    <w:rsid w:val="00FC013B"/>
    <w:rsid w:val="00FC0257"/>
    <w:rsid w:val="00FC0855"/>
    <w:rsid w:val="00FC0DF6"/>
    <w:rsid w:val="00FC1AE9"/>
    <w:rsid w:val="00FC1E8C"/>
    <w:rsid w:val="00FC4E26"/>
    <w:rsid w:val="00FC6716"/>
    <w:rsid w:val="00FD2768"/>
    <w:rsid w:val="00FD4844"/>
    <w:rsid w:val="00FD51BD"/>
    <w:rsid w:val="00FD5636"/>
    <w:rsid w:val="00FD6F5F"/>
    <w:rsid w:val="00FE0EB9"/>
    <w:rsid w:val="00FE32DA"/>
    <w:rsid w:val="00FE4CFE"/>
    <w:rsid w:val="00FE57A6"/>
    <w:rsid w:val="00FE706C"/>
    <w:rsid w:val="00FF1113"/>
    <w:rsid w:val="00FF1441"/>
    <w:rsid w:val="00FF1808"/>
    <w:rsid w:val="00FF4029"/>
    <w:rsid w:val="00FF435E"/>
    <w:rsid w:val="00FF5F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5026F990"/>
  <w15:docId w15:val="{5D05C50E-B2C9-4458-8E65-3E4B359E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160D9D"/>
    <w:rPr>
      <w:rFonts w:ascii="Arial" w:hAnsi="Arial"/>
    </w:rPr>
  </w:style>
  <w:style w:type="paragraph" w:styleId="Heading1">
    <w:name w:val="heading 1"/>
    <w:basedOn w:val="Normal"/>
    <w:next w:val="Normal"/>
    <w:link w:val="Heading1Char"/>
    <w:uiPriority w:val="9"/>
    <w:qFormat/>
    <w:rsid w:val="0015733D"/>
    <w:pPr>
      <w:numPr>
        <w:numId w:val="5"/>
      </w:numPr>
      <w:spacing w:before="480" w:after="320"/>
      <w:contextualSpacing/>
      <w:outlineLvl w:val="0"/>
    </w:pPr>
    <w:rPr>
      <w:rFonts w:eastAsiaTheme="majorEastAsia" w:cstheme="majorBidi"/>
      <w:b/>
      <w:bCs/>
      <w:color w:val="64A0C8"/>
      <w:sz w:val="40"/>
      <w:szCs w:val="40"/>
    </w:rPr>
  </w:style>
  <w:style w:type="paragraph" w:styleId="Heading2">
    <w:name w:val="heading 2"/>
    <w:basedOn w:val="Normal"/>
    <w:next w:val="Normal"/>
    <w:link w:val="Heading2Char"/>
    <w:uiPriority w:val="9"/>
    <w:unhideWhenUsed/>
    <w:qFormat/>
    <w:rsid w:val="00C22248"/>
    <w:pPr>
      <w:keepNext/>
      <w:numPr>
        <w:ilvl w:val="1"/>
        <w:numId w:val="5"/>
      </w:numPr>
      <w:spacing w:before="360" w:after="360"/>
      <w:outlineLvl w:val="1"/>
    </w:pPr>
    <w:rPr>
      <w:b/>
      <w:color w:val="6B2976" w:themeColor="accent1"/>
      <w:sz w:val="32"/>
    </w:rPr>
  </w:style>
  <w:style w:type="paragraph" w:styleId="Heading3">
    <w:name w:val="heading 3"/>
    <w:basedOn w:val="Normal"/>
    <w:next w:val="Normal"/>
    <w:link w:val="Heading3Char"/>
    <w:uiPriority w:val="9"/>
    <w:unhideWhenUsed/>
    <w:qFormat/>
    <w:rsid w:val="00C22248"/>
    <w:pPr>
      <w:keepNext/>
      <w:numPr>
        <w:ilvl w:val="2"/>
        <w:numId w:val="5"/>
      </w:numPr>
      <w:spacing w:before="240" w:after="240" w:line="271" w:lineRule="auto"/>
      <w:outlineLvl w:val="2"/>
    </w:pPr>
    <w:rPr>
      <w:rFonts w:eastAsiaTheme="majorEastAsia" w:cstheme="majorBidi"/>
      <w:b/>
      <w:bCs/>
      <w:i/>
      <w:color w:val="6B2976" w:themeColor="accent1"/>
      <w:sz w:val="24"/>
    </w:rPr>
  </w:style>
  <w:style w:type="paragraph" w:styleId="Heading4">
    <w:name w:val="heading 4"/>
    <w:basedOn w:val="Normal"/>
    <w:next w:val="Normal"/>
    <w:link w:val="Heading4Char"/>
    <w:uiPriority w:val="9"/>
    <w:unhideWhenUsed/>
    <w:qFormat/>
    <w:rsid w:val="00743948"/>
    <w:pPr>
      <w:keepNext/>
      <w:spacing w:before="240" w:after="120"/>
      <w:outlineLvl w:val="3"/>
    </w:pPr>
    <w:rPr>
      <w:rFonts w:eastAsiaTheme="majorEastAsia" w:cstheme="majorBidi"/>
      <w:b/>
      <w:bCs/>
      <w:i/>
      <w:iCs/>
      <w:color w:val="6B2976" w:themeColor="accent1"/>
    </w:rPr>
  </w:style>
  <w:style w:type="paragraph" w:styleId="Heading5">
    <w:name w:val="heading 5"/>
    <w:basedOn w:val="Normal"/>
    <w:next w:val="Normal"/>
    <w:link w:val="Heading5Char"/>
    <w:uiPriority w:val="9"/>
    <w:unhideWhenUsed/>
    <w:rsid w:val="004B54CA"/>
    <w:pPr>
      <w:numPr>
        <w:ilvl w:val="4"/>
        <w:numId w:val="5"/>
      </w:numPr>
      <w:spacing w:before="200" w:after="0"/>
      <w:outlineLvl w:val="4"/>
    </w:pPr>
    <w:rPr>
      <w:rFonts w:eastAsiaTheme="majorEastAsia" w:cstheme="majorBidi"/>
      <w:b/>
      <w:bCs/>
      <w:color w:val="7F7F7F" w:themeColor="text1" w:themeTint="80"/>
    </w:rPr>
  </w:style>
  <w:style w:type="paragraph" w:styleId="Heading6">
    <w:name w:val="heading 6"/>
    <w:next w:val="Normal"/>
    <w:link w:val="Heading6Char"/>
    <w:uiPriority w:val="9"/>
    <w:unhideWhenUsed/>
    <w:rsid w:val="00AE1543"/>
    <w:pPr>
      <w:numPr>
        <w:numId w:val="7"/>
      </w:numPr>
      <w:spacing w:after="240" w:line="271" w:lineRule="auto"/>
      <w:ind w:left="357" w:hanging="357"/>
      <w:outlineLvl w:val="5"/>
    </w:pPr>
    <w:rPr>
      <w:rFonts w:ascii="Arial" w:eastAsiaTheme="majorEastAsia" w:hAnsi="Arial" w:cstheme="majorBidi"/>
      <w:b/>
      <w:iCs/>
      <w:color w:val="64A0C8" w:themeColor="accent2"/>
      <w:sz w:val="40"/>
    </w:rPr>
  </w:style>
  <w:style w:type="paragraph" w:styleId="Heading7">
    <w:name w:val="heading 7"/>
    <w:basedOn w:val="Normal"/>
    <w:next w:val="Normal"/>
    <w:link w:val="Heading7Char"/>
    <w:uiPriority w:val="9"/>
    <w:unhideWhenUsed/>
    <w:rsid w:val="00357344"/>
    <w:pPr>
      <w:spacing w:before="240" w:after="120"/>
      <w:outlineLvl w:val="6"/>
    </w:pPr>
    <w:rPr>
      <w:rFonts w:eastAsiaTheme="majorEastAsia" w:cstheme="majorBidi"/>
      <w:b/>
      <w:i/>
      <w:iCs/>
      <w:color w:val="6B2976" w:themeColor="accent1"/>
    </w:rPr>
  </w:style>
  <w:style w:type="paragraph" w:styleId="Heading8">
    <w:name w:val="heading 8"/>
    <w:basedOn w:val="Normal"/>
    <w:next w:val="Normal"/>
    <w:link w:val="Heading8Char"/>
    <w:uiPriority w:val="9"/>
    <w:unhideWhenUsed/>
    <w:rsid w:val="004B54CA"/>
    <w:pPr>
      <w:numPr>
        <w:ilvl w:val="7"/>
        <w:numId w:val="5"/>
      </w:numPr>
      <w:spacing w:after="0"/>
      <w:outlineLvl w:val="7"/>
    </w:pPr>
    <w:rPr>
      <w:rFonts w:eastAsiaTheme="majorEastAsia" w:cstheme="majorBidi"/>
      <w:sz w:val="20"/>
      <w:szCs w:val="20"/>
    </w:rPr>
  </w:style>
  <w:style w:type="paragraph" w:styleId="Heading9">
    <w:name w:val="heading 9"/>
    <w:aliases w:val="Appendices"/>
    <w:basedOn w:val="Heading1"/>
    <w:next w:val="Normal"/>
    <w:link w:val="Heading9Char"/>
    <w:uiPriority w:val="9"/>
    <w:unhideWhenUsed/>
    <w:qFormat/>
    <w:rsid w:val="00D03790"/>
    <w:pPr>
      <w:numPr>
        <w:numId w:val="0"/>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33D"/>
    <w:rPr>
      <w:rFonts w:ascii="Arial" w:eastAsiaTheme="majorEastAsia" w:hAnsi="Arial" w:cstheme="majorBidi"/>
      <w:b/>
      <w:bCs/>
      <w:color w:val="64A0C8"/>
      <w:sz w:val="40"/>
      <w:szCs w:val="40"/>
    </w:rPr>
  </w:style>
  <w:style w:type="character" w:customStyle="1" w:styleId="Heading2Char">
    <w:name w:val="Heading 2 Char"/>
    <w:basedOn w:val="DefaultParagraphFont"/>
    <w:link w:val="Heading2"/>
    <w:uiPriority w:val="9"/>
    <w:rsid w:val="00C22248"/>
    <w:rPr>
      <w:rFonts w:ascii="Arial" w:hAnsi="Arial"/>
      <w:b/>
      <w:color w:val="6B2976" w:themeColor="accent1"/>
      <w:sz w:val="32"/>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C22248"/>
    <w:rPr>
      <w:rFonts w:ascii="Arial" w:eastAsiaTheme="majorEastAsia" w:hAnsi="Arial" w:cstheme="majorBidi"/>
      <w:b/>
      <w:bCs/>
      <w:i/>
      <w:color w:val="6B2976" w:themeColor="accent1"/>
      <w:sz w:val="24"/>
    </w:rPr>
  </w:style>
  <w:style w:type="character" w:customStyle="1" w:styleId="Heading4Char">
    <w:name w:val="Heading 4 Char"/>
    <w:basedOn w:val="DefaultParagraphFont"/>
    <w:link w:val="Heading4"/>
    <w:uiPriority w:val="9"/>
    <w:rsid w:val="00743948"/>
    <w:rPr>
      <w:rFonts w:ascii="Arial" w:eastAsiaTheme="majorEastAsia" w:hAnsi="Arial" w:cstheme="majorBidi"/>
      <w:b/>
      <w:bCs/>
      <w:i/>
      <w:iCs/>
      <w:color w:val="6B2976" w:themeColor="accent1"/>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AE1543"/>
    <w:rPr>
      <w:rFonts w:ascii="Arial" w:eastAsiaTheme="majorEastAsia" w:hAnsi="Arial" w:cstheme="majorBidi"/>
      <w:b/>
      <w:iCs/>
      <w:color w:val="64A0C8" w:themeColor="accent2"/>
      <w:sz w:val="40"/>
    </w:rPr>
  </w:style>
  <w:style w:type="character" w:customStyle="1" w:styleId="Heading7Char">
    <w:name w:val="Heading 7 Char"/>
    <w:basedOn w:val="DefaultParagraphFont"/>
    <w:link w:val="Heading7"/>
    <w:uiPriority w:val="9"/>
    <w:rsid w:val="00357344"/>
    <w:rPr>
      <w:rFonts w:ascii="Arial" w:eastAsiaTheme="majorEastAsia" w:hAnsi="Arial" w:cstheme="majorBidi"/>
      <w:b/>
      <w:i/>
      <w:iCs/>
      <w:color w:val="6B2976" w:themeColor="accent1"/>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aliases w:val="Appendices Char"/>
    <w:basedOn w:val="DefaultParagraphFont"/>
    <w:link w:val="Heading9"/>
    <w:uiPriority w:val="9"/>
    <w:rsid w:val="00D03790"/>
    <w:rPr>
      <w:rFonts w:ascii="Arial" w:eastAsiaTheme="majorEastAsia" w:hAnsi="Arial" w:cstheme="majorBidi"/>
      <w:b/>
      <w:bCs/>
      <w:i/>
      <w:iCs/>
      <w:color w:val="64A0C8"/>
      <w:sz w:val="40"/>
      <w:szCs w:val="40"/>
    </w:rPr>
  </w:style>
  <w:style w:type="paragraph" w:styleId="Title">
    <w:name w:val="Title"/>
    <w:basedOn w:val="Normal"/>
    <w:next w:val="Normal"/>
    <w:link w:val="TitleChar"/>
    <w:uiPriority w:val="10"/>
    <w:qFormat/>
    <w:rsid w:val="00C22248"/>
    <w:pPr>
      <w:spacing w:before="240" w:after="480" w:line="240" w:lineRule="auto"/>
      <w:contextualSpacing/>
    </w:pPr>
    <w:rPr>
      <w:rFonts w:eastAsiaTheme="majorEastAsia" w:cstheme="majorBidi"/>
      <w:b/>
      <w:color w:val="6B2976" w:themeColor="accent1"/>
      <w:sz w:val="44"/>
      <w:szCs w:val="52"/>
    </w:rPr>
  </w:style>
  <w:style w:type="character" w:customStyle="1" w:styleId="TitleChar">
    <w:name w:val="Title Char"/>
    <w:basedOn w:val="DefaultParagraphFont"/>
    <w:link w:val="Title"/>
    <w:uiPriority w:val="10"/>
    <w:rsid w:val="00C22248"/>
    <w:rPr>
      <w:rFonts w:ascii="Arial" w:eastAsiaTheme="majorEastAsia" w:hAnsi="Arial" w:cstheme="majorBidi"/>
      <w:b/>
      <w:color w:val="6B2976" w:themeColor="accent1"/>
      <w:sz w:val="44"/>
      <w:szCs w:val="52"/>
    </w:rPr>
  </w:style>
  <w:style w:type="paragraph" w:styleId="Subtitle">
    <w:name w:val="Subtitle"/>
    <w:aliases w:val="Bullet list"/>
    <w:basedOn w:val="Normal"/>
    <w:next w:val="Normal"/>
    <w:link w:val="SubtitleChar"/>
    <w:uiPriority w:val="11"/>
    <w:qFormat/>
    <w:rsid w:val="00E6542D"/>
    <w:pPr>
      <w:numPr>
        <w:numId w:val="1"/>
      </w:numPr>
    </w:pPr>
  </w:style>
  <w:style w:type="character" w:customStyle="1" w:styleId="SubtitleChar">
    <w:name w:val="Subtitle Char"/>
    <w:aliases w:val="Bullet list Char"/>
    <w:basedOn w:val="DefaultParagraphFont"/>
    <w:link w:val="Subtitle"/>
    <w:uiPriority w:val="11"/>
    <w:rsid w:val="00E6542D"/>
    <w:rPr>
      <w:rFonts w:ascii="Arial" w:hAnsi="Arial"/>
    </w:rPr>
  </w:style>
  <w:style w:type="character" w:styleId="SubtleEmphasis">
    <w:name w:val="Subtle Emphasis"/>
    <w:aliases w:val="Numbered bullet list"/>
    <w:uiPriority w:val="19"/>
    <w:qFormat/>
    <w:rsid w:val="004125C3"/>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4B54CA"/>
    <w:rPr>
      <w:i/>
      <w:iCs/>
      <w:smallCaps/>
      <w:spacing w:val="5"/>
    </w:rPr>
  </w:style>
  <w:style w:type="paragraph" w:styleId="Caption">
    <w:name w:val="caption"/>
    <w:basedOn w:val="Normal"/>
    <w:next w:val="Normal"/>
    <w:link w:val="CaptionChar"/>
    <w:uiPriority w:val="35"/>
    <w:unhideWhenUsed/>
    <w:rsid w:val="00785261"/>
    <w:rPr>
      <w:b/>
      <w:bCs/>
      <w:caps/>
      <w:sz w:val="16"/>
      <w:szCs w:val="18"/>
    </w:rPr>
  </w:style>
  <w:style w:type="paragraph" w:styleId="TOCHeading">
    <w:name w:val="TOC Heading"/>
    <w:basedOn w:val="Heading1"/>
    <w:next w:val="Normal"/>
    <w:uiPriority w:val="39"/>
    <w:unhideWhenUsed/>
    <w:qFormat/>
    <w:rsid w:val="009B66AF"/>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A75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14F"/>
    <w:rPr>
      <w:rFonts w:ascii="Arial" w:hAnsi="Arial"/>
    </w:rPr>
  </w:style>
  <w:style w:type="paragraph" w:styleId="Footer">
    <w:name w:val="footer"/>
    <w:basedOn w:val="Normal"/>
    <w:link w:val="FooterChar"/>
    <w:uiPriority w:val="99"/>
    <w:unhideWhenUsed/>
    <w:rsid w:val="00A75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14F"/>
    <w:rPr>
      <w:rFonts w:ascii="Arial" w:hAnsi="Arial"/>
    </w:rPr>
  </w:style>
  <w:style w:type="paragraph" w:styleId="BalloonText">
    <w:name w:val="Balloon Text"/>
    <w:basedOn w:val="Normal"/>
    <w:link w:val="BalloonTextChar"/>
    <w:uiPriority w:val="99"/>
    <w:semiHidden/>
    <w:unhideWhenUsed/>
    <w:rsid w:val="00A75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14F"/>
    <w:rPr>
      <w:rFonts w:ascii="Tahoma" w:hAnsi="Tahoma" w:cs="Tahoma"/>
      <w:sz w:val="16"/>
      <w:szCs w:val="16"/>
    </w:rPr>
  </w:style>
  <w:style w:type="paragraph" w:styleId="ListBullet">
    <w:name w:val="List Bullet"/>
    <w:basedOn w:val="Normal"/>
    <w:uiPriority w:val="99"/>
    <w:semiHidden/>
    <w:unhideWhenUsed/>
    <w:rsid w:val="00372ED0"/>
    <w:pPr>
      <w:numPr>
        <w:numId w:val="2"/>
      </w:numPr>
      <w:contextualSpacing/>
    </w:pPr>
  </w:style>
  <w:style w:type="paragraph" w:customStyle="1" w:styleId="Indent1">
    <w:name w:val="Indent 1"/>
    <w:basedOn w:val="Normal"/>
    <w:rsid w:val="00AF01C7"/>
    <w:pPr>
      <w:numPr>
        <w:ilvl w:val="1"/>
        <w:numId w:val="3"/>
      </w:numPr>
      <w:kinsoku w:val="0"/>
      <w:overflowPunct w:val="0"/>
      <w:autoSpaceDE w:val="0"/>
      <w:autoSpaceDN w:val="0"/>
      <w:adjustRightInd w:val="0"/>
      <w:snapToGrid w:val="0"/>
      <w:spacing w:before="100" w:after="100" w:line="240" w:lineRule="auto"/>
    </w:pPr>
    <w:rPr>
      <w:rFonts w:ascii="Georgia" w:eastAsia="Times New Roman" w:hAnsi="Georgia" w:cs="Times New Roman"/>
      <w:snapToGrid w:val="0"/>
      <w:sz w:val="20"/>
      <w:szCs w:val="20"/>
    </w:rPr>
  </w:style>
  <w:style w:type="paragraph" w:customStyle="1" w:styleId="Indent2">
    <w:name w:val="Indent 2"/>
    <w:basedOn w:val="Indent1"/>
    <w:rsid w:val="00AF01C7"/>
    <w:pPr>
      <w:numPr>
        <w:ilvl w:val="2"/>
      </w:numPr>
    </w:pPr>
  </w:style>
  <w:style w:type="paragraph" w:customStyle="1" w:styleId="Indent3">
    <w:name w:val="Indent 3"/>
    <w:basedOn w:val="Indent2"/>
    <w:rsid w:val="00AF01C7"/>
    <w:pPr>
      <w:numPr>
        <w:ilvl w:val="3"/>
      </w:numPr>
    </w:pPr>
  </w:style>
  <w:style w:type="paragraph" w:customStyle="1" w:styleId="Indent5">
    <w:name w:val="Indent 5"/>
    <w:basedOn w:val="Indent4"/>
    <w:rsid w:val="00AF01C7"/>
    <w:pPr>
      <w:numPr>
        <w:ilvl w:val="5"/>
      </w:numPr>
    </w:pPr>
  </w:style>
  <w:style w:type="paragraph" w:customStyle="1" w:styleId="Indent6">
    <w:name w:val="Indent 6"/>
    <w:basedOn w:val="Indent5"/>
    <w:rsid w:val="00AF01C7"/>
    <w:pPr>
      <w:numPr>
        <w:ilvl w:val="6"/>
      </w:numPr>
    </w:pPr>
  </w:style>
  <w:style w:type="paragraph" w:customStyle="1" w:styleId="Indent7">
    <w:name w:val="Indent 7"/>
    <w:basedOn w:val="Indent6"/>
    <w:rsid w:val="00AF01C7"/>
    <w:pPr>
      <w:numPr>
        <w:ilvl w:val="7"/>
      </w:numPr>
    </w:pPr>
  </w:style>
  <w:style w:type="paragraph" w:customStyle="1" w:styleId="Indent4">
    <w:name w:val="Indent 4"/>
    <w:basedOn w:val="Indent3"/>
    <w:rsid w:val="00AF01C7"/>
    <w:pPr>
      <w:numPr>
        <w:ilvl w:val="4"/>
      </w:numPr>
    </w:pPr>
  </w:style>
  <w:style w:type="paragraph" w:customStyle="1" w:styleId="PwCNormal">
    <w:name w:val="PwC Normal"/>
    <w:aliases w:val="n"/>
    <w:basedOn w:val="Normal"/>
    <w:uiPriority w:val="99"/>
    <w:rsid w:val="00AF01C7"/>
    <w:pPr>
      <w:numPr>
        <w:numId w:val="3"/>
      </w:numPr>
      <w:kinsoku w:val="0"/>
      <w:overflowPunct w:val="0"/>
      <w:autoSpaceDE w:val="0"/>
      <w:autoSpaceDN w:val="0"/>
      <w:adjustRightInd w:val="0"/>
      <w:snapToGrid w:val="0"/>
      <w:spacing w:after="240" w:line="240" w:lineRule="auto"/>
    </w:pPr>
    <w:rPr>
      <w:rFonts w:ascii="Georgia" w:eastAsia="Times New Roman" w:hAnsi="Georgia" w:cs="Arial"/>
      <w:snapToGrid w:val="0"/>
      <w:sz w:val="20"/>
      <w:szCs w:val="20"/>
    </w:rPr>
  </w:style>
  <w:style w:type="paragraph" w:customStyle="1" w:styleId="Indent8">
    <w:name w:val="Indent 8"/>
    <w:basedOn w:val="Indent7"/>
    <w:rsid w:val="00AF01C7"/>
    <w:pPr>
      <w:numPr>
        <w:ilvl w:val="8"/>
      </w:numPr>
    </w:pPr>
  </w:style>
  <w:style w:type="paragraph" w:customStyle="1" w:styleId="CoverOutcomeSubtitle">
    <w:name w:val="Cover Outcome Subtitle"/>
    <w:basedOn w:val="Normal"/>
    <w:rsid w:val="00AF01C7"/>
    <w:pPr>
      <w:numPr>
        <w:numId w:val="4"/>
      </w:numPr>
      <w:kinsoku w:val="0"/>
      <w:overflowPunct w:val="0"/>
      <w:autoSpaceDE w:val="0"/>
      <w:autoSpaceDN w:val="0"/>
      <w:adjustRightInd w:val="0"/>
      <w:snapToGrid w:val="0"/>
      <w:spacing w:after="0" w:line="960" w:lineRule="atLeast"/>
      <w:ind w:right="1701"/>
    </w:pPr>
    <w:rPr>
      <w:rFonts w:ascii="Georgia" w:eastAsia="Times New Roman" w:hAnsi="Georgia" w:cs="Arial"/>
      <w:snapToGrid w:val="0"/>
      <w:color w:val="FFFFFF" w:themeColor="background1"/>
      <w:sz w:val="88"/>
      <w:szCs w:val="88"/>
      <w:lang w:val="en-GB"/>
    </w:rPr>
  </w:style>
  <w:style w:type="paragraph" w:customStyle="1" w:styleId="FirstPagePanelFrame-Contents">
    <w:name w:val="First Page Panel Frame - Contents"/>
    <w:basedOn w:val="Normal"/>
    <w:rsid w:val="00385992"/>
    <w:pPr>
      <w:framePr w:w="8334" w:h="227" w:hRule="exact" w:wrap="notBeside" w:hAnchor="text" w:x="-112" w:y="-169" w:anchorLock="1"/>
      <w:pBdr>
        <w:top w:val="single" w:sz="6" w:space="1" w:color="17365D" w:themeColor="text2"/>
        <w:left w:val="single" w:sz="6" w:space="4" w:color="17365D" w:themeColor="text2"/>
      </w:pBdr>
      <w:kinsoku w:val="0"/>
      <w:overflowPunct w:val="0"/>
      <w:autoSpaceDE w:val="0"/>
      <w:autoSpaceDN w:val="0"/>
      <w:adjustRightInd w:val="0"/>
      <w:snapToGrid w:val="0"/>
      <w:spacing w:after="0" w:line="0" w:lineRule="atLeast"/>
    </w:pPr>
    <w:rPr>
      <w:rFonts w:ascii="Georgia" w:eastAsia="+mn-ea" w:hAnsi="Georgia" w:cs="Arial"/>
      <w:i/>
      <w:snapToGrid w:val="0"/>
      <w:sz w:val="8"/>
      <w:szCs w:val="18"/>
      <w:lang w:val="en-GB"/>
    </w:rPr>
  </w:style>
  <w:style w:type="paragraph" w:styleId="TOC1">
    <w:name w:val="toc 1"/>
    <w:basedOn w:val="Normal"/>
    <w:next w:val="Normal"/>
    <w:autoRedefine/>
    <w:uiPriority w:val="39"/>
    <w:unhideWhenUsed/>
    <w:rsid w:val="007B7F69"/>
    <w:pPr>
      <w:spacing w:after="100"/>
    </w:pPr>
  </w:style>
  <w:style w:type="paragraph" w:styleId="TOC3">
    <w:name w:val="toc 3"/>
    <w:basedOn w:val="Normal"/>
    <w:next w:val="Normal"/>
    <w:autoRedefine/>
    <w:uiPriority w:val="39"/>
    <w:unhideWhenUsed/>
    <w:rsid w:val="007B7F69"/>
    <w:pPr>
      <w:spacing w:after="100"/>
      <w:ind w:left="440"/>
    </w:pPr>
  </w:style>
  <w:style w:type="character" w:styleId="Hyperlink">
    <w:name w:val="Hyperlink"/>
    <w:basedOn w:val="DefaultParagraphFont"/>
    <w:uiPriority w:val="99"/>
    <w:unhideWhenUsed/>
    <w:rsid w:val="007B7F69"/>
    <w:rPr>
      <w:color w:val="0000CC" w:themeColor="hyperlink"/>
      <w:u w:val="single"/>
    </w:rPr>
  </w:style>
  <w:style w:type="paragraph" w:styleId="TOC2">
    <w:name w:val="toc 2"/>
    <w:basedOn w:val="Normal"/>
    <w:next w:val="Normal"/>
    <w:autoRedefine/>
    <w:uiPriority w:val="39"/>
    <w:unhideWhenUsed/>
    <w:rsid w:val="00F956B4"/>
    <w:pPr>
      <w:spacing w:after="100"/>
      <w:ind w:left="220"/>
    </w:pPr>
  </w:style>
  <w:style w:type="paragraph" w:customStyle="1" w:styleId="TablesandFigures">
    <w:name w:val="Tables and Figures"/>
    <w:basedOn w:val="Caption"/>
    <w:link w:val="TablesandFiguresChar"/>
    <w:qFormat/>
    <w:rsid w:val="0015733D"/>
    <w:pPr>
      <w:keepNext/>
      <w:spacing w:after="120" w:line="240" w:lineRule="auto"/>
    </w:pPr>
    <w:rPr>
      <w:caps w:val="0"/>
      <w:sz w:val="20"/>
    </w:rPr>
  </w:style>
  <w:style w:type="paragraph" w:styleId="TableofFigures">
    <w:name w:val="table of figures"/>
    <w:basedOn w:val="Normal"/>
    <w:next w:val="Normal"/>
    <w:uiPriority w:val="99"/>
    <w:unhideWhenUsed/>
    <w:rsid w:val="00C561FB"/>
    <w:pPr>
      <w:spacing w:after="0"/>
    </w:pPr>
  </w:style>
  <w:style w:type="character" w:customStyle="1" w:styleId="CaptionChar">
    <w:name w:val="Caption Char"/>
    <w:basedOn w:val="DefaultParagraphFont"/>
    <w:link w:val="Caption"/>
    <w:uiPriority w:val="35"/>
    <w:rsid w:val="00F956B4"/>
    <w:rPr>
      <w:rFonts w:ascii="Arial" w:hAnsi="Arial"/>
      <w:b/>
      <w:bCs/>
      <w:caps/>
      <w:sz w:val="16"/>
      <w:szCs w:val="18"/>
    </w:rPr>
  </w:style>
  <w:style w:type="character" w:customStyle="1" w:styleId="TablesandFiguresChar">
    <w:name w:val="Tables and Figures Char"/>
    <w:basedOn w:val="CaptionChar"/>
    <w:link w:val="TablesandFigures"/>
    <w:rsid w:val="0015733D"/>
    <w:rPr>
      <w:rFonts w:ascii="Arial" w:hAnsi="Arial"/>
      <w:b/>
      <w:bCs/>
      <w:caps w:val="0"/>
      <w:sz w:val="20"/>
      <w:szCs w:val="18"/>
    </w:rPr>
  </w:style>
  <w:style w:type="paragraph" w:customStyle="1" w:styleId="Heading1-Nonumbers">
    <w:name w:val="Heading 1 - No numbers"/>
    <w:basedOn w:val="Normal"/>
    <w:link w:val="Heading1-NonumbersChar"/>
    <w:qFormat/>
    <w:rsid w:val="00EB6905"/>
    <w:pPr>
      <w:spacing w:before="480" w:after="320"/>
      <w:contextualSpacing/>
      <w:outlineLvl w:val="0"/>
    </w:pPr>
    <w:rPr>
      <w:rFonts w:eastAsiaTheme="majorEastAsia" w:cstheme="majorBidi"/>
      <w:b/>
      <w:bCs/>
      <w:color w:val="64A0C8" w:themeColor="accent2"/>
      <w:sz w:val="36"/>
      <w:szCs w:val="36"/>
    </w:rPr>
  </w:style>
  <w:style w:type="character" w:customStyle="1" w:styleId="Heading1-NonumbersChar">
    <w:name w:val="Heading 1 - No numbers Char"/>
    <w:basedOn w:val="DefaultParagraphFont"/>
    <w:link w:val="Heading1-Nonumbers"/>
    <w:rsid w:val="00EB6905"/>
    <w:rPr>
      <w:rFonts w:ascii="Arial" w:eastAsiaTheme="majorEastAsia" w:hAnsi="Arial" w:cstheme="majorBidi"/>
      <w:b/>
      <w:bCs/>
      <w:color w:val="64A0C8" w:themeColor="accent2"/>
      <w:sz w:val="36"/>
      <w:szCs w:val="36"/>
    </w:rPr>
  </w:style>
  <w:style w:type="character" w:styleId="CommentReference">
    <w:name w:val="annotation reference"/>
    <w:basedOn w:val="DefaultParagraphFont"/>
    <w:uiPriority w:val="99"/>
    <w:semiHidden/>
    <w:unhideWhenUsed/>
    <w:rsid w:val="00533DC7"/>
    <w:rPr>
      <w:sz w:val="16"/>
      <w:szCs w:val="16"/>
    </w:rPr>
  </w:style>
  <w:style w:type="paragraph" w:styleId="CommentText">
    <w:name w:val="annotation text"/>
    <w:basedOn w:val="Normal"/>
    <w:link w:val="CommentTextChar"/>
    <w:uiPriority w:val="99"/>
    <w:unhideWhenUsed/>
    <w:rsid w:val="00533DC7"/>
    <w:pPr>
      <w:spacing w:line="240" w:lineRule="auto"/>
    </w:pPr>
    <w:rPr>
      <w:sz w:val="20"/>
      <w:szCs w:val="20"/>
    </w:rPr>
  </w:style>
  <w:style w:type="character" w:customStyle="1" w:styleId="CommentTextChar">
    <w:name w:val="Comment Text Char"/>
    <w:basedOn w:val="DefaultParagraphFont"/>
    <w:link w:val="CommentText"/>
    <w:uiPriority w:val="99"/>
    <w:rsid w:val="00533DC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33DC7"/>
    <w:rPr>
      <w:b/>
      <w:bCs/>
    </w:rPr>
  </w:style>
  <w:style w:type="character" w:customStyle="1" w:styleId="CommentSubjectChar">
    <w:name w:val="Comment Subject Char"/>
    <w:basedOn w:val="CommentTextChar"/>
    <w:link w:val="CommentSubject"/>
    <w:uiPriority w:val="99"/>
    <w:semiHidden/>
    <w:rsid w:val="00533DC7"/>
    <w:rPr>
      <w:rFonts w:ascii="Arial" w:hAnsi="Arial"/>
      <w:b/>
      <w:bCs/>
      <w:sz w:val="20"/>
      <w:szCs w:val="20"/>
    </w:rPr>
  </w:style>
  <w:style w:type="table" w:styleId="TableGrid">
    <w:name w:val="Table Grid"/>
    <w:basedOn w:val="TableNormal"/>
    <w:uiPriority w:val="59"/>
    <w:rsid w:val="00083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94162"/>
    <w:pPr>
      <w:spacing w:after="0" w:line="240" w:lineRule="auto"/>
    </w:pPr>
    <w:rPr>
      <w:sz w:val="20"/>
      <w:szCs w:val="20"/>
    </w:rPr>
  </w:style>
  <w:style w:type="character" w:customStyle="1" w:styleId="FootnoteTextChar">
    <w:name w:val="Footnote Text Char"/>
    <w:basedOn w:val="DefaultParagraphFont"/>
    <w:link w:val="FootnoteText"/>
    <w:uiPriority w:val="99"/>
    <w:rsid w:val="00B94162"/>
    <w:rPr>
      <w:rFonts w:ascii="Arial" w:hAnsi="Arial"/>
      <w:sz w:val="20"/>
      <w:szCs w:val="20"/>
    </w:rPr>
  </w:style>
  <w:style w:type="character" w:styleId="FootnoteReference">
    <w:name w:val="footnote reference"/>
    <w:basedOn w:val="DefaultParagraphFont"/>
    <w:uiPriority w:val="99"/>
    <w:semiHidden/>
    <w:unhideWhenUsed/>
    <w:rsid w:val="00B94162"/>
    <w:rPr>
      <w:vertAlign w:val="superscript"/>
    </w:rPr>
  </w:style>
  <w:style w:type="paragraph" w:styleId="Revision">
    <w:name w:val="Revision"/>
    <w:hidden/>
    <w:uiPriority w:val="99"/>
    <w:semiHidden/>
    <w:rsid w:val="00A07648"/>
    <w:pPr>
      <w:spacing w:after="0" w:line="240" w:lineRule="auto"/>
    </w:pPr>
    <w:rPr>
      <w:rFonts w:ascii="Arial" w:hAnsi="Arial"/>
    </w:rPr>
  </w:style>
  <w:style w:type="character" w:styleId="FollowedHyperlink">
    <w:name w:val="FollowedHyperlink"/>
    <w:basedOn w:val="DefaultParagraphFont"/>
    <w:uiPriority w:val="99"/>
    <w:semiHidden/>
    <w:unhideWhenUsed/>
    <w:rsid w:val="00823F6E"/>
    <w:rPr>
      <w:color w:val="0000CC" w:themeColor="followedHyperlink"/>
      <w:u w:val="single"/>
    </w:rPr>
  </w:style>
  <w:style w:type="paragraph" w:customStyle="1" w:styleId="BodyText1">
    <w:name w:val="Body Text1"/>
    <w:basedOn w:val="Normal"/>
    <w:link w:val="BodyText1Char"/>
    <w:qFormat/>
    <w:rsid w:val="00C06408"/>
    <w:rPr>
      <w:rFonts w:asciiTheme="minorHAnsi" w:hAnsiTheme="minorHAnsi"/>
    </w:rPr>
  </w:style>
  <w:style w:type="character" w:customStyle="1" w:styleId="BodyText1Char">
    <w:name w:val="Body Text1 Char"/>
    <w:basedOn w:val="DefaultParagraphFont"/>
    <w:link w:val="BodyText1"/>
    <w:rsid w:val="00C0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5344">
      <w:bodyDiv w:val="1"/>
      <w:marLeft w:val="0"/>
      <w:marRight w:val="0"/>
      <w:marTop w:val="0"/>
      <w:marBottom w:val="0"/>
      <w:divBdr>
        <w:top w:val="none" w:sz="0" w:space="0" w:color="auto"/>
        <w:left w:val="none" w:sz="0" w:space="0" w:color="auto"/>
        <w:bottom w:val="none" w:sz="0" w:space="0" w:color="auto"/>
        <w:right w:val="none" w:sz="0" w:space="0" w:color="auto"/>
      </w:divBdr>
    </w:div>
    <w:div w:id="74480153">
      <w:bodyDiv w:val="1"/>
      <w:marLeft w:val="0"/>
      <w:marRight w:val="0"/>
      <w:marTop w:val="0"/>
      <w:marBottom w:val="0"/>
      <w:divBdr>
        <w:top w:val="none" w:sz="0" w:space="0" w:color="auto"/>
        <w:left w:val="none" w:sz="0" w:space="0" w:color="auto"/>
        <w:bottom w:val="none" w:sz="0" w:space="0" w:color="auto"/>
        <w:right w:val="none" w:sz="0" w:space="0" w:color="auto"/>
      </w:divBdr>
    </w:div>
    <w:div w:id="249703110">
      <w:bodyDiv w:val="1"/>
      <w:marLeft w:val="0"/>
      <w:marRight w:val="0"/>
      <w:marTop w:val="0"/>
      <w:marBottom w:val="0"/>
      <w:divBdr>
        <w:top w:val="none" w:sz="0" w:space="0" w:color="auto"/>
        <w:left w:val="none" w:sz="0" w:space="0" w:color="auto"/>
        <w:bottom w:val="none" w:sz="0" w:space="0" w:color="auto"/>
        <w:right w:val="none" w:sz="0" w:space="0" w:color="auto"/>
      </w:divBdr>
    </w:div>
    <w:div w:id="544486309">
      <w:bodyDiv w:val="1"/>
      <w:marLeft w:val="0"/>
      <w:marRight w:val="0"/>
      <w:marTop w:val="0"/>
      <w:marBottom w:val="0"/>
      <w:divBdr>
        <w:top w:val="none" w:sz="0" w:space="0" w:color="auto"/>
        <w:left w:val="none" w:sz="0" w:space="0" w:color="auto"/>
        <w:bottom w:val="none" w:sz="0" w:space="0" w:color="auto"/>
        <w:right w:val="none" w:sz="0" w:space="0" w:color="auto"/>
      </w:divBdr>
    </w:div>
    <w:div w:id="570310126">
      <w:bodyDiv w:val="1"/>
      <w:marLeft w:val="0"/>
      <w:marRight w:val="0"/>
      <w:marTop w:val="0"/>
      <w:marBottom w:val="0"/>
      <w:divBdr>
        <w:top w:val="none" w:sz="0" w:space="0" w:color="auto"/>
        <w:left w:val="none" w:sz="0" w:space="0" w:color="auto"/>
        <w:bottom w:val="none" w:sz="0" w:space="0" w:color="auto"/>
        <w:right w:val="none" w:sz="0" w:space="0" w:color="auto"/>
      </w:divBdr>
    </w:div>
    <w:div w:id="592713629">
      <w:bodyDiv w:val="1"/>
      <w:marLeft w:val="0"/>
      <w:marRight w:val="0"/>
      <w:marTop w:val="0"/>
      <w:marBottom w:val="0"/>
      <w:divBdr>
        <w:top w:val="none" w:sz="0" w:space="0" w:color="auto"/>
        <w:left w:val="none" w:sz="0" w:space="0" w:color="auto"/>
        <w:bottom w:val="none" w:sz="0" w:space="0" w:color="auto"/>
        <w:right w:val="none" w:sz="0" w:space="0" w:color="auto"/>
      </w:divBdr>
    </w:div>
    <w:div w:id="649821467">
      <w:bodyDiv w:val="1"/>
      <w:marLeft w:val="0"/>
      <w:marRight w:val="0"/>
      <w:marTop w:val="0"/>
      <w:marBottom w:val="0"/>
      <w:divBdr>
        <w:top w:val="none" w:sz="0" w:space="0" w:color="auto"/>
        <w:left w:val="none" w:sz="0" w:space="0" w:color="auto"/>
        <w:bottom w:val="none" w:sz="0" w:space="0" w:color="auto"/>
        <w:right w:val="none" w:sz="0" w:space="0" w:color="auto"/>
      </w:divBdr>
    </w:div>
    <w:div w:id="678505153">
      <w:bodyDiv w:val="1"/>
      <w:marLeft w:val="0"/>
      <w:marRight w:val="0"/>
      <w:marTop w:val="0"/>
      <w:marBottom w:val="0"/>
      <w:divBdr>
        <w:top w:val="none" w:sz="0" w:space="0" w:color="auto"/>
        <w:left w:val="none" w:sz="0" w:space="0" w:color="auto"/>
        <w:bottom w:val="none" w:sz="0" w:space="0" w:color="auto"/>
        <w:right w:val="none" w:sz="0" w:space="0" w:color="auto"/>
      </w:divBdr>
    </w:div>
    <w:div w:id="696465109">
      <w:bodyDiv w:val="1"/>
      <w:marLeft w:val="0"/>
      <w:marRight w:val="0"/>
      <w:marTop w:val="0"/>
      <w:marBottom w:val="0"/>
      <w:divBdr>
        <w:top w:val="none" w:sz="0" w:space="0" w:color="auto"/>
        <w:left w:val="none" w:sz="0" w:space="0" w:color="auto"/>
        <w:bottom w:val="none" w:sz="0" w:space="0" w:color="auto"/>
        <w:right w:val="none" w:sz="0" w:space="0" w:color="auto"/>
      </w:divBdr>
    </w:div>
    <w:div w:id="725449520">
      <w:bodyDiv w:val="1"/>
      <w:marLeft w:val="0"/>
      <w:marRight w:val="0"/>
      <w:marTop w:val="0"/>
      <w:marBottom w:val="0"/>
      <w:divBdr>
        <w:top w:val="none" w:sz="0" w:space="0" w:color="auto"/>
        <w:left w:val="none" w:sz="0" w:space="0" w:color="auto"/>
        <w:bottom w:val="none" w:sz="0" w:space="0" w:color="auto"/>
        <w:right w:val="none" w:sz="0" w:space="0" w:color="auto"/>
      </w:divBdr>
    </w:div>
    <w:div w:id="803667973">
      <w:bodyDiv w:val="1"/>
      <w:marLeft w:val="0"/>
      <w:marRight w:val="0"/>
      <w:marTop w:val="0"/>
      <w:marBottom w:val="0"/>
      <w:divBdr>
        <w:top w:val="none" w:sz="0" w:space="0" w:color="auto"/>
        <w:left w:val="none" w:sz="0" w:space="0" w:color="auto"/>
        <w:bottom w:val="none" w:sz="0" w:space="0" w:color="auto"/>
        <w:right w:val="none" w:sz="0" w:space="0" w:color="auto"/>
      </w:divBdr>
    </w:div>
    <w:div w:id="864714654">
      <w:bodyDiv w:val="1"/>
      <w:marLeft w:val="0"/>
      <w:marRight w:val="0"/>
      <w:marTop w:val="0"/>
      <w:marBottom w:val="0"/>
      <w:divBdr>
        <w:top w:val="none" w:sz="0" w:space="0" w:color="auto"/>
        <w:left w:val="none" w:sz="0" w:space="0" w:color="auto"/>
        <w:bottom w:val="none" w:sz="0" w:space="0" w:color="auto"/>
        <w:right w:val="none" w:sz="0" w:space="0" w:color="auto"/>
      </w:divBdr>
    </w:div>
    <w:div w:id="935018965">
      <w:bodyDiv w:val="1"/>
      <w:marLeft w:val="0"/>
      <w:marRight w:val="0"/>
      <w:marTop w:val="0"/>
      <w:marBottom w:val="0"/>
      <w:divBdr>
        <w:top w:val="none" w:sz="0" w:space="0" w:color="auto"/>
        <w:left w:val="none" w:sz="0" w:space="0" w:color="auto"/>
        <w:bottom w:val="none" w:sz="0" w:space="0" w:color="auto"/>
        <w:right w:val="none" w:sz="0" w:space="0" w:color="auto"/>
      </w:divBdr>
    </w:div>
    <w:div w:id="1027562906">
      <w:bodyDiv w:val="1"/>
      <w:marLeft w:val="0"/>
      <w:marRight w:val="0"/>
      <w:marTop w:val="0"/>
      <w:marBottom w:val="0"/>
      <w:divBdr>
        <w:top w:val="none" w:sz="0" w:space="0" w:color="auto"/>
        <w:left w:val="none" w:sz="0" w:space="0" w:color="auto"/>
        <w:bottom w:val="none" w:sz="0" w:space="0" w:color="auto"/>
        <w:right w:val="none" w:sz="0" w:space="0" w:color="auto"/>
      </w:divBdr>
    </w:div>
    <w:div w:id="1073548651">
      <w:bodyDiv w:val="1"/>
      <w:marLeft w:val="0"/>
      <w:marRight w:val="0"/>
      <w:marTop w:val="0"/>
      <w:marBottom w:val="0"/>
      <w:divBdr>
        <w:top w:val="none" w:sz="0" w:space="0" w:color="auto"/>
        <w:left w:val="none" w:sz="0" w:space="0" w:color="auto"/>
        <w:bottom w:val="none" w:sz="0" w:space="0" w:color="auto"/>
        <w:right w:val="none" w:sz="0" w:space="0" w:color="auto"/>
      </w:divBdr>
    </w:div>
    <w:div w:id="1196772738">
      <w:bodyDiv w:val="1"/>
      <w:marLeft w:val="0"/>
      <w:marRight w:val="0"/>
      <w:marTop w:val="0"/>
      <w:marBottom w:val="0"/>
      <w:divBdr>
        <w:top w:val="none" w:sz="0" w:space="0" w:color="auto"/>
        <w:left w:val="none" w:sz="0" w:space="0" w:color="auto"/>
        <w:bottom w:val="none" w:sz="0" w:space="0" w:color="auto"/>
        <w:right w:val="none" w:sz="0" w:space="0" w:color="auto"/>
      </w:divBdr>
    </w:div>
    <w:div w:id="1224414682">
      <w:bodyDiv w:val="1"/>
      <w:marLeft w:val="0"/>
      <w:marRight w:val="0"/>
      <w:marTop w:val="0"/>
      <w:marBottom w:val="0"/>
      <w:divBdr>
        <w:top w:val="none" w:sz="0" w:space="0" w:color="auto"/>
        <w:left w:val="none" w:sz="0" w:space="0" w:color="auto"/>
        <w:bottom w:val="none" w:sz="0" w:space="0" w:color="auto"/>
        <w:right w:val="none" w:sz="0" w:space="0" w:color="auto"/>
      </w:divBdr>
    </w:div>
    <w:div w:id="1254243464">
      <w:bodyDiv w:val="1"/>
      <w:marLeft w:val="0"/>
      <w:marRight w:val="0"/>
      <w:marTop w:val="0"/>
      <w:marBottom w:val="0"/>
      <w:divBdr>
        <w:top w:val="none" w:sz="0" w:space="0" w:color="auto"/>
        <w:left w:val="none" w:sz="0" w:space="0" w:color="auto"/>
        <w:bottom w:val="none" w:sz="0" w:space="0" w:color="auto"/>
        <w:right w:val="none" w:sz="0" w:space="0" w:color="auto"/>
      </w:divBdr>
    </w:div>
    <w:div w:id="1369181275">
      <w:bodyDiv w:val="1"/>
      <w:marLeft w:val="0"/>
      <w:marRight w:val="0"/>
      <w:marTop w:val="0"/>
      <w:marBottom w:val="0"/>
      <w:divBdr>
        <w:top w:val="none" w:sz="0" w:space="0" w:color="auto"/>
        <w:left w:val="none" w:sz="0" w:space="0" w:color="auto"/>
        <w:bottom w:val="none" w:sz="0" w:space="0" w:color="auto"/>
        <w:right w:val="none" w:sz="0" w:space="0" w:color="auto"/>
      </w:divBdr>
    </w:div>
    <w:div w:id="1409767846">
      <w:bodyDiv w:val="1"/>
      <w:marLeft w:val="0"/>
      <w:marRight w:val="0"/>
      <w:marTop w:val="0"/>
      <w:marBottom w:val="0"/>
      <w:divBdr>
        <w:top w:val="none" w:sz="0" w:space="0" w:color="auto"/>
        <w:left w:val="none" w:sz="0" w:space="0" w:color="auto"/>
        <w:bottom w:val="none" w:sz="0" w:space="0" w:color="auto"/>
        <w:right w:val="none" w:sz="0" w:space="0" w:color="auto"/>
      </w:divBdr>
    </w:div>
    <w:div w:id="1486706323">
      <w:bodyDiv w:val="1"/>
      <w:marLeft w:val="0"/>
      <w:marRight w:val="0"/>
      <w:marTop w:val="0"/>
      <w:marBottom w:val="0"/>
      <w:divBdr>
        <w:top w:val="none" w:sz="0" w:space="0" w:color="auto"/>
        <w:left w:val="none" w:sz="0" w:space="0" w:color="auto"/>
        <w:bottom w:val="none" w:sz="0" w:space="0" w:color="auto"/>
        <w:right w:val="none" w:sz="0" w:space="0" w:color="auto"/>
      </w:divBdr>
    </w:div>
    <w:div w:id="1541476182">
      <w:bodyDiv w:val="1"/>
      <w:marLeft w:val="0"/>
      <w:marRight w:val="0"/>
      <w:marTop w:val="0"/>
      <w:marBottom w:val="0"/>
      <w:divBdr>
        <w:top w:val="none" w:sz="0" w:space="0" w:color="auto"/>
        <w:left w:val="none" w:sz="0" w:space="0" w:color="auto"/>
        <w:bottom w:val="none" w:sz="0" w:space="0" w:color="auto"/>
        <w:right w:val="none" w:sz="0" w:space="0" w:color="auto"/>
      </w:divBdr>
    </w:div>
    <w:div w:id="1557938300">
      <w:bodyDiv w:val="1"/>
      <w:marLeft w:val="0"/>
      <w:marRight w:val="0"/>
      <w:marTop w:val="0"/>
      <w:marBottom w:val="0"/>
      <w:divBdr>
        <w:top w:val="none" w:sz="0" w:space="0" w:color="auto"/>
        <w:left w:val="none" w:sz="0" w:space="0" w:color="auto"/>
        <w:bottom w:val="none" w:sz="0" w:space="0" w:color="auto"/>
        <w:right w:val="none" w:sz="0" w:space="0" w:color="auto"/>
      </w:divBdr>
    </w:div>
    <w:div w:id="1567644607">
      <w:bodyDiv w:val="1"/>
      <w:marLeft w:val="0"/>
      <w:marRight w:val="0"/>
      <w:marTop w:val="0"/>
      <w:marBottom w:val="0"/>
      <w:divBdr>
        <w:top w:val="none" w:sz="0" w:space="0" w:color="auto"/>
        <w:left w:val="none" w:sz="0" w:space="0" w:color="auto"/>
        <w:bottom w:val="none" w:sz="0" w:space="0" w:color="auto"/>
        <w:right w:val="none" w:sz="0" w:space="0" w:color="auto"/>
      </w:divBdr>
    </w:div>
    <w:div w:id="1576234905">
      <w:bodyDiv w:val="1"/>
      <w:marLeft w:val="0"/>
      <w:marRight w:val="0"/>
      <w:marTop w:val="0"/>
      <w:marBottom w:val="0"/>
      <w:divBdr>
        <w:top w:val="none" w:sz="0" w:space="0" w:color="auto"/>
        <w:left w:val="none" w:sz="0" w:space="0" w:color="auto"/>
        <w:bottom w:val="none" w:sz="0" w:space="0" w:color="auto"/>
        <w:right w:val="none" w:sz="0" w:space="0" w:color="auto"/>
      </w:divBdr>
    </w:div>
    <w:div w:id="1642882880">
      <w:bodyDiv w:val="1"/>
      <w:marLeft w:val="0"/>
      <w:marRight w:val="0"/>
      <w:marTop w:val="0"/>
      <w:marBottom w:val="0"/>
      <w:divBdr>
        <w:top w:val="none" w:sz="0" w:space="0" w:color="auto"/>
        <w:left w:val="none" w:sz="0" w:space="0" w:color="auto"/>
        <w:bottom w:val="none" w:sz="0" w:space="0" w:color="auto"/>
        <w:right w:val="none" w:sz="0" w:space="0" w:color="auto"/>
      </w:divBdr>
    </w:div>
    <w:div w:id="1714042708">
      <w:bodyDiv w:val="1"/>
      <w:marLeft w:val="0"/>
      <w:marRight w:val="0"/>
      <w:marTop w:val="0"/>
      <w:marBottom w:val="0"/>
      <w:divBdr>
        <w:top w:val="none" w:sz="0" w:space="0" w:color="auto"/>
        <w:left w:val="none" w:sz="0" w:space="0" w:color="auto"/>
        <w:bottom w:val="none" w:sz="0" w:space="0" w:color="auto"/>
        <w:right w:val="none" w:sz="0" w:space="0" w:color="auto"/>
      </w:divBdr>
    </w:div>
    <w:div w:id="1796174214">
      <w:bodyDiv w:val="1"/>
      <w:marLeft w:val="0"/>
      <w:marRight w:val="0"/>
      <w:marTop w:val="0"/>
      <w:marBottom w:val="0"/>
      <w:divBdr>
        <w:top w:val="none" w:sz="0" w:space="0" w:color="auto"/>
        <w:left w:val="none" w:sz="0" w:space="0" w:color="auto"/>
        <w:bottom w:val="none" w:sz="0" w:space="0" w:color="auto"/>
        <w:right w:val="none" w:sz="0" w:space="0" w:color="auto"/>
      </w:divBdr>
    </w:div>
    <w:div w:id="1834371264">
      <w:bodyDiv w:val="1"/>
      <w:marLeft w:val="0"/>
      <w:marRight w:val="0"/>
      <w:marTop w:val="0"/>
      <w:marBottom w:val="0"/>
      <w:divBdr>
        <w:top w:val="none" w:sz="0" w:space="0" w:color="auto"/>
        <w:left w:val="none" w:sz="0" w:space="0" w:color="auto"/>
        <w:bottom w:val="none" w:sz="0" w:space="0" w:color="auto"/>
        <w:right w:val="none" w:sz="0" w:space="0" w:color="auto"/>
      </w:divBdr>
    </w:div>
    <w:div w:id="1869102229">
      <w:bodyDiv w:val="1"/>
      <w:marLeft w:val="0"/>
      <w:marRight w:val="0"/>
      <w:marTop w:val="0"/>
      <w:marBottom w:val="0"/>
      <w:divBdr>
        <w:top w:val="none" w:sz="0" w:space="0" w:color="auto"/>
        <w:left w:val="none" w:sz="0" w:space="0" w:color="auto"/>
        <w:bottom w:val="none" w:sz="0" w:space="0" w:color="auto"/>
        <w:right w:val="none" w:sz="0" w:space="0" w:color="auto"/>
      </w:divBdr>
    </w:div>
    <w:div w:id="1896236104">
      <w:bodyDiv w:val="1"/>
      <w:marLeft w:val="0"/>
      <w:marRight w:val="0"/>
      <w:marTop w:val="0"/>
      <w:marBottom w:val="0"/>
      <w:divBdr>
        <w:top w:val="none" w:sz="0" w:space="0" w:color="auto"/>
        <w:left w:val="none" w:sz="0" w:space="0" w:color="auto"/>
        <w:bottom w:val="none" w:sz="0" w:space="0" w:color="auto"/>
        <w:right w:val="none" w:sz="0" w:space="0" w:color="auto"/>
      </w:divBdr>
    </w:div>
    <w:div w:id="211990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header" Target="header2.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DIA">
      <a:dk1>
        <a:sysClr val="windowText" lastClr="000000"/>
      </a:dk1>
      <a:lt1>
        <a:sysClr val="window" lastClr="FFFFFF"/>
      </a:lt1>
      <a:dk2>
        <a:srgbClr val="17365D"/>
      </a:dk2>
      <a:lt2>
        <a:srgbClr val="EEECE1"/>
      </a:lt2>
      <a:accent1>
        <a:srgbClr val="6B2976"/>
      </a:accent1>
      <a:accent2>
        <a:srgbClr val="64A0C8"/>
      </a:accent2>
      <a:accent3>
        <a:srgbClr val="BA62C8"/>
      </a:accent3>
      <a:accent4>
        <a:srgbClr val="A2C6DE"/>
      </a:accent4>
      <a:accent5>
        <a:srgbClr val="E8CAEC"/>
      </a:accent5>
      <a:accent6>
        <a:srgbClr val="E0ECF4"/>
      </a:accent6>
      <a:hlink>
        <a:srgbClr val="0000CC"/>
      </a:hlink>
      <a:folHlink>
        <a:srgbClr val="0000C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5A56-8F2E-49B5-9C57-8A9759E2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2530</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NDIA Word Template</vt:lpstr>
    </vt:vector>
  </TitlesOfParts>
  <Company>FaHCSIA</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Word Template</dc:title>
  <dc:creator>ERBEN, Thomas</dc:creator>
  <cp:keywords>NDIA Word Template</cp:keywords>
  <cp:lastModifiedBy>Mercoulia, Penny</cp:lastModifiedBy>
  <cp:revision>2</cp:revision>
  <cp:lastPrinted>2016-04-21T10:50:00Z</cp:lastPrinted>
  <dcterms:created xsi:type="dcterms:W3CDTF">2018-12-02T22:40:00Z</dcterms:created>
  <dcterms:modified xsi:type="dcterms:W3CDTF">2018-12-02T22:40:00Z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