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2D" w:rsidRPr="00F64913" w:rsidRDefault="00FE4A76" w:rsidP="0098062D">
      <w:pPr>
        <w:pStyle w:val="Header"/>
        <w:rPr>
          <w:lang w:val="en-AU"/>
        </w:rPr>
      </w:pPr>
      <w:bookmarkStart w:id="0" w:name="_GoBack"/>
      <w:bookmarkEnd w:id="0"/>
      <w:r w:rsidRPr="00F64913">
        <w:rPr>
          <w:rFonts w:ascii="Arial" w:hAnsi="Arial" w:cs="Arial"/>
          <w:noProof/>
          <w:sz w:val="48"/>
          <w:szCs w:val="48"/>
          <w:lang w:val="en-AU" w:eastAsia="en-AU"/>
        </w:rPr>
        <w:drawing>
          <wp:anchor distT="0" distB="0" distL="114300" distR="114300" simplePos="0" relativeHeight="251672576" behindDoc="1" locked="0" layoutInCell="1" allowOverlap="1" wp14:anchorId="1FE8BD85" wp14:editId="67BB951A">
            <wp:simplePos x="0" y="0"/>
            <wp:positionH relativeFrom="page">
              <wp:posOffset>206375</wp:posOffset>
            </wp:positionH>
            <wp:positionV relativeFrom="page">
              <wp:posOffset>64135</wp:posOffset>
            </wp:positionV>
            <wp:extent cx="6839585" cy="8999855"/>
            <wp:effectExtent l="0" t="0" r="0" b="0"/>
            <wp:wrapNone/>
            <wp:docPr id="46" name="Picture 46" descr="Specialist Disability Accommodation Limited Assumptions Review &#10;Final Report 2019" title="Front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p>
    <w:p w:rsidR="0098062D" w:rsidRPr="00F64913" w:rsidRDefault="0098062D" w:rsidP="0098062D">
      <w:pPr>
        <w:pStyle w:val="Header"/>
        <w:rPr>
          <w:lang w:val="en-AU"/>
        </w:rPr>
      </w:pPr>
      <w:bookmarkStart w:id="1" w:name="_Hlk536206679"/>
      <w:bookmarkEnd w:id="1"/>
    </w:p>
    <w:p w:rsidR="0098062D" w:rsidRPr="00F64913" w:rsidRDefault="0098062D" w:rsidP="0098062D">
      <w:pPr>
        <w:pStyle w:val="Doctitle"/>
        <w:spacing w:before="1000" w:beforeAutospacing="0" w:after="800" w:afterAutospacing="0"/>
        <w:jc w:val="center"/>
        <w:rPr>
          <w:rFonts w:ascii="Arial" w:hAnsi="Arial" w:cs="Arial"/>
          <w:sz w:val="48"/>
          <w:szCs w:val="48"/>
        </w:rPr>
      </w:pPr>
      <w:r w:rsidRPr="00F64913">
        <w:rPr>
          <w:rFonts w:ascii="Arial" w:hAnsi="Arial" w:cs="Arial"/>
          <w:sz w:val="48"/>
          <w:szCs w:val="48"/>
        </w:rPr>
        <w:t xml:space="preserve">Specialist Disability Accommodation </w:t>
      </w:r>
      <w:r w:rsidR="000A58A3">
        <w:rPr>
          <w:rFonts w:ascii="Arial" w:hAnsi="Arial" w:cs="Arial"/>
          <w:sz w:val="48"/>
          <w:szCs w:val="48"/>
        </w:rPr>
        <w:t>Limited Cost Assumptions</w:t>
      </w:r>
      <w:r w:rsidRPr="00F64913">
        <w:rPr>
          <w:rFonts w:ascii="Arial" w:hAnsi="Arial" w:cs="Arial"/>
          <w:sz w:val="48"/>
          <w:szCs w:val="48"/>
        </w:rPr>
        <w:t xml:space="preserve"> Review</w:t>
      </w:r>
    </w:p>
    <w:p w:rsidR="0098062D" w:rsidRPr="00F64913" w:rsidRDefault="0098062D" w:rsidP="0098062D">
      <w:pPr>
        <w:pStyle w:val="Doctitle"/>
        <w:spacing w:before="1000" w:beforeAutospacing="0" w:after="800" w:afterAutospacing="0"/>
        <w:jc w:val="center"/>
        <w:rPr>
          <w:rFonts w:ascii="Arial" w:hAnsi="Arial" w:cs="Arial"/>
        </w:rPr>
      </w:pPr>
    </w:p>
    <w:p w:rsidR="00507084" w:rsidRDefault="005F76CE" w:rsidP="005F76CE">
      <w:pPr>
        <w:pStyle w:val="Doctitle"/>
        <w:tabs>
          <w:tab w:val="center" w:pos="4513"/>
          <w:tab w:val="left" w:pos="6889"/>
        </w:tabs>
        <w:spacing w:before="1000" w:beforeAutospacing="0" w:after="800" w:afterAutospacing="0"/>
        <w:rPr>
          <w:rFonts w:ascii="Arial" w:hAnsi="Arial" w:cs="Arial"/>
          <w:sz w:val="48"/>
          <w:szCs w:val="48"/>
        </w:rPr>
      </w:pPr>
      <w:r>
        <w:rPr>
          <w:rFonts w:ascii="Arial" w:hAnsi="Arial" w:cs="Arial"/>
          <w:sz w:val="48"/>
          <w:szCs w:val="48"/>
        </w:rPr>
        <w:tab/>
      </w:r>
      <w:r w:rsidR="0098062D" w:rsidRPr="00F64913">
        <w:rPr>
          <w:rFonts w:ascii="Arial" w:hAnsi="Arial" w:cs="Arial"/>
          <w:sz w:val="48"/>
          <w:szCs w:val="48"/>
        </w:rPr>
        <w:t>Final</w:t>
      </w:r>
      <w:r w:rsidR="0098062D" w:rsidRPr="00F64913">
        <w:rPr>
          <w:rFonts w:ascii="Arial" w:hAnsi="Arial" w:cs="Arial"/>
        </w:rPr>
        <w:t xml:space="preserve"> </w:t>
      </w:r>
      <w:r w:rsidR="0098062D" w:rsidRPr="00F64913">
        <w:rPr>
          <w:rFonts w:ascii="Arial" w:hAnsi="Arial" w:cs="Arial"/>
          <w:sz w:val="48"/>
          <w:szCs w:val="48"/>
        </w:rPr>
        <w:t>Report</w:t>
      </w:r>
      <w:r>
        <w:rPr>
          <w:rFonts w:ascii="Arial" w:hAnsi="Arial" w:cs="Arial"/>
          <w:sz w:val="48"/>
          <w:szCs w:val="48"/>
        </w:rPr>
        <w:tab/>
      </w:r>
    </w:p>
    <w:p w:rsidR="00507084" w:rsidRDefault="00507084" w:rsidP="0098062D">
      <w:pPr>
        <w:pStyle w:val="Doctitle"/>
        <w:spacing w:before="1000" w:beforeAutospacing="0" w:after="800" w:afterAutospacing="0"/>
        <w:jc w:val="center"/>
        <w:rPr>
          <w:sz w:val="48"/>
          <w:szCs w:val="48"/>
        </w:rPr>
      </w:pPr>
    </w:p>
    <w:p w:rsidR="0098062D" w:rsidRPr="00F64913" w:rsidRDefault="0098062D" w:rsidP="0098062D">
      <w:pPr>
        <w:pStyle w:val="Doctitle"/>
        <w:spacing w:before="1000" w:beforeAutospacing="0" w:after="800" w:afterAutospacing="0"/>
        <w:jc w:val="center"/>
        <w:rPr>
          <w:sz w:val="48"/>
          <w:szCs w:val="48"/>
        </w:rPr>
      </w:pPr>
      <w:r w:rsidRPr="00F64913">
        <w:rPr>
          <w:sz w:val="48"/>
          <w:szCs w:val="48"/>
        </w:rPr>
        <w:t>National Disability Insurance Agency</w:t>
      </w:r>
      <w:bookmarkStart w:id="2" w:name="_Toc514784994"/>
      <w:bookmarkStart w:id="3" w:name="_Toc514853676"/>
    </w:p>
    <w:p w:rsidR="0098062D" w:rsidRPr="00F64913" w:rsidRDefault="0098062D" w:rsidP="0098062D">
      <w:pPr>
        <w:rPr>
          <w:lang w:val="en-AU" w:eastAsia="en-AU"/>
        </w:rPr>
      </w:pPr>
    </w:p>
    <w:p w:rsidR="0098062D" w:rsidRPr="00F64913" w:rsidRDefault="0098062D" w:rsidP="0098062D">
      <w:pPr>
        <w:rPr>
          <w:lang w:val="en-AU" w:eastAsia="en-AU"/>
        </w:rPr>
      </w:pPr>
    </w:p>
    <w:p w:rsidR="00944174" w:rsidRPr="00F64913" w:rsidRDefault="00A72632" w:rsidP="00FE4A76">
      <w:pPr>
        <w:jc w:val="center"/>
        <w:rPr>
          <w:b/>
          <w:lang w:val="en-AU"/>
        </w:rPr>
        <w:sectPr w:rsidR="00944174" w:rsidRPr="00F64913" w:rsidSect="007C422F">
          <w:footerReference w:type="default" r:id="rId12"/>
          <w:headerReference w:type="first" r:id="rId13"/>
          <w:footerReference w:type="first" r:id="rId14"/>
          <w:type w:val="continuous"/>
          <w:pgSz w:w="11906" w:h="16838" w:code="9"/>
          <w:pgMar w:top="1440" w:right="1440" w:bottom="1440" w:left="1440" w:header="709" w:footer="709" w:gutter="0"/>
          <w:pgNumType w:start="1"/>
          <w:cols w:space="708"/>
          <w:titlePg/>
          <w:docGrid w:linePitch="360"/>
        </w:sectPr>
      </w:pPr>
      <w:r>
        <w:rPr>
          <w:b/>
          <w:color w:val="FFFFFF" w:themeColor="background1"/>
          <w:sz w:val="40"/>
          <w:szCs w:val="40"/>
          <w:lang w:val="en-AU"/>
        </w:rPr>
        <w:t xml:space="preserve">October </w:t>
      </w:r>
      <w:r w:rsidR="0098062D" w:rsidRPr="00F64913">
        <w:rPr>
          <w:b/>
          <w:color w:val="FFFFFF" w:themeColor="background1"/>
          <w:sz w:val="40"/>
          <w:szCs w:val="40"/>
          <w:lang w:val="en-AU"/>
        </w:rPr>
        <w:t>201</w:t>
      </w:r>
      <w:bookmarkEnd w:id="2"/>
      <w:bookmarkEnd w:id="3"/>
      <w:r w:rsidR="0098062D" w:rsidRPr="00F64913">
        <w:rPr>
          <w:b/>
          <w:color w:val="FFFFFF" w:themeColor="background1"/>
          <w:sz w:val="40"/>
          <w:szCs w:val="40"/>
          <w:lang w:val="en-AU"/>
        </w:rPr>
        <w:t>9</w:t>
      </w:r>
    </w:p>
    <w:p w:rsidR="00944174" w:rsidRPr="00F64913" w:rsidRDefault="00944174" w:rsidP="00D7752A">
      <w:pPr>
        <w:tabs>
          <w:tab w:val="left" w:pos="7822"/>
        </w:tabs>
        <w:rPr>
          <w:b/>
          <w:lang w:val="en-AU"/>
        </w:rPr>
      </w:pPr>
      <w:r w:rsidRPr="00F64913">
        <w:rPr>
          <w:b/>
          <w:lang w:val="en-AU"/>
        </w:rPr>
        <w:lastRenderedPageBreak/>
        <w:t>Copyright</w:t>
      </w:r>
      <w:r w:rsidR="00D7752A">
        <w:rPr>
          <w:b/>
          <w:lang w:val="en-AU"/>
        </w:rPr>
        <w:tab/>
      </w:r>
    </w:p>
    <w:p w:rsidR="00944174" w:rsidRPr="00F64913" w:rsidRDefault="00944174" w:rsidP="0098062D">
      <w:pPr>
        <w:rPr>
          <w:lang w:val="en-AU"/>
        </w:rPr>
      </w:pPr>
      <w:r w:rsidRPr="00F64913">
        <w:rPr>
          <w:lang w:val="en-AU"/>
        </w:rPr>
        <w:t xml:space="preserve">Copyright in the information contained in this Pricing </w:t>
      </w:r>
      <w:r w:rsidR="009079D2">
        <w:rPr>
          <w:lang w:val="en-AU"/>
        </w:rPr>
        <w:t>Guide</w:t>
      </w:r>
      <w:r w:rsidRPr="00F64913">
        <w:rPr>
          <w:lang w:val="en-AU"/>
        </w:rPr>
        <w:t xml:space="preserve"> is owned and protected by the National Disability Insurance Scheme Launch Transition Agency (National Disability Insurance Agency).</w:t>
      </w:r>
    </w:p>
    <w:p w:rsidR="00944174" w:rsidRPr="00F64913" w:rsidRDefault="00944174" w:rsidP="0098062D">
      <w:pPr>
        <w:rPr>
          <w:lang w:val="en-AU"/>
        </w:rPr>
      </w:pPr>
    </w:p>
    <w:p w:rsidR="00944174" w:rsidRPr="00F64913" w:rsidRDefault="00944174" w:rsidP="0098062D">
      <w:pPr>
        <w:rPr>
          <w:b/>
          <w:lang w:val="en-AU"/>
        </w:rPr>
      </w:pPr>
      <w:r w:rsidRPr="00F64913">
        <w:rPr>
          <w:b/>
          <w:lang w:val="en-AU"/>
        </w:rPr>
        <w:t>Use of National Disability Insurance Agency copyright material</w:t>
      </w:r>
    </w:p>
    <w:p w:rsidR="00944174" w:rsidRPr="00F64913" w:rsidRDefault="00944174" w:rsidP="0098062D">
      <w:pPr>
        <w:rPr>
          <w:lang w:val="en-AU"/>
        </w:rPr>
      </w:pPr>
      <w:r w:rsidRPr="00F64913">
        <w:rPr>
          <w:lang w:val="en-AU"/>
        </w:rPr>
        <w:t>The material in this report with the exception of logos, trademarks, third party material and other content as specified is licensed under Creative Commons CC NC licence, version 3.0. With the exception of logos, trademarks, third party material and other content as specified, you may reproduce the material in this Pricing Strategy, provided you acknowledge the National Disability Insurance Agency as the owner of all intellectual property rights in the reproduced material by using ‘© National Disability Insurance Scheme Launch Transition Agency 2018’ and do not use the material for commercial purposes.</w:t>
      </w:r>
    </w:p>
    <w:p w:rsidR="00944174" w:rsidRPr="00F64913" w:rsidRDefault="00944174" w:rsidP="0098062D">
      <w:pPr>
        <w:rPr>
          <w:lang w:val="en-AU"/>
        </w:rPr>
      </w:pPr>
      <w:r w:rsidRPr="00F64913">
        <w:rPr>
          <w:lang w:val="en-AU"/>
        </w:rPr>
        <w:t>Reproduction of any Creative Commons material in this Price Guide is subject to the CC NC licence conditions available on the Creative Commons site, as is the full legal code for this material.</w:t>
      </w:r>
    </w:p>
    <w:p w:rsidR="00944174" w:rsidRPr="00F64913" w:rsidRDefault="00944174" w:rsidP="0098062D">
      <w:pPr>
        <w:rPr>
          <w:lang w:val="en-AU"/>
        </w:rPr>
      </w:pPr>
    </w:p>
    <w:p w:rsidR="00944174" w:rsidRPr="00F64913" w:rsidRDefault="00944174" w:rsidP="0098062D">
      <w:pPr>
        <w:rPr>
          <w:b/>
          <w:lang w:val="en-AU"/>
        </w:rPr>
      </w:pPr>
      <w:r w:rsidRPr="00F64913">
        <w:rPr>
          <w:b/>
          <w:lang w:val="en-AU"/>
        </w:rPr>
        <w:t>Terms that we use</w:t>
      </w:r>
    </w:p>
    <w:tbl>
      <w:tblPr>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944174" w:rsidRPr="00F64913" w:rsidTr="00944174">
        <w:trPr>
          <w:tblHeader/>
        </w:trPr>
        <w:tc>
          <w:tcPr>
            <w:tcW w:w="2122" w:type="dxa"/>
          </w:tcPr>
          <w:p w:rsidR="00944174" w:rsidRPr="00F64913" w:rsidRDefault="00944174" w:rsidP="0098062D">
            <w:pPr>
              <w:rPr>
                <w:lang w:val="en-AU"/>
              </w:rPr>
            </w:pPr>
            <w:r w:rsidRPr="00F64913">
              <w:rPr>
                <w:lang w:val="en-AU"/>
              </w:rPr>
              <w:t>NDIA</w:t>
            </w:r>
          </w:p>
        </w:tc>
        <w:tc>
          <w:tcPr>
            <w:tcW w:w="6894" w:type="dxa"/>
          </w:tcPr>
          <w:p w:rsidR="00944174" w:rsidRPr="00F64913" w:rsidRDefault="00944174" w:rsidP="0098062D">
            <w:pPr>
              <w:rPr>
                <w:lang w:val="en-AU"/>
              </w:rPr>
            </w:pPr>
            <w:r w:rsidRPr="00F64913">
              <w:rPr>
                <w:lang w:val="en-AU"/>
              </w:rPr>
              <w:t>National Disability Insurance Agency</w:t>
            </w:r>
          </w:p>
        </w:tc>
      </w:tr>
      <w:tr w:rsidR="00944174" w:rsidRPr="00F64913" w:rsidTr="00944174">
        <w:tc>
          <w:tcPr>
            <w:tcW w:w="2122" w:type="dxa"/>
          </w:tcPr>
          <w:p w:rsidR="00944174" w:rsidRPr="00F64913" w:rsidRDefault="00944174" w:rsidP="0098062D">
            <w:pPr>
              <w:rPr>
                <w:lang w:val="en-AU"/>
              </w:rPr>
            </w:pPr>
            <w:r w:rsidRPr="00F64913">
              <w:rPr>
                <w:lang w:val="en-AU"/>
              </w:rPr>
              <w:t>NDIS</w:t>
            </w:r>
          </w:p>
        </w:tc>
        <w:tc>
          <w:tcPr>
            <w:tcW w:w="6894" w:type="dxa"/>
          </w:tcPr>
          <w:p w:rsidR="00944174" w:rsidRPr="00F64913" w:rsidRDefault="00944174" w:rsidP="0098062D">
            <w:pPr>
              <w:rPr>
                <w:lang w:val="en-AU"/>
              </w:rPr>
            </w:pPr>
            <w:r w:rsidRPr="00F64913">
              <w:rPr>
                <w:lang w:val="en-AU"/>
              </w:rPr>
              <w:t>National Disability Insurance Scheme</w:t>
            </w:r>
          </w:p>
        </w:tc>
      </w:tr>
      <w:tr w:rsidR="00944174" w:rsidRPr="00F64913" w:rsidTr="00944174">
        <w:tc>
          <w:tcPr>
            <w:tcW w:w="2122" w:type="dxa"/>
          </w:tcPr>
          <w:p w:rsidR="00944174" w:rsidRPr="00F64913" w:rsidRDefault="00944174" w:rsidP="0098062D">
            <w:pPr>
              <w:rPr>
                <w:lang w:val="en-AU"/>
              </w:rPr>
            </w:pPr>
            <w:r w:rsidRPr="00F64913">
              <w:rPr>
                <w:lang w:val="en-AU"/>
              </w:rPr>
              <w:t>NDIS Q&amp;SC</w:t>
            </w:r>
          </w:p>
        </w:tc>
        <w:tc>
          <w:tcPr>
            <w:tcW w:w="6894" w:type="dxa"/>
          </w:tcPr>
          <w:p w:rsidR="00944174" w:rsidRPr="00F64913" w:rsidRDefault="00944174" w:rsidP="0098062D">
            <w:pPr>
              <w:rPr>
                <w:lang w:val="en-AU"/>
              </w:rPr>
            </w:pPr>
            <w:r w:rsidRPr="00F64913">
              <w:rPr>
                <w:lang w:val="en-AU"/>
              </w:rPr>
              <w:t>National Disability Insurance Scheme Quality and Safeguards Commission</w:t>
            </w:r>
          </w:p>
        </w:tc>
      </w:tr>
      <w:tr w:rsidR="00C15B4C" w:rsidRPr="00F64913" w:rsidTr="00944174">
        <w:tc>
          <w:tcPr>
            <w:tcW w:w="2122" w:type="dxa"/>
          </w:tcPr>
          <w:p w:rsidR="00C15B4C" w:rsidRPr="00F64913" w:rsidRDefault="00C15B4C" w:rsidP="0098062D">
            <w:pPr>
              <w:rPr>
                <w:lang w:val="en-AU"/>
              </w:rPr>
            </w:pPr>
            <w:r w:rsidRPr="00F64913">
              <w:rPr>
                <w:lang w:val="en-AU"/>
              </w:rPr>
              <w:t>OOA</w:t>
            </w:r>
          </w:p>
        </w:tc>
        <w:tc>
          <w:tcPr>
            <w:tcW w:w="6894" w:type="dxa"/>
          </w:tcPr>
          <w:p w:rsidR="00C15B4C" w:rsidRPr="00F64913" w:rsidRDefault="00C15B4C" w:rsidP="0098062D">
            <w:pPr>
              <w:rPr>
                <w:lang w:val="en-AU"/>
              </w:rPr>
            </w:pPr>
            <w:r w:rsidRPr="00F64913">
              <w:rPr>
                <w:lang w:val="en-AU"/>
              </w:rPr>
              <w:t>Onsite Overnight Accommodation</w:t>
            </w:r>
          </w:p>
        </w:tc>
      </w:tr>
      <w:tr w:rsidR="007F7CC3" w:rsidRPr="00F64913" w:rsidTr="00944174">
        <w:tc>
          <w:tcPr>
            <w:tcW w:w="2122" w:type="dxa"/>
          </w:tcPr>
          <w:p w:rsidR="007F7CC3" w:rsidRPr="00F64913" w:rsidRDefault="007F7CC3" w:rsidP="0098062D">
            <w:pPr>
              <w:rPr>
                <w:lang w:val="en-AU"/>
              </w:rPr>
            </w:pPr>
            <w:r w:rsidRPr="00F64913">
              <w:rPr>
                <w:lang w:val="en-AU"/>
              </w:rPr>
              <w:t>SDA</w:t>
            </w:r>
          </w:p>
        </w:tc>
        <w:tc>
          <w:tcPr>
            <w:tcW w:w="6894" w:type="dxa"/>
          </w:tcPr>
          <w:p w:rsidR="007F7CC3" w:rsidRPr="00F64913" w:rsidRDefault="007F7CC3" w:rsidP="0098062D">
            <w:pPr>
              <w:rPr>
                <w:lang w:val="en-AU"/>
              </w:rPr>
            </w:pPr>
            <w:r w:rsidRPr="00F64913">
              <w:rPr>
                <w:lang w:val="en-AU"/>
              </w:rPr>
              <w:t>Specialist Disability Accommodation</w:t>
            </w:r>
          </w:p>
        </w:tc>
      </w:tr>
    </w:tbl>
    <w:p w:rsidR="00944174" w:rsidRPr="00F64913" w:rsidRDefault="00944174" w:rsidP="0098062D">
      <w:pPr>
        <w:rPr>
          <w:b/>
          <w:lang w:val="en-AU"/>
        </w:rPr>
      </w:pPr>
    </w:p>
    <w:p w:rsidR="007F7CC3" w:rsidRPr="00F64913" w:rsidRDefault="007F7CC3" w:rsidP="0098062D">
      <w:pPr>
        <w:rPr>
          <w:b/>
          <w:lang w:val="en-AU"/>
        </w:rPr>
      </w:pPr>
      <w:r w:rsidRPr="00F64913">
        <w:rPr>
          <w:b/>
          <w:lang w:val="en-AU"/>
        </w:rPr>
        <w:t>Acknowledgment</w:t>
      </w:r>
    </w:p>
    <w:p w:rsidR="00CC6536" w:rsidRPr="00F64913" w:rsidRDefault="007F7CC3" w:rsidP="0098062D">
      <w:pPr>
        <w:spacing w:line="259" w:lineRule="auto"/>
        <w:rPr>
          <w:rFonts w:ascii="Times New Roman" w:hAnsi="Times New Roman" w:cs="Times New Roman"/>
          <w:lang w:val="en-AU"/>
        </w:rPr>
      </w:pPr>
      <w:r w:rsidRPr="00F64913">
        <w:rPr>
          <w:rFonts w:ascii="Times New Roman" w:hAnsi="Times New Roman" w:cs="Times New Roman"/>
          <w:lang w:val="en-AU"/>
        </w:rPr>
        <w:t xml:space="preserve">Growing a strong and successful SDA market </w:t>
      </w:r>
      <w:r w:rsidR="00545443">
        <w:rPr>
          <w:rFonts w:ascii="Times New Roman" w:hAnsi="Times New Roman" w:cs="Times New Roman"/>
          <w:lang w:val="en-AU"/>
        </w:rPr>
        <w:t xml:space="preserve">that enhances participant choice and control </w:t>
      </w:r>
      <w:r w:rsidRPr="00F64913">
        <w:rPr>
          <w:rFonts w:ascii="Times New Roman" w:hAnsi="Times New Roman" w:cs="Times New Roman"/>
          <w:lang w:val="en-AU"/>
        </w:rPr>
        <w:t>will require constructive communication between the market, participants, Commonwealth and state and territory governments, and the NDIA. The NDIA wishes to thank the persons and organisations who contributed information, evide</w:t>
      </w:r>
      <w:r w:rsidR="0098062D" w:rsidRPr="00F64913">
        <w:rPr>
          <w:rFonts w:ascii="Times New Roman" w:hAnsi="Times New Roman" w:cs="Times New Roman"/>
          <w:lang w:val="en-AU"/>
        </w:rPr>
        <w:t>nce, time and resources to the R</w:t>
      </w:r>
      <w:r w:rsidRPr="00F64913">
        <w:rPr>
          <w:rFonts w:ascii="Times New Roman" w:hAnsi="Times New Roman" w:cs="Times New Roman"/>
          <w:lang w:val="en-AU"/>
        </w:rPr>
        <w:t xml:space="preserve">eview through submissions and the consultation process. </w:t>
      </w:r>
      <w:r w:rsidR="00CC6536" w:rsidRPr="00F64913">
        <w:rPr>
          <w:rFonts w:ascii="Times New Roman" w:hAnsi="Times New Roman" w:cs="Times New Roman"/>
          <w:lang w:val="en-AU"/>
        </w:rPr>
        <w:br w:type="page"/>
      </w:r>
    </w:p>
    <w:sdt>
      <w:sdtPr>
        <w:rPr>
          <w:b w:val="0"/>
          <w:color w:val="auto"/>
          <w:sz w:val="24"/>
          <w:lang w:val="en-AU"/>
        </w:rPr>
        <w:id w:val="1968247272"/>
        <w:docPartObj>
          <w:docPartGallery w:val="Table of Contents"/>
          <w:docPartUnique/>
        </w:docPartObj>
      </w:sdtPr>
      <w:sdtEndPr>
        <w:rPr>
          <w:bCs/>
          <w:noProof/>
        </w:rPr>
      </w:sdtEndPr>
      <w:sdtContent>
        <w:p w:rsidR="0098062D" w:rsidRPr="00F64913" w:rsidRDefault="0098062D" w:rsidP="00C80B86">
          <w:pPr>
            <w:pStyle w:val="TOCHeading"/>
            <w:rPr>
              <w:lang w:val="en-AU"/>
            </w:rPr>
          </w:pPr>
          <w:r w:rsidRPr="00E80455">
            <w:t>Contents</w:t>
          </w:r>
        </w:p>
        <w:p w:rsidR="00282D45" w:rsidRDefault="0098062D">
          <w:pPr>
            <w:pStyle w:val="TOC1"/>
            <w:tabs>
              <w:tab w:val="right" w:leader="dot" w:pos="9016"/>
            </w:tabs>
            <w:rPr>
              <w:rFonts w:eastAsiaTheme="minorEastAsia"/>
              <w:noProof/>
              <w:sz w:val="22"/>
              <w:szCs w:val="22"/>
              <w:lang w:val="en-AU" w:eastAsia="en-AU"/>
            </w:rPr>
          </w:pPr>
          <w:r w:rsidRPr="00F64913">
            <w:rPr>
              <w:lang w:val="en-AU"/>
            </w:rPr>
            <w:fldChar w:fldCharType="begin"/>
          </w:r>
          <w:r w:rsidR="00BB5D51">
            <w:rPr>
              <w:lang w:val="en-AU"/>
            </w:rPr>
            <w:instrText xml:space="preserve"> TOC \o "1-2</w:instrText>
          </w:r>
          <w:r w:rsidRPr="00F64913">
            <w:rPr>
              <w:lang w:val="en-AU"/>
            </w:rPr>
            <w:instrText xml:space="preserve">" \h \z \u </w:instrText>
          </w:r>
          <w:r w:rsidRPr="00F64913">
            <w:rPr>
              <w:lang w:val="en-AU"/>
            </w:rPr>
            <w:fldChar w:fldCharType="separate"/>
          </w:r>
          <w:hyperlink w:anchor="_Toc23156368" w:history="1">
            <w:r w:rsidR="00282D45" w:rsidRPr="005C4C46">
              <w:rPr>
                <w:rStyle w:val="Hyperlink"/>
                <w:noProof/>
                <w:lang w:val="en-AU"/>
              </w:rPr>
              <w:t>Executive Summary</w:t>
            </w:r>
            <w:r w:rsidR="00282D45">
              <w:rPr>
                <w:noProof/>
                <w:webHidden/>
              </w:rPr>
              <w:tab/>
            </w:r>
            <w:r w:rsidR="00282D45">
              <w:rPr>
                <w:noProof/>
                <w:webHidden/>
              </w:rPr>
              <w:fldChar w:fldCharType="begin"/>
            </w:r>
            <w:r w:rsidR="00282D45">
              <w:rPr>
                <w:noProof/>
                <w:webHidden/>
              </w:rPr>
              <w:instrText xml:space="preserve"> PAGEREF _Toc23156368 \h </w:instrText>
            </w:r>
            <w:r w:rsidR="00282D45">
              <w:rPr>
                <w:noProof/>
                <w:webHidden/>
              </w:rPr>
            </w:r>
            <w:r w:rsidR="00282D45">
              <w:rPr>
                <w:noProof/>
                <w:webHidden/>
              </w:rPr>
              <w:fldChar w:fldCharType="separate"/>
            </w:r>
            <w:r w:rsidR="00282D45">
              <w:rPr>
                <w:noProof/>
                <w:webHidden/>
              </w:rPr>
              <w:t>3</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69" w:history="1">
            <w:r w:rsidR="00282D45" w:rsidRPr="005C4C46">
              <w:rPr>
                <w:rStyle w:val="Hyperlink"/>
                <w:noProof/>
              </w:rPr>
              <w:t>Review Findings</w:t>
            </w:r>
            <w:r w:rsidR="00282D45">
              <w:rPr>
                <w:noProof/>
                <w:webHidden/>
              </w:rPr>
              <w:tab/>
            </w:r>
            <w:r w:rsidR="00282D45">
              <w:rPr>
                <w:noProof/>
                <w:webHidden/>
              </w:rPr>
              <w:fldChar w:fldCharType="begin"/>
            </w:r>
            <w:r w:rsidR="00282D45">
              <w:rPr>
                <w:noProof/>
                <w:webHidden/>
              </w:rPr>
              <w:instrText xml:space="preserve"> PAGEREF _Toc23156369 \h </w:instrText>
            </w:r>
            <w:r w:rsidR="00282D45">
              <w:rPr>
                <w:noProof/>
                <w:webHidden/>
              </w:rPr>
            </w:r>
            <w:r w:rsidR="00282D45">
              <w:rPr>
                <w:noProof/>
                <w:webHidden/>
              </w:rPr>
              <w:fldChar w:fldCharType="separate"/>
            </w:r>
            <w:r w:rsidR="00282D45">
              <w:rPr>
                <w:noProof/>
                <w:webHidden/>
              </w:rPr>
              <w:t>5</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70" w:history="1">
            <w:r w:rsidR="00282D45" w:rsidRPr="005C4C46">
              <w:rPr>
                <w:rStyle w:val="Hyperlink"/>
                <w:noProof/>
                <w:lang w:val="en-AU"/>
              </w:rPr>
              <w:t>1.</w:t>
            </w:r>
            <w:r w:rsidR="00282D45">
              <w:rPr>
                <w:rFonts w:eastAsiaTheme="minorEastAsia"/>
                <w:noProof/>
                <w:sz w:val="22"/>
                <w:szCs w:val="22"/>
                <w:lang w:val="en-AU" w:eastAsia="en-AU"/>
              </w:rPr>
              <w:tab/>
            </w:r>
            <w:r w:rsidR="00282D45" w:rsidRPr="005C4C46">
              <w:rPr>
                <w:rStyle w:val="Hyperlink"/>
                <w:noProof/>
                <w:lang w:val="en-AU"/>
              </w:rPr>
              <w:t>Scope, Purpose and Process of the Review</w:t>
            </w:r>
            <w:r w:rsidR="00282D45">
              <w:rPr>
                <w:noProof/>
                <w:webHidden/>
              </w:rPr>
              <w:tab/>
            </w:r>
            <w:r w:rsidR="00282D45">
              <w:rPr>
                <w:noProof/>
                <w:webHidden/>
              </w:rPr>
              <w:fldChar w:fldCharType="begin"/>
            </w:r>
            <w:r w:rsidR="00282D45">
              <w:rPr>
                <w:noProof/>
                <w:webHidden/>
              </w:rPr>
              <w:instrText xml:space="preserve"> PAGEREF _Toc23156370 \h </w:instrText>
            </w:r>
            <w:r w:rsidR="00282D45">
              <w:rPr>
                <w:noProof/>
                <w:webHidden/>
              </w:rPr>
            </w:r>
            <w:r w:rsidR="00282D45">
              <w:rPr>
                <w:noProof/>
                <w:webHidden/>
              </w:rPr>
              <w:fldChar w:fldCharType="separate"/>
            </w:r>
            <w:r w:rsidR="00282D45">
              <w:rPr>
                <w:noProof/>
                <w:webHidden/>
              </w:rPr>
              <w:t>9</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1" w:history="1">
            <w:r w:rsidR="00282D45" w:rsidRPr="005C4C46">
              <w:rPr>
                <w:rStyle w:val="Hyperlink"/>
                <w:noProof/>
              </w:rPr>
              <w:t>1.1</w:t>
            </w:r>
            <w:r w:rsidR="00282D45">
              <w:rPr>
                <w:rFonts w:eastAsiaTheme="minorEastAsia"/>
                <w:noProof/>
                <w:sz w:val="22"/>
                <w:szCs w:val="22"/>
                <w:lang w:val="en-AU" w:eastAsia="en-AU"/>
              </w:rPr>
              <w:tab/>
            </w:r>
            <w:r w:rsidR="00282D45" w:rsidRPr="005C4C46">
              <w:rPr>
                <w:rStyle w:val="Hyperlink"/>
                <w:noProof/>
              </w:rPr>
              <w:t>SDA Pricing and Payments Framework</w:t>
            </w:r>
            <w:r w:rsidR="00282D45">
              <w:rPr>
                <w:noProof/>
                <w:webHidden/>
              </w:rPr>
              <w:tab/>
            </w:r>
            <w:r w:rsidR="00282D45">
              <w:rPr>
                <w:noProof/>
                <w:webHidden/>
              </w:rPr>
              <w:fldChar w:fldCharType="begin"/>
            </w:r>
            <w:r w:rsidR="00282D45">
              <w:rPr>
                <w:noProof/>
                <w:webHidden/>
              </w:rPr>
              <w:instrText xml:space="preserve"> PAGEREF _Toc23156371 \h </w:instrText>
            </w:r>
            <w:r w:rsidR="00282D45">
              <w:rPr>
                <w:noProof/>
                <w:webHidden/>
              </w:rPr>
            </w:r>
            <w:r w:rsidR="00282D45">
              <w:rPr>
                <w:noProof/>
                <w:webHidden/>
              </w:rPr>
              <w:fldChar w:fldCharType="separate"/>
            </w:r>
            <w:r w:rsidR="00282D45">
              <w:rPr>
                <w:noProof/>
                <w:webHidden/>
              </w:rPr>
              <w:t>9</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2" w:history="1">
            <w:r w:rsidR="00282D45" w:rsidRPr="005C4C46">
              <w:rPr>
                <w:rStyle w:val="Hyperlink"/>
                <w:noProof/>
              </w:rPr>
              <w:t>1.2</w:t>
            </w:r>
            <w:r w:rsidR="00282D45">
              <w:rPr>
                <w:rFonts w:eastAsiaTheme="minorEastAsia"/>
                <w:noProof/>
                <w:sz w:val="22"/>
                <w:szCs w:val="22"/>
                <w:lang w:val="en-AU" w:eastAsia="en-AU"/>
              </w:rPr>
              <w:tab/>
            </w:r>
            <w:r w:rsidR="00282D45" w:rsidRPr="005C4C46">
              <w:rPr>
                <w:rStyle w:val="Hyperlink"/>
                <w:noProof/>
              </w:rPr>
              <w:t>SDA Limited Cost Assumptions Review</w:t>
            </w:r>
            <w:r w:rsidR="00282D45">
              <w:rPr>
                <w:noProof/>
                <w:webHidden/>
              </w:rPr>
              <w:tab/>
            </w:r>
            <w:r w:rsidR="00282D45">
              <w:rPr>
                <w:noProof/>
                <w:webHidden/>
              </w:rPr>
              <w:fldChar w:fldCharType="begin"/>
            </w:r>
            <w:r w:rsidR="00282D45">
              <w:rPr>
                <w:noProof/>
                <w:webHidden/>
              </w:rPr>
              <w:instrText xml:space="preserve"> PAGEREF _Toc23156372 \h </w:instrText>
            </w:r>
            <w:r w:rsidR="00282D45">
              <w:rPr>
                <w:noProof/>
                <w:webHidden/>
              </w:rPr>
            </w:r>
            <w:r w:rsidR="00282D45">
              <w:rPr>
                <w:noProof/>
                <w:webHidden/>
              </w:rPr>
              <w:fldChar w:fldCharType="separate"/>
            </w:r>
            <w:r w:rsidR="00282D45">
              <w:rPr>
                <w:noProof/>
                <w:webHidden/>
              </w:rPr>
              <w:t>11</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3" w:history="1">
            <w:r w:rsidR="00282D45" w:rsidRPr="005C4C46">
              <w:rPr>
                <w:rStyle w:val="Hyperlink"/>
                <w:noProof/>
              </w:rPr>
              <w:t>1.3</w:t>
            </w:r>
            <w:r w:rsidR="00282D45">
              <w:rPr>
                <w:rFonts w:eastAsiaTheme="minorEastAsia"/>
                <w:noProof/>
                <w:sz w:val="22"/>
                <w:szCs w:val="22"/>
                <w:lang w:val="en-AU" w:eastAsia="en-AU"/>
              </w:rPr>
              <w:tab/>
            </w:r>
            <w:r w:rsidR="00282D45" w:rsidRPr="005C4C46">
              <w:rPr>
                <w:rStyle w:val="Hyperlink"/>
                <w:noProof/>
              </w:rPr>
              <w:t>Process of the Review</w:t>
            </w:r>
            <w:r w:rsidR="00282D45">
              <w:rPr>
                <w:noProof/>
                <w:webHidden/>
              </w:rPr>
              <w:tab/>
            </w:r>
            <w:r w:rsidR="00282D45">
              <w:rPr>
                <w:noProof/>
                <w:webHidden/>
              </w:rPr>
              <w:fldChar w:fldCharType="begin"/>
            </w:r>
            <w:r w:rsidR="00282D45">
              <w:rPr>
                <w:noProof/>
                <w:webHidden/>
              </w:rPr>
              <w:instrText xml:space="preserve"> PAGEREF _Toc23156373 \h </w:instrText>
            </w:r>
            <w:r w:rsidR="00282D45">
              <w:rPr>
                <w:noProof/>
                <w:webHidden/>
              </w:rPr>
            </w:r>
            <w:r w:rsidR="00282D45">
              <w:rPr>
                <w:noProof/>
                <w:webHidden/>
              </w:rPr>
              <w:fldChar w:fldCharType="separate"/>
            </w:r>
            <w:r w:rsidR="00282D45">
              <w:rPr>
                <w:noProof/>
                <w:webHidden/>
              </w:rPr>
              <w:t>12</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74" w:history="1">
            <w:r w:rsidR="00282D45" w:rsidRPr="005C4C46">
              <w:rPr>
                <w:rStyle w:val="Hyperlink"/>
                <w:noProof/>
                <w:lang w:val="en-AU"/>
              </w:rPr>
              <w:t>2.</w:t>
            </w:r>
            <w:r w:rsidR="00282D45">
              <w:rPr>
                <w:rFonts w:eastAsiaTheme="minorEastAsia"/>
                <w:noProof/>
                <w:sz w:val="22"/>
                <w:szCs w:val="22"/>
                <w:lang w:val="en-AU" w:eastAsia="en-AU"/>
              </w:rPr>
              <w:tab/>
            </w:r>
            <w:r w:rsidR="00282D45" w:rsidRPr="005C4C46">
              <w:rPr>
                <w:rStyle w:val="Hyperlink"/>
                <w:noProof/>
                <w:lang w:val="en-AU"/>
              </w:rPr>
              <w:t>Background</w:t>
            </w:r>
            <w:r w:rsidR="00282D45">
              <w:rPr>
                <w:noProof/>
                <w:webHidden/>
              </w:rPr>
              <w:tab/>
            </w:r>
            <w:r w:rsidR="00282D45">
              <w:rPr>
                <w:noProof/>
                <w:webHidden/>
              </w:rPr>
              <w:fldChar w:fldCharType="begin"/>
            </w:r>
            <w:r w:rsidR="00282D45">
              <w:rPr>
                <w:noProof/>
                <w:webHidden/>
              </w:rPr>
              <w:instrText xml:space="preserve"> PAGEREF _Toc23156374 \h </w:instrText>
            </w:r>
            <w:r w:rsidR="00282D45">
              <w:rPr>
                <w:noProof/>
                <w:webHidden/>
              </w:rPr>
            </w:r>
            <w:r w:rsidR="00282D45">
              <w:rPr>
                <w:noProof/>
                <w:webHidden/>
              </w:rPr>
              <w:fldChar w:fldCharType="separate"/>
            </w:r>
            <w:r w:rsidR="00282D45">
              <w:rPr>
                <w:noProof/>
                <w:webHidden/>
              </w:rPr>
              <w:t>15</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5" w:history="1">
            <w:r w:rsidR="00282D45" w:rsidRPr="005C4C46">
              <w:rPr>
                <w:rStyle w:val="Hyperlink"/>
                <w:noProof/>
              </w:rPr>
              <w:t>2.1</w:t>
            </w:r>
            <w:r w:rsidR="00282D45">
              <w:rPr>
                <w:rFonts w:eastAsiaTheme="minorEastAsia"/>
                <w:noProof/>
                <w:sz w:val="22"/>
                <w:szCs w:val="22"/>
                <w:lang w:val="en-AU" w:eastAsia="en-AU"/>
              </w:rPr>
              <w:tab/>
            </w:r>
            <w:r w:rsidR="00282D45" w:rsidRPr="005C4C46">
              <w:rPr>
                <w:rStyle w:val="Hyperlink"/>
                <w:noProof/>
              </w:rPr>
              <w:t>Statistics</w:t>
            </w:r>
            <w:r w:rsidR="00282D45">
              <w:rPr>
                <w:noProof/>
                <w:webHidden/>
              </w:rPr>
              <w:tab/>
            </w:r>
            <w:r w:rsidR="00282D45">
              <w:rPr>
                <w:noProof/>
                <w:webHidden/>
              </w:rPr>
              <w:fldChar w:fldCharType="begin"/>
            </w:r>
            <w:r w:rsidR="00282D45">
              <w:rPr>
                <w:noProof/>
                <w:webHidden/>
              </w:rPr>
              <w:instrText xml:space="preserve"> PAGEREF _Toc23156375 \h </w:instrText>
            </w:r>
            <w:r w:rsidR="00282D45">
              <w:rPr>
                <w:noProof/>
                <w:webHidden/>
              </w:rPr>
            </w:r>
            <w:r w:rsidR="00282D45">
              <w:rPr>
                <w:noProof/>
                <w:webHidden/>
              </w:rPr>
              <w:fldChar w:fldCharType="separate"/>
            </w:r>
            <w:r w:rsidR="00282D45">
              <w:rPr>
                <w:noProof/>
                <w:webHidden/>
              </w:rPr>
              <w:t>15</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6" w:history="1">
            <w:r w:rsidR="00282D45" w:rsidRPr="005C4C46">
              <w:rPr>
                <w:rStyle w:val="Hyperlink"/>
                <w:noProof/>
              </w:rPr>
              <w:t>2.2</w:t>
            </w:r>
            <w:r w:rsidR="00282D45">
              <w:rPr>
                <w:rFonts w:eastAsiaTheme="minorEastAsia"/>
                <w:noProof/>
                <w:sz w:val="22"/>
                <w:szCs w:val="22"/>
                <w:lang w:val="en-AU" w:eastAsia="en-AU"/>
              </w:rPr>
              <w:tab/>
            </w:r>
            <w:r w:rsidR="00282D45" w:rsidRPr="005C4C46">
              <w:rPr>
                <w:rStyle w:val="Hyperlink"/>
                <w:noProof/>
              </w:rPr>
              <w:t>Price controls</w:t>
            </w:r>
            <w:r w:rsidR="00282D45">
              <w:rPr>
                <w:noProof/>
                <w:webHidden/>
              </w:rPr>
              <w:tab/>
            </w:r>
            <w:r w:rsidR="00282D45">
              <w:rPr>
                <w:noProof/>
                <w:webHidden/>
              </w:rPr>
              <w:fldChar w:fldCharType="begin"/>
            </w:r>
            <w:r w:rsidR="00282D45">
              <w:rPr>
                <w:noProof/>
                <w:webHidden/>
              </w:rPr>
              <w:instrText xml:space="preserve"> PAGEREF _Toc23156376 \h </w:instrText>
            </w:r>
            <w:r w:rsidR="00282D45">
              <w:rPr>
                <w:noProof/>
                <w:webHidden/>
              </w:rPr>
            </w:r>
            <w:r w:rsidR="00282D45">
              <w:rPr>
                <w:noProof/>
                <w:webHidden/>
              </w:rPr>
              <w:fldChar w:fldCharType="separate"/>
            </w:r>
            <w:r w:rsidR="00282D45">
              <w:rPr>
                <w:noProof/>
                <w:webHidden/>
              </w:rPr>
              <w:t>17</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77" w:history="1">
            <w:r w:rsidR="00282D45" w:rsidRPr="005C4C46">
              <w:rPr>
                <w:rStyle w:val="Hyperlink"/>
                <w:noProof/>
              </w:rPr>
              <w:t>2.3</w:t>
            </w:r>
            <w:r w:rsidR="00282D45">
              <w:rPr>
                <w:rFonts w:eastAsiaTheme="minorEastAsia"/>
                <w:noProof/>
                <w:sz w:val="22"/>
                <w:szCs w:val="22"/>
                <w:lang w:val="en-AU" w:eastAsia="en-AU"/>
              </w:rPr>
              <w:tab/>
            </w:r>
            <w:r w:rsidR="00282D45" w:rsidRPr="005C4C46">
              <w:rPr>
                <w:rStyle w:val="Hyperlink"/>
                <w:noProof/>
              </w:rPr>
              <w:t>Key Assumptions for SDA Benchmark Pricing</w:t>
            </w:r>
            <w:r w:rsidR="00282D45">
              <w:rPr>
                <w:noProof/>
                <w:webHidden/>
              </w:rPr>
              <w:tab/>
            </w:r>
            <w:r w:rsidR="00282D45">
              <w:rPr>
                <w:noProof/>
                <w:webHidden/>
              </w:rPr>
              <w:fldChar w:fldCharType="begin"/>
            </w:r>
            <w:r w:rsidR="00282D45">
              <w:rPr>
                <w:noProof/>
                <w:webHidden/>
              </w:rPr>
              <w:instrText xml:space="preserve"> PAGEREF _Toc23156377 \h </w:instrText>
            </w:r>
            <w:r w:rsidR="00282D45">
              <w:rPr>
                <w:noProof/>
                <w:webHidden/>
              </w:rPr>
            </w:r>
            <w:r w:rsidR="00282D45">
              <w:rPr>
                <w:noProof/>
                <w:webHidden/>
              </w:rPr>
              <w:fldChar w:fldCharType="separate"/>
            </w:r>
            <w:r w:rsidR="00282D45">
              <w:rPr>
                <w:noProof/>
                <w:webHidden/>
              </w:rPr>
              <w:t>24</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78" w:history="1">
            <w:r w:rsidR="00282D45" w:rsidRPr="005C4C46">
              <w:rPr>
                <w:rStyle w:val="Hyperlink"/>
                <w:noProof/>
              </w:rPr>
              <w:t>3.</w:t>
            </w:r>
            <w:r w:rsidR="00282D45">
              <w:rPr>
                <w:rFonts w:eastAsiaTheme="minorEastAsia"/>
                <w:noProof/>
                <w:sz w:val="22"/>
                <w:szCs w:val="22"/>
                <w:lang w:val="en-AU" w:eastAsia="en-AU"/>
              </w:rPr>
              <w:tab/>
            </w:r>
            <w:r w:rsidR="00282D45" w:rsidRPr="005C4C46">
              <w:rPr>
                <w:rStyle w:val="Hyperlink"/>
                <w:noProof/>
              </w:rPr>
              <w:t>Location factor issues and recommendations</w:t>
            </w:r>
            <w:r w:rsidR="00282D45">
              <w:rPr>
                <w:noProof/>
                <w:webHidden/>
              </w:rPr>
              <w:tab/>
            </w:r>
            <w:r w:rsidR="00282D45">
              <w:rPr>
                <w:noProof/>
                <w:webHidden/>
              </w:rPr>
              <w:fldChar w:fldCharType="begin"/>
            </w:r>
            <w:r w:rsidR="00282D45">
              <w:rPr>
                <w:noProof/>
                <w:webHidden/>
              </w:rPr>
              <w:instrText xml:space="preserve"> PAGEREF _Toc23156378 \h </w:instrText>
            </w:r>
            <w:r w:rsidR="00282D45">
              <w:rPr>
                <w:noProof/>
                <w:webHidden/>
              </w:rPr>
            </w:r>
            <w:r w:rsidR="00282D45">
              <w:rPr>
                <w:noProof/>
                <w:webHidden/>
              </w:rPr>
              <w:fldChar w:fldCharType="separate"/>
            </w:r>
            <w:r w:rsidR="00282D45">
              <w:rPr>
                <w:noProof/>
                <w:webHidden/>
              </w:rPr>
              <w:t>27</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79" w:history="1">
            <w:r w:rsidR="00282D45" w:rsidRPr="005C4C46">
              <w:rPr>
                <w:rStyle w:val="Hyperlink"/>
                <w:noProof/>
                <w:lang w:val="en-AU"/>
              </w:rPr>
              <w:t>4.</w:t>
            </w:r>
            <w:r w:rsidR="00282D45">
              <w:rPr>
                <w:rFonts w:eastAsiaTheme="minorEastAsia"/>
                <w:noProof/>
                <w:sz w:val="22"/>
                <w:szCs w:val="22"/>
                <w:lang w:val="en-AU" w:eastAsia="en-AU"/>
              </w:rPr>
              <w:tab/>
            </w:r>
            <w:r w:rsidR="00282D45" w:rsidRPr="005C4C46">
              <w:rPr>
                <w:rStyle w:val="Hyperlink"/>
                <w:noProof/>
                <w:lang w:val="en-AU"/>
              </w:rPr>
              <w:t>Construction costs</w:t>
            </w:r>
            <w:r w:rsidR="00282D45">
              <w:rPr>
                <w:noProof/>
                <w:webHidden/>
              </w:rPr>
              <w:tab/>
            </w:r>
            <w:r w:rsidR="00282D45">
              <w:rPr>
                <w:noProof/>
                <w:webHidden/>
              </w:rPr>
              <w:fldChar w:fldCharType="begin"/>
            </w:r>
            <w:r w:rsidR="00282D45">
              <w:rPr>
                <w:noProof/>
                <w:webHidden/>
              </w:rPr>
              <w:instrText xml:space="preserve"> PAGEREF _Toc23156379 \h </w:instrText>
            </w:r>
            <w:r w:rsidR="00282D45">
              <w:rPr>
                <w:noProof/>
                <w:webHidden/>
              </w:rPr>
            </w:r>
            <w:r w:rsidR="00282D45">
              <w:rPr>
                <w:noProof/>
                <w:webHidden/>
              </w:rPr>
              <w:fldChar w:fldCharType="separate"/>
            </w:r>
            <w:r w:rsidR="00282D45">
              <w:rPr>
                <w:noProof/>
                <w:webHidden/>
              </w:rPr>
              <w:t>33</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80" w:history="1">
            <w:r w:rsidR="00282D45" w:rsidRPr="005C4C46">
              <w:rPr>
                <w:rStyle w:val="Hyperlink"/>
                <w:noProof/>
                <w:lang w:val="en-AU"/>
              </w:rPr>
              <w:t>5.</w:t>
            </w:r>
            <w:r w:rsidR="00282D45">
              <w:rPr>
                <w:rFonts w:eastAsiaTheme="minorEastAsia"/>
                <w:noProof/>
                <w:sz w:val="22"/>
                <w:szCs w:val="22"/>
                <w:lang w:val="en-AU" w:eastAsia="en-AU"/>
              </w:rPr>
              <w:tab/>
            </w:r>
            <w:r w:rsidR="00282D45" w:rsidRPr="005C4C46">
              <w:rPr>
                <w:rStyle w:val="Hyperlink"/>
                <w:noProof/>
                <w:lang w:val="en-AU"/>
              </w:rPr>
              <w:t>Monitoring of the SDA market through the NDIA’s Market Enablement Framework</w:t>
            </w:r>
            <w:r w:rsidR="00282D45">
              <w:rPr>
                <w:noProof/>
                <w:webHidden/>
              </w:rPr>
              <w:tab/>
            </w:r>
            <w:r w:rsidR="00282D45">
              <w:rPr>
                <w:noProof/>
                <w:webHidden/>
              </w:rPr>
              <w:fldChar w:fldCharType="begin"/>
            </w:r>
            <w:r w:rsidR="00282D45">
              <w:rPr>
                <w:noProof/>
                <w:webHidden/>
              </w:rPr>
              <w:instrText xml:space="preserve"> PAGEREF _Toc23156380 \h </w:instrText>
            </w:r>
            <w:r w:rsidR="00282D45">
              <w:rPr>
                <w:noProof/>
                <w:webHidden/>
              </w:rPr>
            </w:r>
            <w:r w:rsidR="00282D45">
              <w:rPr>
                <w:noProof/>
                <w:webHidden/>
              </w:rPr>
              <w:fldChar w:fldCharType="separate"/>
            </w:r>
            <w:r w:rsidR="00282D45">
              <w:rPr>
                <w:noProof/>
                <w:webHidden/>
              </w:rPr>
              <w:t>40</w:t>
            </w:r>
            <w:r w:rsidR="00282D45">
              <w:rPr>
                <w:noProof/>
                <w:webHidden/>
              </w:rPr>
              <w:fldChar w:fldCharType="end"/>
            </w:r>
          </w:hyperlink>
        </w:p>
        <w:p w:rsidR="00282D45" w:rsidRDefault="00936DE9">
          <w:pPr>
            <w:pStyle w:val="TOC1"/>
            <w:tabs>
              <w:tab w:val="left" w:pos="480"/>
              <w:tab w:val="right" w:leader="dot" w:pos="9016"/>
            </w:tabs>
            <w:rPr>
              <w:rFonts w:eastAsiaTheme="minorEastAsia"/>
              <w:noProof/>
              <w:sz w:val="22"/>
              <w:szCs w:val="22"/>
              <w:lang w:val="en-AU" w:eastAsia="en-AU"/>
            </w:rPr>
          </w:pPr>
          <w:hyperlink w:anchor="_Toc23156381" w:history="1">
            <w:r w:rsidR="00282D45" w:rsidRPr="005C4C46">
              <w:rPr>
                <w:rStyle w:val="Hyperlink"/>
                <w:noProof/>
                <w:lang w:val="en-AU"/>
              </w:rPr>
              <w:t>6.</w:t>
            </w:r>
            <w:r w:rsidR="00282D45">
              <w:rPr>
                <w:rFonts w:eastAsiaTheme="minorEastAsia"/>
                <w:noProof/>
                <w:sz w:val="22"/>
                <w:szCs w:val="22"/>
                <w:lang w:val="en-AU" w:eastAsia="en-AU"/>
              </w:rPr>
              <w:tab/>
            </w:r>
            <w:r w:rsidR="00282D45" w:rsidRPr="005C4C46">
              <w:rPr>
                <w:rStyle w:val="Hyperlink"/>
                <w:noProof/>
                <w:lang w:val="en-AU"/>
              </w:rPr>
              <w:t>Other issues</w:t>
            </w:r>
            <w:r w:rsidR="00282D45">
              <w:rPr>
                <w:noProof/>
                <w:webHidden/>
              </w:rPr>
              <w:tab/>
            </w:r>
            <w:r w:rsidR="00282D45">
              <w:rPr>
                <w:noProof/>
                <w:webHidden/>
              </w:rPr>
              <w:fldChar w:fldCharType="begin"/>
            </w:r>
            <w:r w:rsidR="00282D45">
              <w:rPr>
                <w:noProof/>
                <w:webHidden/>
              </w:rPr>
              <w:instrText xml:space="preserve"> PAGEREF _Toc23156381 \h </w:instrText>
            </w:r>
            <w:r w:rsidR="00282D45">
              <w:rPr>
                <w:noProof/>
                <w:webHidden/>
              </w:rPr>
            </w:r>
            <w:r w:rsidR="00282D45">
              <w:rPr>
                <w:noProof/>
                <w:webHidden/>
              </w:rPr>
              <w:fldChar w:fldCharType="separate"/>
            </w:r>
            <w:r w:rsidR="00282D45">
              <w:rPr>
                <w:noProof/>
                <w:webHidden/>
              </w:rPr>
              <w:t>44</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82" w:history="1">
            <w:r w:rsidR="00282D45" w:rsidRPr="005C4C46">
              <w:rPr>
                <w:rStyle w:val="Hyperlink"/>
                <w:noProof/>
              </w:rPr>
              <w:t>6.1</w:t>
            </w:r>
            <w:r w:rsidR="00282D45">
              <w:rPr>
                <w:rFonts w:eastAsiaTheme="minorEastAsia"/>
                <w:noProof/>
                <w:sz w:val="22"/>
                <w:szCs w:val="22"/>
                <w:lang w:val="en-AU" w:eastAsia="en-AU"/>
              </w:rPr>
              <w:tab/>
            </w:r>
            <w:r w:rsidR="00282D45" w:rsidRPr="005C4C46">
              <w:rPr>
                <w:rStyle w:val="Hyperlink"/>
                <w:noProof/>
              </w:rPr>
              <w:t>Other cost assumptions</w:t>
            </w:r>
            <w:r w:rsidR="00282D45">
              <w:rPr>
                <w:noProof/>
                <w:webHidden/>
              </w:rPr>
              <w:tab/>
            </w:r>
            <w:r w:rsidR="00282D45">
              <w:rPr>
                <w:noProof/>
                <w:webHidden/>
              </w:rPr>
              <w:fldChar w:fldCharType="begin"/>
            </w:r>
            <w:r w:rsidR="00282D45">
              <w:rPr>
                <w:noProof/>
                <w:webHidden/>
              </w:rPr>
              <w:instrText xml:space="preserve"> PAGEREF _Toc23156382 \h </w:instrText>
            </w:r>
            <w:r w:rsidR="00282D45">
              <w:rPr>
                <w:noProof/>
                <w:webHidden/>
              </w:rPr>
            </w:r>
            <w:r w:rsidR="00282D45">
              <w:rPr>
                <w:noProof/>
                <w:webHidden/>
              </w:rPr>
              <w:fldChar w:fldCharType="separate"/>
            </w:r>
            <w:r w:rsidR="00282D45">
              <w:rPr>
                <w:noProof/>
                <w:webHidden/>
              </w:rPr>
              <w:t>44</w:t>
            </w:r>
            <w:r w:rsidR="00282D45">
              <w:rPr>
                <w:noProof/>
                <w:webHidden/>
              </w:rPr>
              <w:fldChar w:fldCharType="end"/>
            </w:r>
          </w:hyperlink>
        </w:p>
        <w:p w:rsidR="00282D45" w:rsidRDefault="00936DE9">
          <w:pPr>
            <w:pStyle w:val="TOC2"/>
            <w:rPr>
              <w:rFonts w:eastAsiaTheme="minorEastAsia"/>
              <w:noProof/>
              <w:sz w:val="22"/>
              <w:szCs w:val="22"/>
              <w:lang w:val="en-AU" w:eastAsia="en-AU"/>
            </w:rPr>
          </w:pPr>
          <w:hyperlink w:anchor="_Toc23156383" w:history="1">
            <w:r w:rsidR="00282D45" w:rsidRPr="005C4C46">
              <w:rPr>
                <w:rStyle w:val="Hyperlink"/>
                <w:noProof/>
              </w:rPr>
              <w:t>6.2</w:t>
            </w:r>
            <w:r w:rsidR="00282D45">
              <w:rPr>
                <w:rFonts w:eastAsiaTheme="minorEastAsia"/>
                <w:noProof/>
                <w:sz w:val="22"/>
                <w:szCs w:val="22"/>
                <w:lang w:val="en-AU" w:eastAsia="en-AU"/>
              </w:rPr>
              <w:tab/>
            </w:r>
            <w:r w:rsidR="00282D45" w:rsidRPr="005C4C46">
              <w:rPr>
                <w:rStyle w:val="Hyperlink"/>
                <w:noProof/>
              </w:rPr>
              <w:t>Other issues</w:t>
            </w:r>
            <w:r w:rsidR="00282D45">
              <w:rPr>
                <w:noProof/>
                <w:webHidden/>
              </w:rPr>
              <w:tab/>
            </w:r>
            <w:r w:rsidR="00282D45">
              <w:rPr>
                <w:noProof/>
                <w:webHidden/>
              </w:rPr>
              <w:fldChar w:fldCharType="begin"/>
            </w:r>
            <w:r w:rsidR="00282D45">
              <w:rPr>
                <w:noProof/>
                <w:webHidden/>
              </w:rPr>
              <w:instrText xml:space="preserve"> PAGEREF _Toc23156383 \h </w:instrText>
            </w:r>
            <w:r w:rsidR="00282D45">
              <w:rPr>
                <w:noProof/>
                <w:webHidden/>
              </w:rPr>
            </w:r>
            <w:r w:rsidR="00282D45">
              <w:rPr>
                <w:noProof/>
                <w:webHidden/>
              </w:rPr>
              <w:fldChar w:fldCharType="separate"/>
            </w:r>
            <w:r w:rsidR="00282D45">
              <w:rPr>
                <w:noProof/>
                <w:webHidden/>
              </w:rPr>
              <w:t>45</w:t>
            </w:r>
            <w:r w:rsidR="00282D45">
              <w:rPr>
                <w:noProof/>
                <w:webHidden/>
              </w:rPr>
              <w:fldChar w:fldCharType="end"/>
            </w:r>
          </w:hyperlink>
        </w:p>
        <w:p w:rsidR="0098062D" w:rsidRPr="00F64913" w:rsidRDefault="0098062D">
          <w:pPr>
            <w:rPr>
              <w:lang w:val="en-AU"/>
            </w:rPr>
          </w:pPr>
          <w:r w:rsidRPr="00F64913">
            <w:rPr>
              <w:b/>
              <w:bCs/>
              <w:noProof/>
              <w:lang w:val="en-AU"/>
            </w:rPr>
            <w:fldChar w:fldCharType="end"/>
          </w:r>
        </w:p>
      </w:sdtContent>
    </w:sdt>
    <w:p w:rsidR="00556C2C" w:rsidRPr="00E943F1" w:rsidRDefault="00253534" w:rsidP="006B44A5">
      <w:pPr>
        <w:rPr>
          <w:lang w:val="en-AU"/>
        </w:rPr>
      </w:pPr>
      <w:r>
        <w:rPr>
          <w:lang w:val="en-AU"/>
        </w:rPr>
        <w:t xml:space="preserve"> </w:t>
      </w:r>
    </w:p>
    <w:p w:rsidR="00A272C5" w:rsidRPr="00F64913" w:rsidRDefault="00A272C5" w:rsidP="004F4D61">
      <w:pPr>
        <w:pStyle w:val="Heading1"/>
        <w:numPr>
          <w:ilvl w:val="0"/>
          <w:numId w:val="0"/>
        </w:numPr>
        <w:ind w:left="432" w:hanging="432"/>
        <w:rPr>
          <w:lang w:val="en-AU"/>
        </w:rPr>
      </w:pPr>
      <w:bookmarkStart w:id="4" w:name="_Toc23156368"/>
      <w:r w:rsidRPr="00F64913">
        <w:rPr>
          <w:lang w:val="en-AU"/>
        </w:rPr>
        <w:t>Executive Summary</w:t>
      </w:r>
      <w:bookmarkEnd w:id="4"/>
    </w:p>
    <w:p w:rsidR="00685937" w:rsidRDefault="003E772A" w:rsidP="004F4D61">
      <w:pPr>
        <w:spacing w:after="180"/>
        <w:rPr>
          <w:rFonts w:cs="Arial"/>
          <w:lang w:val="en-AU"/>
        </w:rPr>
      </w:pPr>
      <w:r w:rsidRPr="00F64913">
        <w:rPr>
          <w:rFonts w:cs="Arial"/>
          <w:lang w:val="en-AU"/>
        </w:rPr>
        <w:t>Specialist Disability Accommodation (SDA) refers to accommodation for people with a disability who require specialist housing solutions to assist with the delivery of supports that cater for their extreme functional impairment and/or very high support needs. SDA does not refer to the support services, but the homes in which these are delivered. These homes may include specialist designs for people with very high needs or may have a location or features that make it feasible to provide complex or costly supports for independent living.</w:t>
      </w:r>
      <w:r w:rsidR="00BB5D51">
        <w:rPr>
          <w:rFonts w:cs="Arial"/>
          <w:lang w:val="en-AU"/>
        </w:rPr>
        <w:t xml:space="preserve"> </w:t>
      </w:r>
      <w:r w:rsidR="00685937" w:rsidRPr="00685937">
        <w:rPr>
          <w:lang w:val="en-AU"/>
        </w:rPr>
        <w:t xml:space="preserve">SDA </w:t>
      </w:r>
      <w:r w:rsidR="00685937">
        <w:rPr>
          <w:lang w:val="en-AU"/>
        </w:rPr>
        <w:t xml:space="preserve">needs to be </w:t>
      </w:r>
      <w:r w:rsidR="00685937" w:rsidRPr="00685937">
        <w:rPr>
          <w:lang w:val="en-AU"/>
        </w:rPr>
        <w:t>available in a variety of locations reflecting the diversity of participant preferences. Where people live is important to conn</w:t>
      </w:r>
      <w:r w:rsidR="00685937">
        <w:rPr>
          <w:lang w:val="en-AU"/>
        </w:rPr>
        <w:t xml:space="preserve">ections to family and community, </w:t>
      </w:r>
      <w:r w:rsidR="00685937" w:rsidRPr="00685937">
        <w:rPr>
          <w:lang w:val="en-AU"/>
        </w:rPr>
        <w:t>including employment and study.</w:t>
      </w:r>
    </w:p>
    <w:p w:rsidR="003E772A" w:rsidRPr="00F64913" w:rsidRDefault="003E772A" w:rsidP="004F4D61">
      <w:pPr>
        <w:spacing w:after="180"/>
        <w:rPr>
          <w:rFonts w:cs="Arial"/>
          <w:lang w:val="en-AU"/>
        </w:rPr>
      </w:pPr>
      <w:r w:rsidRPr="00F64913">
        <w:rPr>
          <w:lang w:val="en-AU"/>
        </w:rPr>
        <w:t xml:space="preserve">Within </w:t>
      </w:r>
      <w:r w:rsidRPr="00F64913">
        <w:rPr>
          <w:rFonts w:cs="Arial"/>
          <w:lang w:val="en-AU"/>
        </w:rPr>
        <w:t>the National Di</w:t>
      </w:r>
      <w:r w:rsidR="004F4D61">
        <w:rPr>
          <w:rFonts w:cs="Arial"/>
          <w:lang w:val="en-AU"/>
        </w:rPr>
        <w:t>sability Insurance Scheme (NDIS</w:t>
      </w:r>
      <w:r w:rsidRPr="00F64913">
        <w:rPr>
          <w:rFonts w:cs="Arial"/>
          <w:lang w:val="en-AU"/>
        </w:rPr>
        <w:t xml:space="preserve">), SDA is a type of support (funding) that is provided to </w:t>
      </w:r>
      <w:r w:rsidRPr="00F64913">
        <w:rPr>
          <w:lang w:val="en-AU"/>
        </w:rPr>
        <w:t>some participants.</w:t>
      </w:r>
      <w:r w:rsidRPr="00F64913">
        <w:rPr>
          <w:rFonts w:cs="Arial"/>
          <w:lang w:val="en-AU"/>
        </w:rPr>
        <w:t xml:space="preserve"> SDA funding is provided to participants who require a specialist dwelling that reduces their need for person-to-person supports, or improves the efficiency of the delivery of person-to-person supports. SDA funding is only provided for participants who are assessed by the National Di</w:t>
      </w:r>
      <w:r w:rsidR="004F4D61">
        <w:rPr>
          <w:rFonts w:cs="Arial"/>
          <w:lang w:val="en-AU"/>
        </w:rPr>
        <w:t>sability Insurance Agency (NDIA</w:t>
      </w:r>
      <w:r w:rsidRPr="00F64913">
        <w:rPr>
          <w:rFonts w:cs="Arial"/>
          <w:lang w:val="en-AU"/>
        </w:rPr>
        <w:t>)</w:t>
      </w:r>
      <w:r w:rsidR="005F1954" w:rsidRPr="00F64913">
        <w:rPr>
          <w:rFonts w:cs="Arial"/>
          <w:lang w:val="en-AU"/>
        </w:rPr>
        <w:t xml:space="preserve"> as having </w:t>
      </w:r>
      <w:r w:rsidRPr="00F64913">
        <w:rPr>
          <w:rFonts w:cs="Arial"/>
          <w:lang w:val="en-AU"/>
        </w:rPr>
        <w:t>extreme functional impairment</w:t>
      </w:r>
      <w:r w:rsidR="005F1954" w:rsidRPr="00F64913">
        <w:rPr>
          <w:rFonts w:cs="Arial"/>
          <w:lang w:val="en-AU"/>
        </w:rPr>
        <w:t>s</w:t>
      </w:r>
      <w:r w:rsidRPr="00F64913">
        <w:rPr>
          <w:rFonts w:cs="Arial"/>
          <w:lang w:val="en-AU"/>
        </w:rPr>
        <w:t xml:space="preserve"> and/or very high support needs. </w:t>
      </w:r>
    </w:p>
    <w:p w:rsidR="00D062F1" w:rsidRDefault="00545443" w:rsidP="004F4D61">
      <w:pPr>
        <w:spacing w:after="180"/>
        <w:rPr>
          <w:rFonts w:cs="Arial"/>
          <w:lang w:val="en-AU"/>
        </w:rPr>
      </w:pPr>
      <w:r>
        <w:rPr>
          <w:rFonts w:cs="Arial"/>
          <w:lang w:val="en-AU"/>
        </w:rPr>
        <w:t>In 2018, KPMG conducted a review of the SDA Pricing and Payments Framework (the KPMG Review)</w:t>
      </w:r>
      <w:r w:rsidR="00D062F1">
        <w:rPr>
          <w:rFonts w:cs="Arial"/>
          <w:lang w:val="en-AU"/>
        </w:rPr>
        <w:t>, commissioned</w:t>
      </w:r>
      <w:r w:rsidR="00B3448F">
        <w:rPr>
          <w:rFonts w:cs="Arial"/>
          <w:lang w:val="en-AU"/>
        </w:rPr>
        <w:t xml:space="preserve"> </w:t>
      </w:r>
      <w:r w:rsidR="00D062F1">
        <w:rPr>
          <w:rFonts w:cs="Arial"/>
          <w:lang w:val="en-AU"/>
        </w:rPr>
        <w:t xml:space="preserve">by </w:t>
      </w:r>
      <w:r w:rsidR="00B3448F">
        <w:rPr>
          <w:rFonts w:cs="Arial"/>
          <w:lang w:val="en-AU"/>
        </w:rPr>
        <w:t>the Disability Reform Council (DRC)</w:t>
      </w:r>
      <w:r>
        <w:rPr>
          <w:rFonts w:cs="Arial"/>
          <w:lang w:val="en-AU"/>
        </w:rPr>
        <w:t xml:space="preserve">. </w:t>
      </w:r>
      <w:r w:rsidR="00D062F1">
        <w:rPr>
          <w:rFonts w:cs="Arial"/>
          <w:lang w:val="en-AU"/>
        </w:rPr>
        <w:t>During the KPMG Review</w:t>
      </w:r>
      <w:r w:rsidR="00B3448F">
        <w:rPr>
          <w:rFonts w:cs="Arial"/>
          <w:lang w:val="en-AU"/>
        </w:rPr>
        <w:t xml:space="preserve">, SDA providers and investors indicated </w:t>
      </w:r>
      <w:r>
        <w:rPr>
          <w:rFonts w:cs="Arial"/>
          <w:lang w:val="en-AU"/>
        </w:rPr>
        <w:t xml:space="preserve">that the </w:t>
      </w:r>
      <w:r w:rsidR="00070DCD">
        <w:rPr>
          <w:rFonts w:cs="Arial"/>
          <w:lang w:val="en-AU"/>
        </w:rPr>
        <w:t>assumptions</w:t>
      </w:r>
      <w:r>
        <w:rPr>
          <w:rFonts w:cs="Arial"/>
          <w:lang w:val="en-AU"/>
        </w:rPr>
        <w:t xml:space="preserve"> that </w:t>
      </w:r>
      <w:r w:rsidR="00070DCD">
        <w:rPr>
          <w:rFonts w:cs="Arial"/>
          <w:lang w:val="en-AU"/>
        </w:rPr>
        <w:t>underpinned the</w:t>
      </w:r>
      <w:r>
        <w:rPr>
          <w:rFonts w:cs="Arial"/>
          <w:lang w:val="en-AU"/>
        </w:rPr>
        <w:t xml:space="preserve"> SDA </w:t>
      </w:r>
      <w:r w:rsidR="00E80455">
        <w:rPr>
          <w:rFonts w:cs="Arial"/>
          <w:lang w:val="en-AU"/>
        </w:rPr>
        <w:t>pricing arrangements</w:t>
      </w:r>
      <w:r>
        <w:rPr>
          <w:rFonts w:cs="Arial"/>
          <w:lang w:val="en-AU"/>
        </w:rPr>
        <w:t xml:space="preserve"> were </w:t>
      </w:r>
      <w:r w:rsidR="00B53AD2">
        <w:rPr>
          <w:rFonts w:cs="Arial"/>
          <w:lang w:val="en-AU"/>
        </w:rPr>
        <w:t xml:space="preserve">largely </w:t>
      </w:r>
      <w:r>
        <w:rPr>
          <w:rFonts w:cs="Arial"/>
          <w:lang w:val="en-AU"/>
        </w:rPr>
        <w:t>reasonable</w:t>
      </w:r>
      <w:r w:rsidR="00B3448F">
        <w:rPr>
          <w:rFonts w:cs="Arial"/>
          <w:lang w:val="en-AU"/>
        </w:rPr>
        <w:t>. Ho</w:t>
      </w:r>
      <w:r>
        <w:rPr>
          <w:rFonts w:cs="Arial"/>
          <w:lang w:val="en-AU"/>
        </w:rPr>
        <w:t>wever</w:t>
      </w:r>
      <w:r w:rsidR="00D062F1">
        <w:rPr>
          <w:rFonts w:cs="Arial"/>
          <w:lang w:val="en-AU"/>
        </w:rPr>
        <w:t>,</w:t>
      </w:r>
      <w:r>
        <w:rPr>
          <w:rFonts w:cs="Arial"/>
          <w:lang w:val="en-AU"/>
        </w:rPr>
        <w:t xml:space="preserve"> </w:t>
      </w:r>
      <w:r w:rsidR="00B53AD2">
        <w:rPr>
          <w:rFonts w:cs="Arial"/>
          <w:lang w:val="en-AU"/>
        </w:rPr>
        <w:t>there were</w:t>
      </w:r>
      <w:r w:rsidR="00D062F1">
        <w:rPr>
          <w:rFonts w:cs="Arial"/>
          <w:lang w:val="en-AU"/>
        </w:rPr>
        <w:t xml:space="preserve"> also</w:t>
      </w:r>
      <w:r w:rsidR="00B53AD2">
        <w:rPr>
          <w:rFonts w:cs="Arial"/>
          <w:lang w:val="en-AU"/>
        </w:rPr>
        <w:t xml:space="preserve"> submissions that some assumptions</w:t>
      </w:r>
      <w:r w:rsidR="00070DCD">
        <w:rPr>
          <w:rFonts w:cs="Arial"/>
          <w:lang w:val="en-AU"/>
        </w:rPr>
        <w:t xml:space="preserve">, </w:t>
      </w:r>
      <w:r w:rsidR="00D062F1">
        <w:rPr>
          <w:rFonts w:cs="Arial"/>
          <w:lang w:val="en-AU"/>
        </w:rPr>
        <w:t xml:space="preserve">as well as </w:t>
      </w:r>
      <w:r w:rsidR="00070DCD">
        <w:rPr>
          <w:rFonts w:cs="Arial"/>
          <w:lang w:val="en-AU"/>
        </w:rPr>
        <w:t xml:space="preserve">some </w:t>
      </w:r>
      <w:r w:rsidR="00B53AD2">
        <w:rPr>
          <w:rFonts w:cs="Arial"/>
          <w:lang w:val="en-AU"/>
        </w:rPr>
        <w:t>location factors</w:t>
      </w:r>
      <w:r w:rsidR="00070DCD">
        <w:rPr>
          <w:rFonts w:cs="Arial"/>
          <w:lang w:val="en-AU"/>
        </w:rPr>
        <w:t>,</w:t>
      </w:r>
      <w:r w:rsidR="00B53AD2">
        <w:rPr>
          <w:rFonts w:cs="Arial"/>
          <w:lang w:val="en-AU"/>
        </w:rPr>
        <w:t xml:space="preserve"> did not reflect actual costs, </w:t>
      </w:r>
      <w:r w:rsidR="0088591D">
        <w:rPr>
          <w:rFonts w:cs="Arial"/>
          <w:lang w:val="en-AU"/>
        </w:rPr>
        <w:t xml:space="preserve">and could </w:t>
      </w:r>
      <w:r w:rsidR="00070DCD">
        <w:rPr>
          <w:rFonts w:cs="Arial"/>
          <w:lang w:val="en-AU"/>
        </w:rPr>
        <w:t>discourage</w:t>
      </w:r>
      <w:r w:rsidR="00B53AD2">
        <w:rPr>
          <w:rFonts w:cs="Arial"/>
          <w:lang w:val="en-AU"/>
        </w:rPr>
        <w:t xml:space="preserve"> investment.</w:t>
      </w:r>
    </w:p>
    <w:p w:rsidR="00545443" w:rsidRDefault="00D062F1" w:rsidP="004F4D61">
      <w:pPr>
        <w:spacing w:after="180"/>
        <w:rPr>
          <w:rFonts w:cs="Arial"/>
          <w:lang w:val="en-AU"/>
        </w:rPr>
      </w:pPr>
      <w:r>
        <w:rPr>
          <w:rFonts w:cs="Arial"/>
          <w:lang w:val="en-AU"/>
        </w:rPr>
        <w:t xml:space="preserve">The KPMG Review also found that investors were looking for more certainty about </w:t>
      </w:r>
      <w:r w:rsidR="00EB3D7B">
        <w:rPr>
          <w:rFonts w:cs="Arial"/>
          <w:lang w:val="en-AU"/>
        </w:rPr>
        <w:t xml:space="preserve">SDA </w:t>
      </w:r>
      <w:r>
        <w:rPr>
          <w:rFonts w:cs="Arial"/>
          <w:lang w:val="en-AU"/>
        </w:rPr>
        <w:t>pricing and the way that price reviews would be conducted by the NDIA, including the timing of such reviews.</w:t>
      </w:r>
      <w:r w:rsidR="0088591D">
        <w:rPr>
          <w:rFonts w:cs="Arial"/>
          <w:lang w:val="en-AU"/>
        </w:rPr>
        <w:t xml:space="preserve"> </w:t>
      </w:r>
    </w:p>
    <w:p w:rsidR="00D062F1" w:rsidRDefault="003E772A" w:rsidP="004F4D61">
      <w:pPr>
        <w:spacing w:after="180"/>
        <w:rPr>
          <w:rFonts w:cs="Arial"/>
          <w:lang w:val="en-AU"/>
        </w:rPr>
      </w:pPr>
      <w:r w:rsidRPr="00F64913">
        <w:rPr>
          <w:rFonts w:cs="Arial"/>
          <w:lang w:val="en-AU"/>
        </w:rPr>
        <w:t>In response to</w:t>
      </w:r>
      <w:r w:rsidR="00B53AD2">
        <w:rPr>
          <w:rFonts w:cs="Arial"/>
          <w:lang w:val="en-AU"/>
        </w:rPr>
        <w:t xml:space="preserve"> </w:t>
      </w:r>
      <w:r w:rsidR="00B3448F">
        <w:rPr>
          <w:rFonts w:cs="Arial"/>
          <w:lang w:val="en-AU"/>
        </w:rPr>
        <w:t>the</w:t>
      </w:r>
      <w:r w:rsidR="00D062F1">
        <w:rPr>
          <w:rFonts w:cs="Arial"/>
          <w:lang w:val="en-AU"/>
        </w:rPr>
        <w:t>se issues</w:t>
      </w:r>
      <w:r w:rsidR="00B3448F">
        <w:rPr>
          <w:rFonts w:cs="Arial"/>
          <w:lang w:val="en-AU"/>
        </w:rPr>
        <w:t xml:space="preserve"> </w:t>
      </w:r>
      <w:r w:rsidR="00AF0DA1">
        <w:rPr>
          <w:rFonts w:cs="Arial"/>
          <w:lang w:val="en-AU"/>
        </w:rPr>
        <w:t>the</w:t>
      </w:r>
      <w:r w:rsidRPr="00F64913">
        <w:rPr>
          <w:rFonts w:cs="Arial"/>
          <w:lang w:val="en-AU"/>
        </w:rPr>
        <w:t xml:space="preserve"> </w:t>
      </w:r>
      <w:r w:rsidR="00DE4CCC">
        <w:rPr>
          <w:rFonts w:cs="Arial"/>
          <w:lang w:val="en-AU"/>
        </w:rPr>
        <w:t>DRC and the NDIS</w:t>
      </w:r>
      <w:r w:rsidR="00DE4CCC" w:rsidRPr="00F64913">
        <w:rPr>
          <w:rFonts w:cs="Arial"/>
          <w:lang w:val="en-AU"/>
        </w:rPr>
        <w:t xml:space="preserve"> </w:t>
      </w:r>
      <w:r w:rsidRPr="00F64913">
        <w:rPr>
          <w:rFonts w:cs="Arial"/>
          <w:lang w:val="en-AU"/>
        </w:rPr>
        <w:t xml:space="preserve">Board </w:t>
      </w:r>
      <w:r w:rsidR="00D062F1">
        <w:rPr>
          <w:rFonts w:cs="Arial"/>
          <w:lang w:val="en-AU"/>
        </w:rPr>
        <w:t>committed to a number of actions for the NDIA to undertake:</w:t>
      </w:r>
    </w:p>
    <w:p w:rsidR="00D062F1" w:rsidRDefault="00D062F1" w:rsidP="003F646E">
      <w:pPr>
        <w:pStyle w:val="ListParagraph"/>
        <w:numPr>
          <w:ilvl w:val="0"/>
          <w:numId w:val="21"/>
        </w:numPr>
        <w:spacing w:after="180"/>
        <w:rPr>
          <w:rFonts w:cs="Arial"/>
          <w:lang w:val="en-AU"/>
        </w:rPr>
      </w:pPr>
      <w:r>
        <w:rPr>
          <w:rFonts w:cs="Arial"/>
          <w:lang w:val="en-AU"/>
        </w:rPr>
        <w:t>The next full SDA price review – scheduled at the time for 2021 – was to be delayed until 2023, in order to provide increased pricing certainty at this relatively early stage of the development of the SDA market;</w:t>
      </w:r>
    </w:p>
    <w:p w:rsidR="00070DCD" w:rsidRPr="00D062F1" w:rsidRDefault="00D062F1" w:rsidP="003F646E">
      <w:pPr>
        <w:pStyle w:val="ListParagraph"/>
        <w:numPr>
          <w:ilvl w:val="0"/>
          <w:numId w:val="21"/>
        </w:numPr>
        <w:spacing w:after="180"/>
        <w:rPr>
          <w:rFonts w:cs="Arial"/>
          <w:lang w:val="en-AU"/>
        </w:rPr>
      </w:pPr>
      <w:r>
        <w:rPr>
          <w:rFonts w:cs="Arial"/>
          <w:lang w:val="en-AU"/>
        </w:rPr>
        <w:t xml:space="preserve">An immediate </w:t>
      </w:r>
      <w:r w:rsidR="004364F7" w:rsidRPr="00D062F1">
        <w:rPr>
          <w:rFonts w:cs="Arial"/>
          <w:lang w:val="en-AU"/>
        </w:rPr>
        <w:t xml:space="preserve">SDA </w:t>
      </w:r>
      <w:r w:rsidR="00EB3D7B">
        <w:rPr>
          <w:rFonts w:cs="Arial"/>
          <w:lang w:val="en-AU"/>
        </w:rPr>
        <w:t xml:space="preserve">Limited </w:t>
      </w:r>
      <w:r w:rsidR="000A58A3" w:rsidRPr="00DC5D85">
        <w:rPr>
          <w:rFonts w:cs="Arial"/>
          <w:lang w:val="en-AU"/>
        </w:rPr>
        <w:t>Cost Assumptions</w:t>
      </w:r>
      <w:r w:rsidR="003E772A" w:rsidRPr="00DC5D85">
        <w:rPr>
          <w:rFonts w:cs="Arial"/>
          <w:lang w:val="en-AU"/>
        </w:rPr>
        <w:t xml:space="preserve"> Review (the Review)</w:t>
      </w:r>
      <w:r w:rsidR="001D7C54">
        <w:rPr>
          <w:rFonts w:cs="Arial"/>
          <w:lang w:val="en-AU"/>
        </w:rPr>
        <w:t xml:space="preserve"> pursuant to section 25 of the SDA Pricing and Payments Framework</w:t>
      </w:r>
      <w:r w:rsidR="008F07E5">
        <w:rPr>
          <w:rFonts w:cs="Arial"/>
          <w:lang w:val="en-AU"/>
        </w:rPr>
        <w:t xml:space="preserve"> was to be undertaken</w:t>
      </w:r>
      <w:r w:rsidR="00B53AD2" w:rsidRPr="00DC5D85">
        <w:rPr>
          <w:rFonts w:cs="Arial"/>
          <w:lang w:val="en-AU"/>
        </w:rPr>
        <w:t>, in order to examine</w:t>
      </w:r>
      <w:r w:rsidR="00B4385B" w:rsidRPr="00DC5D85">
        <w:rPr>
          <w:rFonts w:cs="Arial"/>
          <w:lang w:val="en-AU"/>
        </w:rPr>
        <w:t xml:space="preserve"> </w:t>
      </w:r>
      <w:r w:rsidR="001D7C54">
        <w:rPr>
          <w:rFonts w:cs="Arial"/>
          <w:lang w:val="en-AU"/>
        </w:rPr>
        <w:t>pricing assumptions and location factor issues that providers considered may be creating unintentional disincentives for investment in particular regions or design categories</w:t>
      </w:r>
      <w:r w:rsidR="003E772A" w:rsidRPr="00DC5D85">
        <w:rPr>
          <w:rFonts w:cs="Arial"/>
          <w:lang w:val="en-AU"/>
        </w:rPr>
        <w:t>.</w:t>
      </w:r>
      <w:r w:rsidR="005B7E0B">
        <w:rPr>
          <w:rFonts w:cs="Arial"/>
          <w:lang w:val="en-AU"/>
        </w:rPr>
        <w:t xml:space="preserve"> The Review was not to result in a reduction to prices.</w:t>
      </w:r>
      <w:r w:rsidR="003E772A" w:rsidRPr="00DC5D85">
        <w:rPr>
          <w:rFonts w:cs="Arial"/>
          <w:lang w:val="en-AU"/>
        </w:rPr>
        <w:t xml:space="preserve"> </w:t>
      </w:r>
    </w:p>
    <w:p w:rsidR="001D7C54" w:rsidRDefault="003E772A" w:rsidP="004F4D61">
      <w:pPr>
        <w:spacing w:after="180"/>
        <w:rPr>
          <w:rFonts w:cs="Arial"/>
          <w:lang w:val="en-AU"/>
        </w:rPr>
      </w:pPr>
      <w:r w:rsidRPr="00F64913">
        <w:rPr>
          <w:rFonts w:cs="Arial"/>
          <w:lang w:val="en-AU"/>
        </w:rPr>
        <w:t xml:space="preserve">The Terms of Reference for the </w:t>
      </w:r>
      <w:r w:rsidR="00070DCD" w:rsidRPr="00F64913">
        <w:rPr>
          <w:rFonts w:cs="Arial"/>
          <w:lang w:val="en-AU"/>
        </w:rPr>
        <w:t xml:space="preserve">SDA </w:t>
      </w:r>
      <w:r w:rsidR="00070DCD">
        <w:rPr>
          <w:rFonts w:cs="Arial"/>
          <w:lang w:val="en-AU"/>
        </w:rPr>
        <w:t>Limited Cost Assumptions Review</w:t>
      </w:r>
      <w:r w:rsidR="004F4D61">
        <w:rPr>
          <w:rFonts w:cs="Arial"/>
          <w:lang w:val="en-AU"/>
        </w:rPr>
        <w:t>, which</w:t>
      </w:r>
      <w:r w:rsidR="004F4D61" w:rsidRPr="00F64913">
        <w:rPr>
          <w:rFonts w:cs="Arial"/>
          <w:lang w:val="en-AU"/>
        </w:rPr>
        <w:t xml:space="preserve"> were developed in consultation with the newly established SDA Reference Group, </w:t>
      </w:r>
      <w:r w:rsidRPr="00F64913">
        <w:rPr>
          <w:rFonts w:cs="Arial"/>
          <w:lang w:val="en-AU"/>
        </w:rPr>
        <w:t xml:space="preserve">were released </w:t>
      </w:r>
      <w:r w:rsidR="004F4D61">
        <w:rPr>
          <w:rFonts w:cs="Arial"/>
          <w:lang w:val="en-AU"/>
        </w:rPr>
        <w:t>in</w:t>
      </w:r>
      <w:r w:rsidRPr="00F64913">
        <w:rPr>
          <w:rFonts w:cs="Arial"/>
          <w:lang w:val="en-AU"/>
        </w:rPr>
        <w:t xml:space="preserve"> April 2019</w:t>
      </w:r>
      <w:r w:rsidR="004F4D61">
        <w:rPr>
          <w:rFonts w:cs="Arial"/>
          <w:lang w:val="en-AU"/>
        </w:rPr>
        <w:t xml:space="preserve"> along with a call for submissions. The SDA Reference Group </w:t>
      </w:r>
      <w:r w:rsidRPr="00F64913">
        <w:rPr>
          <w:rFonts w:cs="Arial"/>
          <w:lang w:val="en-AU"/>
        </w:rPr>
        <w:t xml:space="preserve">was also consulted on the selection criteria for the independent experts who were to assist the NDIA to undertake the </w:t>
      </w:r>
      <w:r w:rsidR="00F64913">
        <w:rPr>
          <w:rFonts w:cs="Arial"/>
          <w:lang w:val="en-AU"/>
        </w:rPr>
        <w:t>Review</w:t>
      </w:r>
      <w:r w:rsidRPr="00F64913">
        <w:rPr>
          <w:rFonts w:cs="Arial"/>
          <w:lang w:val="en-AU"/>
        </w:rPr>
        <w:t>.</w:t>
      </w:r>
      <w:r w:rsidR="00EB3D7B">
        <w:rPr>
          <w:rFonts w:cs="Arial"/>
          <w:lang w:val="en-AU"/>
        </w:rPr>
        <w:t xml:space="preserve"> The primary selection criteria was the ability of the experts to assist the NDIA in fulfilling the terms of reference for the Review.</w:t>
      </w:r>
    </w:p>
    <w:p w:rsidR="00EB1629" w:rsidRPr="00147341" w:rsidRDefault="001D7C54" w:rsidP="00EB1629">
      <w:pPr>
        <w:rPr>
          <w:lang w:val="en-AU"/>
        </w:rPr>
      </w:pPr>
      <w:r>
        <w:rPr>
          <w:lang w:val="en-AU"/>
        </w:rPr>
        <w:t>T</w:t>
      </w:r>
      <w:r w:rsidRPr="004F4D61">
        <w:rPr>
          <w:lang w:val="en-AU"/>
        </w:rPr>
        <w:t xml:space="preserve">he Review </w:t>
      </w:r>
      <w:r w:rsidR="006B4CE3">
        <w:rPr>
          <w:lang w:val="en-AU"/>
        </w:rPr>
        <w:t xml:space="preserve">was </w:t>
      </w:r>
      <w:r w:rsidRPr="004F4D61">
        <w:rPr>
          <w:lang w:val="en-AU"/>
        </w:rPr>
        <w:t>focused on SDA location factors and construction cost assumptions for the various building types and design categories.</w:t>
      </w:r>
      <w:r w:rsidR="00EB1629">
        <w:rPr>
          <w:lang w:val="en-AU"/>
        </w:rPr>
        <w:t xml:space="preserve"> The NDIS SDA Price Guide allows for different construction costs for different design categories of SDA. In order of ascending cost these are: Basic, Improved Liveability, Fully Accessible, Robust, and High Physical Support. </w:t>
      </w:r>
      <w:r w:rsidR="00EB1629" w:rsidRPr="00EB1629">
        <w:rPr>
          <w:lang w:val="en-AU"/>
        </w:rPr>
        <w:t>The Price Guide also has a location factor, to accommodate the fact that land prices vary greatly by location. For example, land is much more expensive in inner capital city suburbs than it is in country towns.</w:t>
      </w:r>
    </w:p>
    <w:p w:rsidR="001D7C54" w:rsidRDefault="00EB1629" w:rsidP="007B30E9">
      <w:pPr>
        <w:spacing w:after="180"/>
        <w:rPr>
          <w:lang w:val="en-AU"/>
        </w:rPr>
      </w:pPr>
      <w:r w:rsidRPr="004F4D61">
        <w:rPr>
          <w:lang w:val="en-AU"/>
        </w:rPr>
        <w:t xml:space="preserve"> </w:t>
      </w:r>
      <w:r w:rsidR="003E772A" w:rsidRPr="004F4D61">
        <w:rPr>
          <w:lang w:val="en-AU"/>
        </w:rPr>
        <w:t>The Review examined, through submission</w:t>
      </w:r>
      <w:r w:rsidR="00017DCF" w:rsidRPr="004F4D61">
        <w:rPr>
          <w:lang w:val="en-AU"/>
        </w:rPr>
        <w:t>s</w:t>
      </w:r>
      <w:r w:rsidR="003E772A" w:rsidRPr="004F4D61">
        <w:rPr>
          <w:lang w:val="en-AU"/>
        </w:rPr>
        <w:t xml:space="preserve">, targeted consultation, research and analysis, </w:t>
      </w:r>
      <w:r w:rsidR="001D7C54">
        <w:rPr>
          <w:lang w:val="en-AU"/>
        </w:rPr>
        <w:t>concerns raised by investors and providers regarding</w:t>
      </w:r>
      <w:r w:rsidR="003E772A" w:rsidRPr="004F4D61">
        <w:rPr>
          <w:lang w:val="en-AU"/>
        </w:rPr>
        <w:t xml:space="preserve"> </w:t>
      </w:r>
      <w:r w:rsidR="001D7C54">
        <w:rPr>
          <w:lang w:val="en-AU"/>
        </w:rPr>
        <w:t xml:space="preserve">specific </w:t>
      </w:r>
      <w:r w:rsidR="003E772A" w:rsidRPr="004F4D61">
        <w:rPr>
          <w:lang w:val="en-AU"/>
        </w:rPr>
        <w:t>existing cost assumptions</w:t>
      </w:r>
      <w:r w:rsidR="001D7C54">
        <w:rPr>
          <w:lang w:val="en-AU"/>
        </w:rPr>
        <w:t xml:space="preserve"> and location factors</w:t>
      </w:r>
      <w:r w:rsidR="003E772A" w:rsidRPr="004F4D61">
        <w:rPr>
          <w:lang w:val="en-AU"/>
        </w:rPr>
        <w:t xml:space="preserve"> underpinning SDA </w:t>
      </w:r>
      <w:r w:rsidR="00E80455">
        <w:rPr>
          <w:lang w:val="en-AU"/>
        </w:rPr>
        <w:t>pricing arrangements</w:t>
      </w:r>
      <w:r w:rsidR="001D7C54">
        <w:rPr>
          <w:lang w:val="en-AU"/>
        </w:rPr>
        <w:t xml:space="preserve">. </w:t>
      </w:r>
    </w:p>
    <w:p w:rsidR="001D7C54" w:rsidRDefault="006B4CE3" w:rsidP="007B30E9">
      <w:pPr>
        <w:spacing w:after="180"/>
        <w:rPr>
          <w:lang w:val="en-AU"/>
        </w:rPr>
      </w:pPr>
      <w:r>
        <w:rPr>
          <w:lang w:val="en-AU"/>
        </w:rPr>
        <w:t>The Review has recommended adjustment to some construction cost assumptions for Fully Accessible and Robust design categories and increases to some</w:t>
      </w:r>
      <w:r w:rsidR="00AB3FC2">
        <w:rPr>
          <w:lang w:val="en-AU"/>
        </w:rPr>
        <w:t xml:space="preserve"> location factors in</w:t>
      </w:r>
      <w:r>
        <w:rPr>
          <w:lang w:val="en-AU"/>
        </w:rPr>
        <w:t xml:space="preserve"> Sydney and Melbourne metropolitan areas. These changes have been recommended </w:t>
      </w:r>
      <w:r w:rsidR="001D7C54">
        <w:rPr>
          <w:lang w:val="en-AU"/>
        </w:rPr>
        <w:t>in order to</w:t>
      </w:r>
      <w:r w:rsidR="001D7C54" w:rsidRPr="004F4D61">
        <w:rPr>
          <w:lang w:val="en-AU"/>
        </w:rPr>
        <w:t xml:space="preserve"> support investment across the range of SDA types and locations</w:t>
      </w:r>
      <w:r w:rsidR="003053EB">
        <w:rPr>
          <w:lang w:val="en-AU"/>
        </w:rPr>
        <w:t xml:space="preserve"> where the NDIA believes that supply should be stimulated</w:t>
      </w:r>
      <w:r w:rsidR="001D7C54" w:rsidRPr="004F4D61">
        <w:rPr>
          <w:lang w:val="en-AU"/>
        </w:rPr>
        <w:t>.</w:t>
      </w:r>
    </w:p>
    <w:p w:rsidR="00DB64EF" w:rsidRDefault="003053EB" w:rsidP="007B30E9">
      <w:pPr>
        <w:spacing w:after="180"/>
        <w:rPr>
          <w:lang w:val="en-AU"/>
        </w:rPr>
      </w:pPr>
      <w:r>
        <w:rPr>
          <w:lang w:val="en-AU"/>
        </w:rPr>
        <w:t xml:space="preserve">The Review also recognises that the SDA market will require ongoing monitoring and stewardship from the NDIA in order to ensure its growth and success. While the Review carefully examined all matters that were submitted to it, new information, data and circumstances are constantly emerging during the maturation of the SDA market. This evolving landscape may present further challenges or opportunities that the NDIA must be prepared to act upon as appropriate. </w:t>
      </w:r>
    </w:p>
    <w:p w:rsidR="003053EB" w:rsidRDefault="003053EB" w:rsidP="007B30E9">
      <w:pPr>
        <w:spacing w:after="180"/>
        <w:rPr>
          <w:lang w:val="en-AU"/>
        </w:rPr>
      </w:pPr>
      <w:r>
        <w:rPr>
          <w:lang w:val="en-AU"/>
        </w:rPr>
        <w:t xml:space="preserve">The Review has therefore </w:t>
      </w:r>
      <w:r w:rsidR="00DB64EF">
        <w:rPr>
          <w:lang w:val="en-AU"/>
        </w:rPr>
        <w:t>recommended</w:t>
      </w:r>
      <w:r>
        <w:rPr>
          <w:lang w:val="en-AU"/>
        </w:rPr>
        <w:t xml:space="preserve"> some key</w:t>
      </w:r>
      <w:r w:rsidR="00DB64EF">
        <w:rPr>
          <w:lang w:val="en-AU"/>
        </w:rPr>
        <w:t xml:space="preserve"> monitoring</w:t>
      </w:r>
      <w:r>
        <w:rPr>
          <w:lang w:val="en-AU"/>
        </w:rPr>
        <w:t xml:space="preserve"> activities be formalised as part of the NDIA’s SDA ma</w:t>
      </w:r>
      <w:r w:rsidR="00DC5D85">
        <w:rPr>
          <w:lang w:val="en-AU"/>
        </w:rPr>
        <w:t>rket steward role,</w:t>
      </w:r>
      <w:r>
        <w:rPr>
          <w:lang w:val="en-AU"/>
        </w:rPr>
        <w:t xml:space="preserve"> </w:t>
      </w:r>
      <w:r w:rsidR="00DC5D85">
        <w:rPr>
          <w:lang w:val="en-AU"/>
        </w:rPr>
        <w:t>including the incorporation</w:t>
      </w:r>
      <w:r w:rsidR="00DB64EF">
        <w:rPr>
          <w:lang w:val="en-AU"/>
        </w:rPr>
        <w:t xml:space="preserve"> </w:t>
      </w:r>
      <w:r w:rsidR="00DC5D85">
        <w:rPr>
          <w:lang w:val="en-AU"/>
        </w:rPr>
        <w:t xml:space="preserve">of </w:t>
      </w:r>
      <w:r w:rsidR="00DB64EF">
        <w:rPr>
          <w:lang w:val="en-AU"/>
        </w:rPr>
        <w:t>new data sets into analysis and the establishment of supply monitoring c</w:t>
      </w:r>
      <w:r w:rsidR="00DC5D85">
        <w:rPr>
          <w:lang w:val="en-AU"/>
        </w:rPr>
        <w:t xml:space="preserve">ycles for SDA </w:t>
      </w:r>
      <w:r w:rsidR="0052578E">
        <w:rPr>
          <w:lang w:val="en-AU"/>
        </w:rPr>
        <w:t xml:space="preserve">design categories and </w:t>
      </w:r>
      <w:r w:rsidR="00DC5D85">
        <w:rPr>
          <w:lang w:val="en-AU"/>
        </w:rPr>
        <w:t xml:space="preserve">locations. These activities will </w:t>
      </w:r>
      <w:r w:rsidR="00AB3FC2">
        <w:rPr>
          <w:lang w:val="en-AU"/>
        </w:rPr>
        <w:t>continue</w:t>
      </w:r>
      <w:r w:rsidR="00E943F1">
        <w:rPr>
          <w:lang w:val="en-AU"/>
        </w:rPr>
        <w:t xml:space="preserve"> to</w:t>
      </w:r>
      <w:r w:rsidR="00AB3FC2">
        <w:rPr>
          <w:lang w:val="en-AU"/>
        </w:rPr>
        <w:t xml:space="preserve"> inform the NDIA’s approach to SDA pricing ahead of the 2023 price review. If monitoring uncovers particular issues arise prior to then, specific remedial actions </w:t>
      </w:r>
      <w:r w:rsidR="0052578E">
        <w:rPr>
          <w:lang w:val="en-AU"/>
        </w:rPr>
        <w:t xml:space="preserve">via market communication or </w:t>
      </w:r>
      <w:r w:rsidR="00AB3FC2">
        <w:rPr>
          <w:lang w:val="en-AU"/>
        </w:rPr>
        <w:t>as part of further limited review</w:t>
      </w:r>
      <w:r w:rsidR="00E943F1">
        <w:rPr>
          <w:lang w:val="en-AU"/>
        </w:rPr>
        <w:t>(</w:t>
      </w:r>
      <w:r w:rsidR="00AB3FC2">
        <w:rPr>
          <w:lang w:val="en-AU"/>
        </w:rPr>
        <w:t>s</w:t>
      </w:r>
      <w:r w:rsidR="00E943F1">
        <w:rPr>
          <w:lang w:val="en-AU"/>
        </w:rPr>
        <w:t>)</w:t>
      </w:r>
      <w:r w:rsidR="00AB3FC2">
        <w:rPr>
          <w:lang w:val="en-AU"/>
        </w:rPr>
        <w:t xml:space="preserve"> under s 25 of the Pricing and Payments Framework can be considered</w:t>
      </w:r>
      <w:r w:rsidR="005B7E0B">
        <w:rPr>
          <w:lang w:val="en-AU"/>
        </w:rPr>
        <w:t>, noting that prices would not be decreased as a result of a limited review process</w:t>
      </w:r>
      <w:r w:rsidR="00AB3FC2">
        <w:rPr>
          <w:lang w:val="en-AU"/>
        </w:rPr>
        <w:t>.</w:t>
      </w:r>
    </w:p>
    <w:p w:rsidR="00FB48C9" w:rsidRDefault="00FB48C9" w:rsidP="003F646E">
      <w:pPr>
        <w:pStyle w:val="Heading2"/>
        <w:numPr>
          <w:ilvl w:val="0"/>
          <w:numId w:val="0"/>
        </w:numPr>
        <w:ind w:left="578" w:hanging="578"/>
      </w:pPr>
      <w:bookmarkStart w:id="5" w:name="_Toc23156369"/>
      <w:r>
        <w:t>Review Findings</w:t>
      </w:r>
      <w:bookmarkEnd w:id="5"/>
    </w:p>
    <w:p w:rsidR="00654B52" w:rsidRDefault="00654B52" w:rsidP="003F646E">
      <w:pPr>
        <w:pStyle w:val="Heading3"/>
      </w:pPr>
      <w:r>
        <w:t>Location Factors</w:t>
      </w:r>
    </w:p>
    <w:p w:rsidR="00C01684" w:rsidRDefault="00C01684" w:rsidP="00C01684">
      <w:pPr>
        <w:rPr>
          <w:lang w:val="en-AU"/>
        </w:rPr>
      </w:pPr>
      <w:r w:rsidRPr="004F4D61">
        <w:rPr>
          <w:lang w:val="en-AU"/>
        </w:rPr>
        <w:t>The Review</w:t>
      </w:r>
      <w:r w:rsidRPr="00F64913">
        <w:rPr>
          <w:lang w:val="en-AU"/>
        </w:rPr>
        <w:t xml:space="preserve"> </w:t>
      </w:r>
      <w:r w:rsidR="00AB3FC2">
        <w:rPr>
          <w:lang w:val="en-AU"/>
        </w:rPr>
        <w:t xml:space="preserve">has </w:t>
      </w:r>
      <w:r w:rsidRPr="00F64913">
        <w:rPr>
          <w:lang w:val="en-AU"/>
        </w:rPr>
        <w:t xml:space="preserve">found that, relative to the </w:t>
      </w:r>
      <w:r w:rsidR="00BB5D51">
        <w:rPr>
          <w:lang w:val="en-AU"/>
        </w:rPr>
        <w:t>estimated population eligible for SDA</w:t>
      </w:r>
      <w:r w:rsidR="00A950AF">
        <w:rPr>
          <w:lang w:val="en-AU"/>
        </w:rPr>
        <w:t xml:space="preserve"> and the existing supply of </w:t>
      </w:r>
      <w:r w:rsidR="00A950AF" w:rsidRPr="00A3319D">
        <w:rPr>
          <w:lang w:val="en-AU"/>
        </w:rPr>
        <w:t>SDA</w:t>
      </w:r>
      <w:r w:rsidRPr="00A3319D">
        <w:rPr>
          <w:lang w:val="en-AU"/>
        </w:rPr>
        <w:t xml:space="preserve">, there is a </w:t>
      </w:r>
      <w:r w:rsidR="00BB5D51" w:rsidRPr="00A3319D">
        <w:rPr>
          <w:lang w:val="en-AU"/>
        </w:rPr>
        <w:t xml:space="preserve">relative </w:t>
      </w:r>
      <w:r w:rsidRPr="00A3319D">
        <w:rPr>
          <w:lang w:val="en-AU"/>
        </w:rPr>
        <w:t xml:space="preserve">shortage of SDA </w:t>
      </w:r>
      <w:r w:rsidR="00A950AF" w:rsidRPr="00A3319D">
        <w:rPr>
          <w:lang w:val="en-AU"/>
        </w:rPr>
        <w:t xml:space="preserve">investment </w:t>
      </w:r>
      <w:r w:rsidRPr="00A3319D">
        <w:rPr>
          <w:lang w:val="en-AU"/>
        </w:rPr>
        <w:t>in a number of areas in Sydney (City and Inner South</w:t>
      </w:r>
      <w:r w:rsidR="00A3319D" w:rsidRPr="00A3319D">
        <w:rPr>
          <w:lang w:val="en-AU"/>
        </w:rPr>
        <w:t xml:space="preserve">, </w:t>
      </w:r>
      <w:r w:rsidRPr="00A3319D">
        <w:rPr>
          <w:lang w:val="en-AU"/>
        </w:rPr>
        <w:t>Eastern Suburbs</w:t>
      </w:r>
      <w:r w:rsidR="00A3319D" w:rsidRPr="00A3319D">
        <w:rPr>
          <w:lang w:val="en-AU"/>
        </w:rPr>
        <w:t xml:space="preserve"> and Inner West</w:t>
      </w:r>
      <w:r w:rsidRPr="00A3319D">
        <w:rPr>
          <w:lang w:val="en-AU"/>
        </w:rPr>
        <w:t xml:space="preserve">) and </w:t>
      </w:r>
      <w:r w:rsidR="00BB5D51" w:rsidRPr="00A3319D">
        <w:rPr>
          <w:lang w:val="en-AU"/>
        </w:rPr>
        <w:t xml:space="preserve">in </w:t>
      </w:r>
      <w:r w:rsidRPr="00A3319D">
        <w:rPr>
          <w:lang w:val="en-AU"/>
        </w:rPr>
        <w:t xml:space="preserve">Melbourne </w:t>
      </w:r>
      <w:r w:rsidR="00BB5D51" w:rsidRPr="00A3319D">
        <w:rPr>
          <w:lang w:val="en-AU"/>
        </w:rPr>
        <w:t>(</w:t>
      </w:r>
      <w:r w:rsidR="00A3319D" w:rsidRPr="00A3319D">
        <w:rPr>
          <w:lang w:val="en-AU"/>
        </w:rPr>
        <w:t xml:space="preserve">Inner East, </w:t>
      </w:r>
      <w:r w:rsidR="00BB5D51" w:rsidRPr="00A3319D">
        <w:rPr>
          <w:lang w:val="en-AU"/>
        </w:rPr>
        <w:t>Outer East and South East).</w:t>
      </w:r>
      <w:r w:rsidR="00650839" w:rsidRPr="00A3319D">
        <w:rPr>
          <w:lang w:val="en-AU"/>
        </w:rPr>
        <w:t xml:space="preserve"> </w:t>
      </w:r>
      <w:r w:rsidR="00445AC9" w:rsidRPr="00A3319D">
        <w:rPr>
          <w:lang w:val="en-AU"/>
        </w:rPr>
        <w:t xml:space="preserve">At the same time, dwelling enrolment data showed that investment appeared </w:t>
      </w:r>
      <w:r w:rsidR="00445AC9">
        <w:rPr>
          <w:lang w:val="en-AU"/>
        </w:rPr>
        <w:t xml:space="preserve">to be occurring at expected rates in </w:t>
      </w:r>
      <w:r w:rsidR="001927D3">
        <w:rPr>
          <w:lang w:val="en-AU"/>
        </w:rPr>
        <w:t>surrounding metropolitan and regional areas</w:t>
      </w:r>
      <w:r w:rsidR="00775661">
        <w:rPr>
          <w:lang w:val="en-AU"/>
        </w:rPr>
        <w:t xml:space="preserve">. This </w:t>
      </w:r>
      <w:r w:rsidR="00445AC9">
        <w:rPr>
          <w:lang w:val="en-AU"/>
        </w:rPr>
        <w:t>provides some evidence that increasing</w:t>
      </w:r>
      <w:r w:rsidR="00775661">
        <w:rPr>
          <w:lang w:val="en-AU"/>
        </w:rPr>
        <w:t xml:space="preserve"> location factors</w:t>
      </w:r>
      <w:r w:rsidR="00445AC9">
        <w:rPr>
          <w:lang w:val="en-AU"/>
        </w:rPr>
        <w:t>, and hence price</w:t>
      </w:r>
      <w:r w:rsidR="006773BA">
        <w:rPr>
          <w:lang w:val="en-AU"/>
        </w:rPr>
        <w:t xml:space="preserve"> cap</w:t>
      </w:r>
      <w:r w:rsidR="00445AC9">
        <w:rPr>
          <w:lang w:val="en-AU"/>
        </w:rPr>
        <w:t>s,</w:t>
      </w:r>
      <w:r w:rsidR="00775661">
        <w:rPr>
          <w:lang w:val="en-AU"/>
        </w:rPr>
        <w:t xml:space="preserve"> for th</w:t>
      </w:r>
      <w:r w:rsidR="00445AC9">
        <w:rPr>
          <w:lang w:val="en-AU"/>
        </w:rPr>
        <w:t>e</w:t>
      </w:r>
      <w:r w:rsidR="00775661">
        <w:rPr>
          <w:lang w:val="en-AU"/>
        </w:rPr>
        <w:t xml:space="preserve"> areas</w:t>
      </w:r>
      <w:r w:rsidR="00445AC9">
        <w:rPr>
          <w:lang w:val="en-AU"/>
        </w:rPr>
        <w:t xml:space="preserve"> with underinvestment could increase investment in those areas</w:t>
      </w:r>
      <w:r w:rsidR="00775661">
        <w:rPr>
          <w:lang w:val="en-AU"/>
        </w:rPr>
        <w:t>.</w:t>
      </w:r>
    </w:p>
    <w:p w:rsidR="009438A6" w:rsidRDefault="009438A6" w:rsidP="009438A6">
      <w:pPr>
        <w:rPr>
          <w:b/>
          <w:lang w:val="en-AU"/>
        </w:rPr>
      </w:pPr>
      <w:r w:rsidRPr="00685937">
        <w:rPr>
          <w:b/>
          <w:lang w:val="en-AU"/>
        </w:rPr>
        <w:t xml:space="preserve">The Review therefore recommends that </w:t>
      </w:r>
      <w:r w:rsidR="00826924">
        <w:rPr>
          <w:b/>
          <w:lang w:val="en-AU"/>
        </w:rPr>
        <w:t xml:space="preserve">the NDIA should increase </w:t>
      </w:r>
      <w:r w:rsidRPr="00685937">
        <w:rPr>
          <w:b/>
          <w:lang w:val="en-AU"/>
        </w:rPr>
        <w:t xml:space="preserve">the location factors for the above locations by </w:t>
      </w:r>
      <w:r>
        <w:rPr>
          <w:b/>
          <w:lang w:val="en-AU"/>
        </w:rPr>
        <w:t>b</w:t>
      </w:r>
      <w:r w:rsidRPr="00685937">
        <w:rPr>
          <w:b/>
          <w:lang w:val="en-AU"/>
        </w:rPr>
        <w:t xml:space="preserve">etween </w:t>
      </w:r>
      <w:r w:rsidR="00742DD8">
        <w:rPr>
          <w:b/>
          <w:lang w:val="en-AU"/>
        </w:rPr>
        <w:t>4.0</w:t>
      </w:r>
      <w:r w:rsidRPr="00685937">
        <w:rPr>
          <w:b/>
          <w:lang w:val="en-AU"/>
        </w:rPr>
        <w:t xml:space="preserve"> per cent and </w:t>
      </w:r>
      <w:r>
        <w:rPr>
          <w:b/>
          <w:lang w:val="en-AU"/>
        </w:rPr>
        <w:t>10.5</w:t>
      </w:r>
      <w:r w:rsidR="00826924">
        <w:rPr>
          <w:b/>
          <w:lang w:val="en-AU"/>
        </w:rPr>
        <w:t xml:space="preserve"> per cent, </w:t>
      </w:r>
      <w:r w:rsidRPr="00685937">
        <w:rPr>
          <w:b/>
          <w:lang w:val="en-AU"/>
        </w:rPr>
        <w:t>depending on location and type of building</w:t>
      </w:r>
      <w:r w:rsidR="00EA479A">
        <w:rPr>
          <w:b/>
          <w:lang w:val="en-AU"/>
        </w:rPr>
        <w:t xml:space="preserve"> </w:t>
      </w:r>
      <w:r>
        <w:rPr>
          <w:b/>
          <w:lang w:val="en-AU"/>
        </w:rPr>
        <w:t xml:space="preserve">as set </w:t>
      </w:r>
      <w:r w:rsidRPr="00357512">
        <w:rPr>
          <w:b/>
          <w:lang w:val="en-AU"/>
        </w:rPr>
        <w:t xml:space="preserve">out in </w:t>
      </w:r>
      <w:r w:rsidRPr="00357512">
        <w:rPr>
          <w:b/>
          <w:lang w:val="en-AU"/>
        </w:rPr>
        <w:fldChar w:fldCharType="begin"/>
      </w:r>
      <w:r w:rsidRPr="00357512">
        <w:rPr>
          <w:b/>
          <w:lang w:val="en-AU"/>
        </w:rPr>
        <w:instrText xml:space="preserve"> REF _Ref16544418 \h  \* MERGEFORMAT </w:instrText>
      </w:r>
      <w:r w:rsidRPr="00357512">
        <w:rPr>
          <w:b/>
          <w:lang w:val="en-AU"/>
        </w:rPr>
      </w:r>
      <w:r w:rsidRPr="00357512">
        <w:rPr>
          <w:b/>
          <w:lang w:val="en-AU"/>
        </w:rPr>
        <w:fldChar w:fldCharType="separate"/>
      </w:r>
      <w:r w:rsidR="00A3319D" w:rsidRPr="00A3319D">
        <w:rPr>
          <w:b/>
          <w:lang w:val="en-AU"/>
        </w:rPr>
        <w:t xml:space="preserve">Table </w:t>
      </w:r>
      <w:r w:rsidR="00A3319D" w:rsidRPr="00A3319D">
        <w:rPr>
          <w:b/>
          <w:noProof/>
          <w:lang w:val="en-AU"/>
        </w:rPr>
        <w:t>8</w:t>
      </w:r>
      <w:r w:rsidRPr="00357512">
        <w:rPr>
          <w:b/>
          <w:lang w:val="en-AU"/>
        </w:rPr>
        <w:fldChar w:fldCharType="end"/>
      </w:r>
      <w:r w:rsidR="00EA479A">
        <w:rPr>
          <w:b/>
          <w:lang w:val="en-AU"/>
        </w:rPr>
        <w:t xml:space="preserve"> on page </w:t>
      </w:r>
      <w:r>
        <w:rPr>
          <w:b/>
          <w:lang w:val="en-AU"/>
        </w:rPr>
        <w:fldChar w:fldCharType="begin"/>
      </w:r>
      <w:r>
        <w:rPr>
          <w:b/>
          <w:lang w:val="en-AU"/>
        </w:rPr>
        <w:instrText xml:space="preserve"> PAGEREF _Ref16546078 \h </w:instrText>
      </w:r>
      <w:r>
        <w:rPr>
          <w:b/>
          <w:lang w:val="en-AU"/>
        </w:rPr>
      </w:r>
      <w:r>
        <w:rPr>
          <w:b/>
          <w:lang w:val="en-AU"/>
        </w:rPr>
        <w:fldChar w:fldCharType="separate"/>
      </w:r>
      <w:r w:rsidR="00A3319D">
        <w:rPr>
          <w:b/>
          <w:noProof/>
          <w:lang w:val="en-AU"/>
        </w:rPr>
        <w:t>20</w:t>
      </w:r>
      <w:r>
        <w:rPr>
          <w:b/>
          <w:lang w:val="en-AU"/>
        </w:rPr>
        <w:fldChar w:fldCharType="end"/>
      </w:r>
      <w:r w:rsidR="00EA479A">
        <w:rPr>
          <w:b/>
          <w:lang w:val="en-AU"/>
        </w:rPr>
        <w:t xml:space="preserve"> below, to stimulate supply</w:t>
      </w:r>
      <w:r w:rsidRPr="00685937">
        <w:rPr>
          <w:b/>
          <w:lang w:val="en-AU"/>
        </w:rPr>
        <w:t xml:space="preserve">. </w:t>
      </w:r>
    </w:p>
    <w:p w:rsidR="00EA479A" w:rsidRDefault="00EA479A" w:rsidP="00EA479A">
      <w:pPr>
        <w:rPr>
          <w:lang w:val="en-AU"/>
        </w:rPr>
      </w:pPr>
      <w:r>
        <w:rPr>
          <w:lang w:val="en-AU"/>
        </w:rPr>
        <w:t>The pro</w:t>
      </w:r>
      <w:r w:rsidRPr="00EA479A">
        <w:rPr>
          <w:lang w:val="en-AU"/>
        </w:rPr>
        <w:t>posed</w:t>
      </w:r>
      <w:r>
        <w:rPr>
          <w:lang w:val="en-AU"/>
        </w:rPr>
        <w:t xml:space="preserve"> </w:t>
      </w:r>
      <w:r w:rsidR="00287A0F">
        <w:rPr>
          <w:lang w:val="en-AU"/>
        </w:rPr>
        <w:t xml:space="preserve">increases in </w:t>
      </w:r>
      <w:r>
        <w:rPr>
          <w:lang w:val="en-AU"/>
        </w:rPr>
        <w:t xml:space="preserve">location factors are based </w:t>
      </w:r>
      <w:r w:rsidR="005B7E0B">
        <w:rPr>
          <w:lang w:val="en-AU"/>
        </w:rPr>
        <w:t xml:space="preserve">on </w:t>
      </w:r>
      <w:r>
        <w:rPr>
          <w:lang w:val="en-AU"/>
        </w:rPr>
        <w:t>the conservative approach that a gradual increase in the</w:t>
      </w:r>
      <w:r w:rsidRPr="00F64913">
        <w:rPr>
          <w:lang w:val="en-AU"/>
        </w:rPr>
        <w:t xml:space="preserve"> price </w:t>
      </w:r>
      <w:r w:rsidR="006773BA">
        <w:rPr>
          <w:lang w:val="en-AU"/>
        </w:rPr>
        <w:t>caps</w:t>
      </w:r>
      <w:r w:rsidR="006773BA" w:rsidRPr="00F64913">
        <w:rPr>
          <w:lang w:val="en-AU"/>
        </w:rPr>
        <w:t xml:space="preserve"> </w:t>
      </w:r>
      <w:r>
        <w:rPr>
          <w:lang w:val="en-AU"/>
        </w:rPr>
        <w:t xml:space="preserve">is the most appropriate way to find the price </w:t>
      </w:r>
      <w:r w:rsidR="006773BA">
        <w:rPr>
          <w:lang w:val="en-AU"/>
        </w:rPr>
        <w:t xml:space="preserve">cap </w:t>
      </w:r>
      <w:r>
        <w:rPr>
          <w:lang w:val="en-AU"/>
        </w:rPr>
        <w:t>at which additional supply would be generated.</w:t>
      </w:r>
    </w:p>
    <w:p w:rsidR="00654B52" w:rsidRPr="00EA479A" w:rsidRDefault="00654B52" w:rsidP="006B44A5">
      <w:pPr>
        <w:pStyle w:val="Heading3"/>
      </w:pPr>
      <w:r>
        <w:t>Moving location factors from SA4 to SA3</w:t>
      </w:r>
    </w:p>
    <w:p w:rsidR="00594B7B" w:rsidRDefault="00826924" w:rsidP="00A3319D">
      <w:pPr>
        <w:shd w:val="clear" w:color="auto" w:fill="FFFFFF" w:themeFill="background1"/>
        <w:rPr>
          <w:lang w:val="en-AU"/>
        </w:rPr>
      </w:pPr>
      <w:r w:rsidRPr="00025593">
        <w:rPr>
          <w:lang w:val="en-AU"/>
        </w:rPr>
        <w:t xml:space="preserve">Providers also argued that the location factor did not always accurately reflect the variances across costs between the various geographic regions. They considered that as Statistical Area Level 4s (SA4s) cover large areas, there can be considerable </w:t>
      </w:r>
      <w:r w:rsidR="000D52F1">
        <w:rPr>
          <w:lang w:val="en-AU"/>
        </w:rPr>
        <w:t>cost</w:t>
      </w:r>
      <w:r w:rsidR="000D52F1" w:rsidRPr="00025593">
        <w:rPr>
          <w:lang w:val="en-AU"/>
        </w:rPr>
        <w:t xml:space="preserve"> </w:t>
      </w:r>
      <w:r w:rsidRPr="00025593">
        <w:rPr>
          <w:lang w:val="en-AU"/>
        </w:rPr>
        <w:t xml:space="preserve">variation within them. Submissions recommended that Statistical Area Level 3 (SA3) would be more appropriate. </w:t>
      </w:r>
    </w:p>
    <w:p w:rsidR="00654B52" w:rsidRDefault="00826924" w:rsidP="00594B7B">
      <w:pPr>
        <w:shd w:val="clear" w:color="auto" w:fill="FFFFFF" w:themeFill="background1"/>
        <w:rPr>
          <w:lang w:val="en-AU"/>
        </w:rPr>
      </w:pPr>
      <w:r>
        <w:rPr>
          <w:lang w:val="en-AU"/>
        </w:rPr>
        <w:t>On balance, the Review did not support this change at this time because</w:t>
      </w:r>
      <w:r w:rsidR="00654B52">
        <w:rPr>
          <w:lang w:val="en-AU"/>
        </w:rPr>
        <w:t>:</w:t>
      </w:r>
    </w:p>
    <w:p w:rsidR="00654B52" w:rsidRDefault="00654B52" w:rsidP="003F646E">
      <w:pPr>
        <w:pStyle w:val="ListParagraph"/>
        <w:numPr>
          <w:ilvl w:val="0"/>
          <w:numId w:val="22"/>
        </w:numPr>
        <w:shd w:val="clear" w:color="auto" w:fill="FFFFFF" w:themeFill="background1"/>
        <w:rPr>
          <w:lang w:val="en-AU"/>
        </w:rPr>
      </w:pPr>
      <w:r>
        <w:rPr>
          <w:lang w:val="en-AU"/>
        </w:rPr>
        <w:t xml:space="preserve">There </w:t>
      </w:r>
      <w:r w:rsidR="00BE71AA">
        <w:rPr>
          <w:lang w:val="en-AU"/>
        </w:rPr>
        <w:t>are data challenges</w:t>
      </w:r>
      <w:r>
        <w:rPr>
          <w:lang w:val="en-AU"/>
        </w:rPr>
        <w:t xml:space="preserve"> </w:t>
      </w:r>
      <w:r w:rsidR="00826924" w:rsidRPr="00654B52">
        <w:rPr>
          <w:lang w:val="en-AU"/>
        </w:rPr>
        <w:t>at smaller statistical area</w:t>
      </w:r>
      <w:r w:rsidR="00BE71AA">
        <w:rPr>
          <w:lang w:val="en-AU"/>
        </w:rPr>
        <w:t>s</w:t>
      </w:r>
      <w:r>
        <w:rPr>
          <w:lang w:val="en-AU"/>
        </w:rPr>
        <w:t xml:space="preserve">. </w:t>
      </w:r>
      <w:r w:rsidR="00AA0A9D">
        <w:rPr>
          <w:lang w:val="en-AU"/>
        </w:rPr>
        <w:t xml:space="preserve">For example, </w:t>
      </w:r>
      <w:r w:rsidR="00BE71AA">
        <w:rPr>
          <w:lang w:val="en-AU"/>
        </w:rPr>
        <w:t>SA3 locations do not have a minimum population requirement, and can include ‘zero SA3’ areas w</w:t>
      </w:r>
      <w:r w:rsidR="00E57144">
        <w:rPr>
          <w:lang w:val="en-AU"/>
        </w:rPr>
        <w:t xml:space="preserve">ith no or negligible population, as per </w:t>
      </w:r>
      <w:hyperlink r:id="rId15" w:history="1">
        <w:r w:rsidR="00E57144" w:rsidRPr="00E57144">
          <w:rPr>
            <w:rStyle w:val="Hyperlink"/>
            <w:lang w:val="en-AU"/>
          </w:rPr>
          <w:t>Australian Bureau of Statistics, SA3 Summary.</w:t>
        </w:r>
      </w:hyperlink>
      <w:r w:rsidR="00BE71AA">
        <w:rPr>
          <w:lang w:val="en-AU"/>
        </w:rPr>
        <w:t xml:space="preserve"> In contrast, SA4 areas have a minimum population requirement</w:t>
      </w:r>
      <w:r w:rsidR="00AA0A9D">
        <w:rPr>
          <w:lang w:val="en-AU"/>
        </w:rPr>
        <w:t xml:space="preserve"> of 100,000 people and are determined with reference to labour markets, travel-to-work interactions and social and economic similarities – which have a st</w:t>
      </w:r>
      <w:r w:rsidR="00E57144">
        <w:rPr>
          <w:lang w:val="en-AU"/>
        </w:rPr>
        <w:t xml:space="preserve">rong relevance to accommodation, as per </w:t>
      </w:r>
      <w:hyperlink r:id="rId16" w:history="1">
        <w:r w:rsidR="00E57144" w:rsidRPr="00E57144">
          <w:rPr>
            <w:rStyle w:val="Hyperlink"/>
            <w:lang w:val="en-AU"/>
          </w:rPr>
          <w:t>Australian Bureau of Statistics, SA4 Summary</w:t>
        </w:r>
      </w:hyperlink>
      <w:r w:rsidR="00E57144">
        <w:rPr>
          <w:lang w:val="en-AU"/>
        </w:rPr>
        <w:t>.</w:t>
      </w:r>
      <w:r w:rsidR="00AA0A9D">
        <w:rPr>
          <w:lang w:val="en-AU"/>
        </w:rPr>
        <w:t xml:space="preserve"> SA4 </w:t>
      </w:r>
      <w:r w:rsidR="00BE71AA">
        <w:rPr>
          <w:lang w:val="en-AU"/>
        </w:rPr>
        <w:t xml:space="preserve">areas are also much more often used in high-level research and analysis that </w:t>
      </w:r>
      <w:r w:rsidR="00913049">
        <w:rPr>
          <w:lang w:val="en-AU"/>
        </w:rPr>
        <w:t xml:space="preserve">is necessary for </w:t>
      </w:r>
      <w:r w:rsidR="00BE71AA">
        <w:rPr>
          <w:lang w:val="en-AU"/>
        </w:rPr>
        <w:t xml:space="preserve">the NDIA </w:t>
      </w:r>
      <w:r w:rsidR="00913049">
        <w:rPr>
          <w:lang w:val="en-AU"/>
        </w:rPr>
        <w:t>to consider</w:t>
      </w:r>
      <w:r w:rsidR="00BE71AA">
        <w:rPr>
          <w:lang w:val="en-AU"/>
        </w:rPr>
        <w:t xml:space="preserve"> as part of determining Scheme policy and pricing</w:t>
      </w:r>
      <w:r w:rsidR="00913049">
        <w:rPr>
          <w:lang w:val="en-AU"/>
        </w:rPr>
        <w:t xml:space="preserve"> of supports</w:t>
      </w:r>
      <w:r w:rsidR="00BE71AA">
        <w:rPr>
          <w:lang w:val="en-AU"/>
        </w:rPr>
        <w:t>.</w:t>
      </w:r>
    </w:p>
    <w:p w:rsidR="00AA0A9D" w:rsidRDefault="00BE71AA" w:rsidP="003F646E">
      <w:pPr>
        <w:pStyle w:val="ListParagraph"/>
        <w:numPr>
          <w:ilvl w:val="0"/>
          <w:numId w:val="22"/>
        </w:numPr>
        <w:shd w:val="clear" w:color="auto" w:fill="FFFFFF" w:themeFill="background1"/>
        <w:rPr>
          <w:lang w:val="en-AU"/>
        </w:rPr>
      </w:pPr>
      <w:r>
        <w:rPr>
          <w:lang w:val="en-AU"/>
        </w:rPr>
        <w:t xml:space="preserve">The NDIA’s SDA pricing model is </w:t>
      </w:r>
      <w:r w:rsidR="00AA0A9D">
        <w:rPr>
          <w:lang w:val="en-AU"/>
        </w:rPr>
        <w:t>currently</w:t>
      </w:r>
      <w:r>
        <w:rPr>
          <w:lang w:val="en-AU"/>
        </w:rPr>
        <w:t xml:space="preserve"> based </w:t>
      </w:r>
      <w:r w:rsidR="00AA0A9D">
        <w:rPr>
          <w:lang w:val="en-AU"/>
        </w:rPr>
        <w:t xml:space="preserve">fundamentally </w:t>
      </w:r>
      <w:r>
        <w:rPr>
          <w:lang w:val="en-AU"/>
        </w:rPr>
        <w:t>on the use of SA4 locations.</w:t>
      </w:r>
      <w:r w:rsidR="00C73A32" w:rsidRPr="00654B52">
        <w:rPr>
          <w:lang w:val="en-AU"/>
        </w:rPr>
        <w:t xml:space="preserve"> </w:t>
      </w:r>
      <w:r w:rsidR="00AA0A9D">
        <w:rPr>
          <w:lang w:val="en-AU"/>
        </w:rPr>
        <w:t>C</w:t>
      </w:r>
      <w:r w:rsidR="00C73A32" w:rsidRPr="00654B52">
        <w:rPr>
          <w:lang w:val="en-AU"/>
        </w:rPr>
        <w:t xml:space="preserve">hanging </w:t>
      </w:r>
      <w:r w:rsidR="00AA0A9D">
        <w:rPr>
          <w:lang w:val="en-AU"/>
        </w:rPr>
        <w:t>an assumption</w:t>
      </w:r>
      <w:r w:rsidR="00C73A32" w:rsidRPr="00654B52">
        <w:rPr>
          <w:lang w:val="en-AU"/>
        </w:rPr>
        <w:t xml:space="preserve"> of this nature is not within</w:t>
      </w:r>
      <w:r w:rsidR="00AA0A9D">
        <w:rPr>
          <w:lang w:val="en-AU"/>
        </w:rPr>
        <w:t xml:space="preserve"> the</w:t>
      </w:r>
      <w:r w:rsidR="00C73A32" w:rsidRPr="00654B52">
        <w:rPr>
          <w:lang w:val="en-AU"/>
        </w:rPr>
        <w:t xml:space="preserve"> scope of this limited review</w:t>
      </w:r>
      <w:r w:rsidR="00AA0A9D">
        <w:rPr>
          <w:lang w:val="en-AU"/>
        </w:rPr>
        <w:t xml:space="preserve"> and would require significant investigation and the development of a new pricing model in order to implement</w:t>
      </w:r>
      <w:r w:rsidR="00826924" w:rsidRPr="00654B52">
        <w:rPr>
          <w:lang w:val="en-AU"/>
        </w:rPr>
        <w:t xml:space="preserve">. </w:t>
      </w:r>
    </w:p>
    <w:p w:rsidR="00826924" w:rsidRPr="00AA0A9D" w:rsidRDefault="00826924" w:rsidP="00AA0A9D">
      <w:pPr>
        <w:shd w:val="clear" w:color="auto" w:fill="FFFFFF" w:themeFill="background1"/>
        <w:rPr>
          <w:lang w:val="en-AU"/>
        </w:rPr>
      </w:pPr>
      <w:r w:rsidRPr="00AA0A9D">
        <w:rPr>
          <w:lang w:val="en-AU"/>
        </w:rPr>
        <w:t>The NDIA may consider the use of smaller statistical areas such as SA3s as part of the</w:t>
      </w:r>
      <w:r w:rsidR="006773BA" w:rsidRPr="00AA0A9D">
        <w:rPr>
          <w:lang w:val="en-AU"/>
        </w:rPr>
        <w:t xml:space="preserve"> full </w:t>
      </w:r>
      <w:r w:rsidRPr="00AA0A9D">
        <w:rPr>
          <w:lang w:val="en-AU"/>
        </w:rPr>
        <w:t xml:space="preserve">2023 </w:t>
      </w:r>
      <w:r w:rsidR="006773BA" w:rsidRPr="00AA0A9D">
        <w:rPr>
          <w:lang w:val="en-AU"/>
        </w:rPr>
        <w:t xml:space="preserve">Review of SDA Pricing </w:t>
      </w:r>
      <w:r w:rsidR="00AA0A9D">
        <w:rPr>
          <w:lang w:val="en-AU"/>
        </w:rPr>
        <w:t>a</w:t>
      </w:r>
      <w:r w:rsidR="006773BA" w:rsidRPr="00AA0A9D">
        <w:rPr>
          <w:lang w:val="en-AU"/>
        </w:rPr>
        <w:t>rrangements</w:t>
      </w:r>
      <w:r w:rsidR="00AA0A9D" w:rsidRPr="00AA0A9D">
        <w:rPr>
          <w:lang w:val="en-AU"/>
        </w:rPr>
        <w:t>, while</w:t>
      </w:r>
      <w:r w:rsidR="006773BA" w:rsidRPr="00AA0A9D">
        <w:rPr>
          <w:lang w:val="en-AU"/>
        </w:rPr>
        <w:t xml:space="preserve"> </w:t>
      </w:r>
      <w:r w:rsidRPr="00AA0A9D">
        <w:rPr>
          <w:lang w:val="en-AU"/>
        </w:rPr>
        <w:t>noting the challenges described above.</w:t>
      </w:r>
    </w:p>
    <w:p w:rsidR="00654B52" w:rsidRDefault="00654B52" w:rsidP="003F646E">
      <w:pPr>
        <w:pStyle w:val="Heading3"/>
      </w:pPr>
      <w:r>
        <w:t>Design category construction cost assumptions</w:t>
      </w:r>
    </w:p>
    <w:p w:rsidR="00137355" w:rsidRDefault="00CE53BD" w:rsidP="00594B7B">
      <w:pPr>
        <w:shd w:val="clear" w:color="auto" w:fill="FFFFFF" w:themeFill="background1"/>
        <w:rPr>
          <w:lang w:val="en-AU"/>
        </w:rPr>
      </w:pPr>
      <w:r>
        <w:rPr>
          <w:lang w:val="en-AU"/>
        </w:rPr>
        <w:t>While there is no current or immediate risk of oversupply for any SDA design categories, t</w:t>
      </w:r>
      <w:r w:rsidRPr="00594B7B">
        <w:rPr>
          <w:lang w:val="en-AU"/>
        </w:rPr>
        <w:t xml:space="preserve">he </w:t>
      </w:r>
      <w:r w:rsidR="00C74730" w:rsidRPr="00594B7B">
        <w:rPr>
          <w:lang w:val="en-AU"/>
        </w:rPr>
        <w:t xml:space="preserve">Review </w:t>
      </w:r>
      <w:r w:rsidR="00BB5D51" w:rsidRPr="00594B7B">
        <w:rPr>
          <w:lang w:val="en-AU"/>
        </w:rPr>
        <w:t>found that</w:t>
      </w:r>
      <w:r w:rsidR="006773BA">
        <w:rPr>
          <w:lang w:val="en-AU"/>
        </w:rPr>
        <w:t xml:space="preserve">, </w:t>
      </w:r>
      <w:r w:rsidR="00BB5D51" w:rsidRPr="00594B7B">
        <w:rPr>
          <w:lang w:val="en-AU"/>
        </w:rPr>
        <w:t>relative to the expected distribution of demand between design categories</w:t>
      </w:r>
      <w:r w:rsidR="00775661">
        <w:rPr>
          <w:lang w:val="en-AU"/>
        </w:rPr>
        <w:t xml:space="preserve"> as modelled for the NDIA by independent experts </w:t>
      </w:r>
      <w:r w:rsidR="006773BA">
        <w:rPr>
          <w:lang w:val="en-AU"/>
        </w:rPr>
        <w:t>at the time of</w:t>
      </w:r>
      <w:r w:rsidR="00775661">
        <w:rPr>
          <w:lang w:val="en-AU"/>
        </w:rPr>
        <w:t xml:space="preserve"> the establishment of the SDA Pricing and Payments Framework</w:t>
      </w:r>
      <w:r w:rsidR="00C74730" w:rsidRPr="00594B7B">
        <w:rPr>
          <w:lang w:val="en-AU"/>
        </w:rPr>
        <w:t xml:space="preserve">, </w:t>
      </w:r>
      <w:r w:rsidR="00880F49">
        <w:rPr>
          <w:lang w:val="en-AU"/>
        </w:rPr>
        <w:t xml:space="preserve">there may be a risk </w:t>
      </w:r>
      <w:r>
        <w:rPr>
          <w:lang w:val="en-AU"/>
        </w:rPr>
        <w:t>in the longer term</w:t>
      </w:r>
      <w:r w:rsidR="00880F49">
        <w:rPr>
          <w:lang w:val="en-AU"/>
        </w:rPr>
        <w:t xml:space="preserve"> of oversupply</w:t>
      </w:r>
      <w:r w:rsidR="00C74730" w:rsidRPr="00594B7B">
        <w:rPr>
          <w:lang w:val="en-AU"/>
        </w:rPr>
        <w:t xml:space="preserve"> </w:t>
      </w:r>
      <w:r>
        <w:rPr>
          <w:lang w:val="en-AU"/>
        </w:rPr>
        <w:t>in</w:t>
      </w:r>
      <w:r w:rsidR="00C74730" w:rsidRPr="00594B7B">
        <w:rPr>
          <w:lang w:val="en-AU"/>
        </w:rPr>
        <w:t xml:space="preserve"> certain</w:t>
      </w:r>
      <w:r w:rsidR="005061D6" w:rsidRPr="00594B7B">
        <w:rPr>
          <w:lang w:val="en-AU"/>
        </w:rPr>
        <w:t xml:space="preserve"> design categories, particularly High </w:t>
      </w:r>
      <w:r w:rsidR="00BB5D51" w:rsidRPr="00594B7B">
        <w:rPr>
          <w:lang w:val="en-AU"/>
        </w:rPr>
        <w:t xml:space="preserve">Physical </w:t>
      </w:r>
      <w:r w:rsidR="005061D6" w:rsidRPr="00594B7B">
        <w:rPr>
          <w:lang w:val="en-AU"/>
        </w:rPr>
        <w:t>Support</w:t>
      </w:r>
      <w:r w:rsidR="0051532C">
        <w:rPr>
          <w:lang w:val="en-AU"/>
        </w:rPr>
        <w:t xml:space="preserve"> dwellings</w:t>
      </w:r>
      <w:r w:rsidR="005061D6" w:rsidRPr="00594B7B">
        <w:rPr>
          <w:lang w:val="en-AU"/>
        </w:rPr>
        <w:t xml:space="preserve">, and </w:t>
      </w:r>
      <w:r w:rsidR="00880F49">
        <w:rPr>
          <w:lang w:val="en-AU"/>
        </w:rPr>
        <w:t>undersupply of</w:t>
      </w:r>
      <w:r w:rsidR="00BB5D51" w:rsidRPr="00594B7B">
        <w:rPr>
          <w:lang w:val="en-AU"/>
        </w:rPr>
        <w:t xml:space="preserve"> Fully Accessible and</w:t>
      </w:r>
      <w:r w:rsidR="005061D6" w:rsidRPr="00594B7B">
        <w:rPr>
          <w:lang w:val="en-AU"/>
        </w:rPr>
        <w:t xml:space="preserve"> Robust</w:t>
      </w:r>
      <w:r w:rsidR="0051532C">
        <w:rPr>
          <w:lang w:val="en-AU"/>
        </w:rPr>
        <w:t xml:space="preserve"> dwellings</w:t>
      </w:r>
      <w:r w:rsidR="00826924" w:rsidRPr="00594B7B">
        <w:rPr>
          <w:lang w:val="en-AU"/>
        </w:rPr>
        <w:t xml:space="preserve"> across Australia</w:t>
      </w:r>
      <w:r w:rsidR="00880F49">
        <w:rPr>
          <w:lang w:val="en-AU"/>
        </w:rPr>
        <w:t xml:space="preserve"> at current settings</w:t>
      </w:r>
      <w:r w:rsidR="005061D6" w:rsidRPr="00594B7B">
        <w:rPr>
          <w:lang w:val="en-AU"/>
        </w:rPr>
        <w:t>.</w:t>
      </w:r>
      <w:r w:rsidR="00C15B4C" w:rsidRPr="00594B7B">
        <w:rPr>
          <w:lang w:val="en-AU"/>
        </w:rPr>
        <w:t xml:space="preserve"> </w:t>
      </w:r>
      <w:r w:rsidR="00137355">
        <w:rPr>
          <w:lang w:val="en-AU"/>
        </w:rPr>
        <w:t>This expected demand distribution, along with data available on actual enrolled dwellings and those in the pipeline, was used during the Review to compare against and/or verify stakeholder submissions.</w:t>
      </w:r>
    </w:p>
    <w:p w:rsidR="007A77EE" w:rsidRPr="00594B7B" w:rsidRDefault="007A77EE" w:rsidP="00594B7B">
      <w:pPr>
        <w:shd w:val="clear" w:color="auto" w:fill="FFFFFF" w:themeFill="background1"/>
        <w:rPr>
          <w:lang w:val="en-AU"/>
        </w:rPr>
      </w:pPr>
    </w:p>
    <w:p w:rsidR="00594B7B" w:rsidRPr="00594B7B" w:rsidRDefault="00CA7595" w:rsidP="00594B7B">
      <w:pPr>
        <w:shd w:val="clear" w:color="auto" w:fill="FFFFFF" w:themeFill="background1"/>
        <w:rPr>
          <w:lang w:val="en-AU"/>
        </w:rPr>
      </w:pPr>
      <w:r w:rsidRPr="00594B7B">
        <w:rPr>
          <w:lang w:val="en-AU"/>
        </w:rPr>
        <w:t xml:space="preserve">The Review received a number of submissions from providers that called for significant increases in the price </w:t>
      </w:r>
      <w:r w:rsidR="006773BA">
        <w:rPr>
          <w:lang w:val="en-AU"/>
        </w:rPr>
        <w:t>caps</w:t>
      </w:r>
      <w:r w:rsidR="006773BA" w:rsidRPr="00594B7B">
        <w:rPr>
          <w:lang w:val="en-AU"/>
        </w:rPr>
        <w:t xml:space="preserve"> </w:t>
      </w:r>
      <w:r w:rsidRPr="00594B7B">
        <w:rPr>
          <w:lang w:val="en-AU"/>
        </w:rPr>
        <w:t>for Fully Accessible and Robust</w:t>
      </w:r>
      <w:r w:rsidR="0051532C">
        <w:rPr>
          <w:lang w:val="en-AU"/>
        </w:rPr>
        <w:t xml:space="preserve"> dwellings</w:t>
      </w:r>
      <w:r w:rsidRPr="00594B7B">
        <w:rPr>
          <w:lang w:val="en-AU"/>
        </w:rPr>
        <w:t xml:space="preserve"> in order to stimulate supply. However, the Review was not satisfied that the evidence </w:t>
      </w:r>
      <w:r w:rsidR="00826924" w:rsidRPr="00594B7B">
        <w:rPr>
          <w:lang w:val="en-AU"/>
        </w:rPr>
        <w:t xml:space="preserve">provided </w:t>
      </w:r>
      <w:r w:rsidRPr="00594B7B">
        <w:rPr>
          <w:lang w:val="en-AU"/>
        </w:rPr>
        <w:t>supported these</w:t>
      </w:r>
      <w:r w:rsidR="00137355">
        <w:rPr>
          <w:lang w:val="en-AU"/>
        </w:rPr>
        <w:t xml:space="preserve"> larger</w:t>
      </w:r>
      <w:r w:rsidRPr="00594B7B">
        <w:rPr>
          <w:lang w:val="en-AU"/>
        </w:rPr>
        <w:t xml:space="preserve"> increases. </w:t>
      </w:r>
    </w:p>
    <w:p w:rsidR="008E4D0A" w:rsidRDefault="00CA7595" w:rsidP="00594B7B">
      <w:pPr>
        <w:shd w:val="clear" w:color="auto" w:fill="FFFFFF" w:themeFill="background1"/>
        <w:rPr>
          <w:lang w:val="en-AU"/>
        </w:rPr>
      </w:pPr>
      <w:r w:rsidRPr="00594B7B">
        <w:rPr>
          <w:lang w:val="en-AU"/>
        </w:rPr>
        <w:t xml:space="preserve">On balance, </w:t>
      </w:r>
      <w:r w:rsidR="007A77EE" w:rsidRPr="00594B7B">
        <w:rPr>
          <w:lang w:val="en-AU"/>
        </w:rPr>
        <w:t xml:space="preserve">the Review </w:t>
      </w:r>
      <w:r w:rsidRPr="00594B7B">
        <w:rPr>
          <w:lang w:val="en-AU"/>
        </w:rPr>
        <w:t>considered that a gradual increase in the</w:t>
      </w:r>
      <w:r w:rsidR="007A77EE" w:rsidRPr="00594B7B">
        <w:rPr>
          <w:lang w:val="en-AU"/>
        </w:rPr>
        <w:t xml:space="preserve"> price </w:t>
      </w:r>
      <w:r w:rsidR="006773BA">
        <w:rPr>
          <w:lang w:val="en-AU"/>
        </w:rPr>
        <w:t>caps</w:t>
      </w:r>
      <w:r w:rsidR="006773BA" w:rsidRPr="00594B7B">
        <w:rPr>
          <w:lang w:val="en-AU"/>
        </w:rPr>
        <w:t xml:space="preserve"> </w:t>
      </w:r>
      <w:r w:rsidRPr="00594B7B">
        <w:rPr>
          <w:lang w:val="en-AU"/>
        </w:rPr>
        <w:t>for</w:t>
      </w:r>
      <w:r w:rsidR="007A77EE" w:rsidRPr="00594B7B">
        <w:rPr>
          <w:lang w:val="en-AU"/>
        </w:rPr>
        <w:t xml:space="preserve"> </w:t>
      </w:r>
      <w:r w:rsidRPr="00594B7B">
        <w:rPr>
          <w:lang w:val="en-AU"/>
        </w:rPr>
        <w:t xml:space="preserve">Fully Accessible </w:t>
      </w:r>
      <w:r w:rsidR="007A77EE" w:rsidRPr="00594B7B">
        <w:rPr>
          <w:lang w:val="en-AU"/>
        </w:rPr>
        <w:t>and Robust categories</w:t>
      </w:r>
      <w:r w:rsidRPr="00594B7B">
        <w:rPr>
          <w:lang w:val="en-AU"/>
        </w:rPr>
        <w:t xml:space="preserve"> was </w:t>
      </w:r>
      <w:r w:rsidR="00D35171">
        <w:rPr>
          <w:lang w:val="en-AU"/>
        </w:rPr>
        <w:t xml:space="preserve">currently </w:t>
      </w:r>
      <w:r w:rsidRPr="00594B7B">
        <w:rPr>
          <w:lang w:val="en-AU"/>
        </w:rPr>
        <w:t xml:space="preserve">the most appropriate way in order to find the price </w:t>
      </w:r>
      <w:r w:rsidR="006773BA">
        <w:rPr>
          <w:lang w:val="en-AU"/>
        </w:rPr>
        <w:t>cap</w:t>
      </w:r>
      <w:r w:rsidR="006773BA" w:rsidRPr="00594B7B">
        <w:rPr>
          <w:lang w:val="en-AU"/>
        </w:rPr>
        <w:t xml:space="preserve"> </w:t>
      </w:r>
      <w:r w:rsidRPr="00594B7B">
        <w:rPr>
          <w:lang w:val="en-AU"/>
        </w:rPr>
        <w:t xml:space="preserve">at which additional supply would be generated. If there has been no increase </w:t>
      </w:r>
      <w:r w:rsidR="007A77EE" w:rsidRPr="00594B7B">
        <w:rPr>
          <w:lang w:val="en-AU"/>
        </w:rPr>
        <w:t>in new construction by the time of the next SDA review,</w:t>
      </w:r>
      <w:r w:rsidR="00E943F1">
        <w:rPr>
          <w:lang w:val="en-AU"/>
        </w:rPr>
        <w:t xml:space="preserve"> or new evidence emerges in the interim,</w:t>
      </w:r>
      <w:r w:rsidR="007A77EE" w:rsidRPr="00594B7B">
        <w:rPr>
          <w:lang w:val="en-AU"/>
        </w:rPr>
        <w:t xml:space="preserve"> </w:t>
      </w:r>
      <w:r w:rsidR="003E7742">
        <w:rPr>
          <w:lang w:val="en-AU"/>
        </w:rPr>
        <w:t>adjusting</w:t>
      </w:r>
      <w:r w:rsidR="00CE53BD">
        <w:rPr>
          <w:lang w:val="en-AU"/>
        </w:rPr>
        <w:t xml:space="preserve"> Fully Accessible and Robust categor</w:t>
      </w:r>
      <w:r w:rsidR="003E7742">
        <w:rPr>
          <w:lang w:val="en-AU"/>
        </w:rPr>
        <w:t>y pricing further</w:t>
      </w:r>
      <w:r w:rsidR="00CE53BD">
        <w:rPr>
          <w:lang w:val="en-AU"/>
        </w:rPr>
        <w:t xml:space="preserve"> relative to High Physical Support</w:t>
      </w:r>
      <w:r w:rsidR="007A77EE" w:rsidRPr="00594B7B">
        <w:rPr>
          <w:lang w:val="en-AU"/>
        </w:rPr>
        <w:t xml:space="preserve"> could be assessed</w:t>
      </w:r>
      <w:r w:rsidR="004F4D61" w:rsidRPr="00594B7B">
        <w:rPr>
          <w:lang w:val="en-AU"/>
        </w:rPr>
        <w:t xml:space="preserve"> at that point.</w:t>
      </w:r>
      <w:r w:rsidR="008E4D0A">
        <w:rPr>
          <w:lang w:val="en-AU"/>
        </w:rPr>
        <w:t xml:space="preserve"> </w:t>
      </w:r>
    </w:p>
    <w:p w:rsidR="00F10726" w:rsidRDefault="00F10726" w:rsidP="00F10726">
      <w:pPr>
        <w:shd w:val="clear" w:color="auto" w:fill="FFFFFF" w:themeFill="background1"/>
        <w:rPr>
          <w:b/>
          <w:lang w:val="en-AU"/>
        </w:rPr>
      </w:pPr>
      <w:r w:rsidRPr="00E11F41">
        <w:rPr>
          <w:b/>
          <w:lang w:val="en-AU"/>
        </w:rPr>
        <w:t xml:space="preserve">The Review therefore recommends that the NDIA should increase the construction cost assumptions for Fully Accessible </w:t>
      </w:r>
      <w:r>
        <w:rPr>
          <w:b/>
          <w:lang w:val="en-AU"/>
        </w:rPr>
        <w:t xml:space="preserve">and Robust </w:t>
      </w:r>
      <w:r w:rsidRPr="00E11F41">
        <w:rPr>
          <w:b/>
          <w:lang w:val="en-AU"/>
        </w:rPr>
        <w:t xml:space="preserve">dwellings by </w:t>
      </w:r>
      <w:r>
        <w:rPr>
          <w:b/>
          <w:lang w:val="en-AU"/>
        </w:rPr>
        <w:t>1</w:t>
      </w:r>
      <w:r w:rsidR="00975539">
        <w:rPr>
          <w:b/>
          <w:lang w:val="en-AU"/>
        </w:rPr>
        <w:t>6</w:t>
      </w:r>
      <w:r w:rsidR="00FE4A76">
        <w:rPr>
          <w:b/>
          <w:lang w:val="en-AU"/>
        </w:rPr>
        <w:t>.0</w:t>
      </w:r>
      <w:r>
        <w:rPr>
          <w:b/>
          <w:lang w:val="en-AU"/>
        </w:rPr>
        <w:t xml:space="preserve"> per cent and 1</w:t>
      </w:r>
      <w:r w:rsidR="00975539">
        <w:rPr>
          <w:b/>
          <w:lang w:val="en-AU"/>
        </w:rPr>
        <w:t>4</w:t>
      </w:r>
      <w:r w:rsidR="00FE4A76">
        <w:rPr>
          <w:b/>
          <w:lang w:val="en-AU"/>
        </w:rPr>
        <w:t>.0</w:t>
      </w:r>
      <w:r>
        <w:rPr>
          <w:b/>
          <w:lang w:val="en-AU"/>
        </w:rPr>
        <w:t xml:space="preserve"> per cent</w:t>
      </w:r>
      <w:r w:rsidR="006773BA">
        <w:rPr>
          <w:b/>
          <w:lang w:val="en-AU"/>
        </w:rPr>
        <w:t>,</w:t>
      </w:r>
      <w:r>
        <w:rPr>
          <w:b/>
          <w:lang w:val="en-AU"/>
        </w:rPr>
        <w:t xml:space="preserve"> </w:t>
      </w:r>
      <w:r w:rsidRPr="00F10726">
        <w:rPr>
          <w:b/>
          <w:lang w:val="en-AU"/>
        </w:rPr>
        <w:t>respectively</w:t>
      </w:r>
      <w:r w:rsidR="006773BA">
        <w:rPr>
          <w:b/>
          <w:lang w:val="en-AU"/>
        </w:rPr>
        <w:t>,</w:t>
      </w:r>
      <w:r>
        <w:rPr>
          <w:b/>
          <w:lang w:val="en-AU"/>
        </w:rPr>
        <w:t xml:space="preserve"> </w:t>
      </w:r>
      <w:r w:rsidRPr="00F10726">
        <w:rPr>
          <w:b/>
          <w:lang w:val="en-AU"/>
        </w:rPr>
        <w:t>to stimulate supply.</w:t>
      </w:r>
      <w:r w:rsidRPr="00E11F41">
        <w:rPr>
          <w:b/>
          <w:lang w:val="en-AU"/>
        </w:rPr>
        <w:t xml:space="preserve"> </w:t>
      </w:r>
    </w:p>
    <w:p w:rsidR="00FE4A76" w:rsidRDefault="00FE4A76" w:rsidP="00F10726">
      <w:pPr>
        <w:shd w:val="clear" w:color="auto" w:fill="FFFFFF" w:themeFill="background1"/>
        <w:rPr>
          <w:lang w:val="en-AU"/>
        </w:rPr>
      </w:pPr>
      <w:r w:rsidRPr="00FE4A76">
        <w:rPr>
          <w:lang w:val="en-AU"/>
        </w:rPr>
        <w:t xml:space="preserve">This translates into </w:t>
      </w:r>
      <w:r>
        <w:rPr>
          <w:lang w:val="en-AU"/>
        </w:rPr>
        <w:t xml:space="preserve">increases in the SDA price </w:t>
      </w:r>
      <w:r w:rsidR="006773BA">
        <w:rPr>
          <w:lang w:val="en-AU"/>
        </w:rPr>
        <w:t xml:space="preserve">caps </w:t>
      </w:r>
      <w:r>
        <w:rPr>
          <w:lang w:val="en-AU"/>
        </w:rPr>
        <w:t xml:space="preserve">for Fully Accessible dwellings of </w:t>
      </w:r>
      <w:r w:rsidRPr="00C80B86">
        <w:rPr>
          <w:lang w:val="en-AU"/>
        </w:rPr>
        <w:t xml:space="preserve">between 10.1 per cent and 16.4 per cent and in the SDA price </w:t>
      </w:r>
      <w:r w:rsidR="006773BA" w:rsidRPr="00C80B86">
        <w:rPr>
          <w:lang w:val="en-AU"/>
        </w:rPr>
        <w:t xml:space="preserve">caps </w:t>
      </w:r>
      <w:r w:rsidRPr="00B32912">
        <w:rPr>
          <w:lang w:val="en-AU"/>
        </w:rPr>
        <w:t>for Robust dwellings of between 9.4 per cent and 14.1 per cent.</w:t>
      </w:r>
    </w:p>
    <w:p w:rsidR="001B1CCF" w:rsidRDefault="00DC30E9" w:rsidP="003F646E">
      <w:pPr>
        <w:shd w:val="clear" w:color="auto" w:fill="FFFFFF" w:themeFill="background1"/>
        <w:rPr>
          <w:lang w:val="en-AU"/>
        </w:rPr>
      </w:pPr>
      <w:r w:rsidRPr="00C80B86">
        <w:rPr>
          <w:lang w:val="en-AU"/>
        </w:rPr>
        <w:t>The c</w:t>
      </w:r>
      <w:r w:rsidR="00287A0F" w:rsidRPr="00C80B86">
        <w:rPr>
          <w:lang w:val="en-AU"/>
        </w:rPr>
        <w:t>hanges to location factors and cost assumptions recommended by the Review are designed to address pricing issues that could result in a lack of investment or undersupply in certain</w:t>
      </w:r>
      <w:r w:rsidR="00287A0F" w:rsidRPr="00B32912">
        <w:rPr>
          <w:lang w:val="en-AU"/>
        </w:rPr>
        <w:t xml:space="preserve"> locations or SDA </w:t>
      </w:r>
      <w:r w:rsidR="006773BA" w:rsidRPr="00B32912">
        <w:rPr>
          <w:lang w:val="en-AU"/>
        </w:rPr>
        <w:t>building</w:t>
      </w:r>
      <w:r w:rsidR="006773BA" w:rsidRPr="00040BFA">
        <w:rPr>
          <w:lang w:val="en-AU"/>
        </w:rPr>
        <w:t xml:space="preserve"> </w:t>
      </w:r>
      <w:r w:rsidR="00287A0F" w:rsidRPr="00040BFA">
        <w:rPr>
          <w:lang w:val="en-AU"/>
        </w:rPr>
        <w:t xml:space="preserve">types across the growing market. </w:t>
      </w:r>
      <w:r w:rsidRPr="001B1CCF">
        <w:rPr>
          <w:lang w:val="en-AU"/>
        </w:rPr>
        <w:t xml:space="preserve">The recommended </w:t>
      </w:r>
      <w:r w:rsidR="00287A0F" w:rsidRPr="001B1CCF">
        <w:rPr>
          <w:lang w:val="en-AU"/>
        </w:rPr>
        <w:t>changes are considered</w:t>
      </w:r>
      <w:r w:rsidR="00287A0F" w:rsidRPr="000D52F1">
        <w:rPr>
          <w:lang w:val="en-AU"/>
        </w:rPr>
        <w:t xml:space="preserve"> those necessary in order to promote the objectives of the Review</w:t>
      </w:r>
      <w:r w:rsidRPr="000D52F1">
        <w:rPr>
          <w:lang w:val="en-AU"/>
        </w:rPr>
        <w:t>. They are not designed to</w:t>
      </w:r>
      <w:r w:rsidR="00287A0F" w:rsidRPr="000D52F1">
        <w:rPr>
          <w:lang w:val="en-AU"/>
        </w:rPr>
        <w:t xml:space="preserve"> benefit particular SDA investors or providers</w:t>
      </w:r>
      <w:r w:rsidRPr="000D52F1">
        <w:rPr>
          <w:lang w:val="en-AU"/>
        </w:rPr>
        <w:t>. Neither are they designed to benefit</w:t>
      </w:r>
      <w:r w:rsidR="00287A0F" w:rsidRPr="000D52F1">
        <w:rPr>
          <w:lang w:val="en-AU"/>
        </w:rPr>
        <w:t xml:space="preserve"> particular locations</w:t>
      </w:r>
      <w:r w:rsidRPr="000D52F1">
        <w:rPr>
          <w:lang w:val="en-AU"/>
        </w:rPr>
        <w:t xml:space="preserve"> or building types, except to the extent that is necessary to incentivise a more equitable distribution of SDA</w:t>
      </w:r>
      <w:r w:rsidR="00287A0F" w:rsidRPr="000D52F1">
        <w:rPr>
          <w:lang w:val="en-AU"/>
        </w:rPr>
        <w:t>.</w:t>
      </w:r>
      <w:r w:rsidR="001B1CCF" w:rsidRPr="004F4D61" w:rsidDel="001B1CCF">
        <w:rPr>
          <w:lang w:val="en-AU"/>
        </w:rPr>
        <w:t xml:space="preserve"> </w:t>
      </w:r>
    </w:p>
    <w:p w:rsidR="005732EF" w:rsidRPr="004F4D61" w:rsidRDefault="005732EF" w:rsidP="006B44A5">
      <w:pPr>
        <w:pStyle w:val="Heading3"/>
        <w:rPr>
          <w:lang w:val="en-AU"/>
        </w:rPr>
      </w:pPr>
      <w:r>
        <w:t>Ongoing monitoring</w:t>
      </w:r>
    </w:p>
    <w:p w:rsidR="001B1CCF" w:rsidRPr="00A3319D" w:rsidRDefault="001B1CCF" w:rsidP="001B1CCF">
      <w:r>
        <w:rPr>
          <w:rFonts w:cs="Arial"/>
          <w:lang w:val="en-AU"/>
        </w:rPr>
        <w:t xml:space="preserve">The NDIS Market Enablement Framework was published in October 2018 and describes the NDIA’s market steward role. </w:t>
      </w:r>
      <w:r>
        <w:t>This role includes monitoring, evaluation, oversight and, where necessary, intervention. The vision of the NDIS is to build a competitive and contestable marketplace that is flexible and responds to the choices and pref</w:t>
      </w:r>
      <w:r w:rsidRPr="00A3319D">
        <w:t>erences of participants.</w:t>
      </w:r>
    </w:p>
    <w:p w:rsidR="001B1CCF" w:rsidRDefault="001B1CCF" w:rsidP="001B1CCF">
      <w:pPr>
        <w:shd w:val="clear" w:color="auto" w:fill="FFFFFF" w:themeFill="background1"/>
        <w:rPr>
          <w:b/>
          <w:lang w:val="en-AU"/>
        </w:rPr>
      </w:pPr>
      <w:r w:rsidRPr="00A3319D">
        <w:rPr>
          <w:b/>
          <w:lang w:val="en-AU"/>
        </w:rPr>
        <w:t>The Review recommends that the NDIA should monitor the impact of location factors on supply and the distribution of SDA design category supply, through the NDIA’s Market Enablement Framework, to ensure that any re</w:t>
      </w:r>
      <w:r w:rsidR="00E5678F">
        <w:rPr>
          <w:b/>
          <w:lang w:val="en-AU"/>
        </w:rPr>
        <w:t>sidual</w:t>
      </w:r>
      <w:r w:rsidRPr="00A3319D">
        <w:rPr>
          <w:b/>
          <w:lang w:val="en-AU"/>
        </w:rPr>
        <w:t xml:space="preserve"> or emerging problems with location factors or cost assumptions are identified </w:t>
      </w:r>
      <w:r w:rsidRPr="00EC7878">
        <w:rPr>
          <w:b/>
          <w:lang w:val="en-AU"/>
        </w:rPr>
        <w:t>and appropriate actions taken</w:t>
      </w:r>
      <w:r w:rsidR="0052578E">
        <w:rPr>
          <w:b/>
          <w:lang w:val="en-AU"/>
        </w:rPr>
        <w:t>, including if necessary through further limited price reviews</w:t>
      </w:r>
      <w:r w:rsidR="005B7E0B">
        <w:rPr>
          <w:b/>
          <w:lang w:val="en-AU"/>
        </w:rPr>
        <w:t>, noting such reviews will not result in a reduction to prices</w:t>
      </w:r>
      <w:r w:rsidRPr="00A3319D">
        <w:rPr>
          <w:b/>
          <w:lang w:val="en-AU"/>
        </w:rPr>
        <w:t>.</w:t>
      </w:r>
    </w:p>
    <w:p w:rsidR="00654B52" w:rsidRPr="00A3319D" w:rsidRDefault="00654B52" w:rsidP="001B1CCF">
      <w:pPr>
        <w:shd w:val="clear" w:color="auto" w:fill="FFFFFF" w:themeFill="background1"/>
        <w:rPr>
          <w:b/>
          <w:lang w:val="en-AU"/>
        </w:rPr>
      </w:pPr>
      <w:r w:rsidRPr="00A3319D">
        <w:rPr>
          <w:b/>
          <w:lang w:val="en-AU"/>
        </w:rPr>
        <w:t>The Review further recommends that the NDIA should</w:t>
      </w:r>
      <w:r>
        <w:rPr>
          <w:b/>
          <w:lang w:val="en-AU"/>
        </w:rPr>
        <w:t>, in particular,</w:t>
      </w:r>
      <w:r w:rsidRPr="00A3319D">
        <w:rPr>
          <w:b/>
          <w:lang w:val="en-AU"/>
        </w:rPr>
        <w:t xml:space="preserve"> monitor the supply of Fully Accessible dwelling</w:t>
      </w:r>
      <w:r>
        <w:rPr>
          <w:b/>
          <w:lang w:val="en-AU"/>
        </w:rPr>
        <w:t xml:space="preserve"> placement</w:t>
      </w:r>
      <w:r w:rsidRPr="00A3319D">
        <w:rPr>
          <w:b/>
          <w:lang w:val="en-AU"/>
        </w:rPr>
        <w:t>s ahead of the 2023 full Review of SDA Pricing Arrangements to ensure that the increases in price caps proposed by the Review are having the desired effect to stimulate supply.</w:t>
      </w:r>
    </w:p>
    <w:p w:rsidR="0052578E" w:rsidRDefault="001B1CCF" w:rsidP="00A3319D">
      <w:pPr>
        <w:shd w:val="clear" w:color="auto" w:fill="FFFFFF" w:themeFill="background1"/>
      </w:pPr>
      <w:r w:rsidRPr="00A3319D">
        <w:rPr>
          <w:lang w:val="en-AU"/>
        </w:rPr>
        <w:t xml:space="preserve">This monitoring will be conducted internally and occur on an annual basis, with any necessary adjustments to price caps being made for application in the following financial year. </w:t>
      </w:r>
      <w:r w:rsidRPr="00A3319D">
        <w:t>Consistent with both the Market Enablement Framework and the SDA Pricing and Payments Framework</w:t>
      </w:r>
      <w:r w:rsidRPr="003F646E">
        <w:t xml:space="preserve">, adjustments to pricing </w:t>
      </w:r>
      <w:r w:rsidR="0052578E" w:rsidRPr="003F646E">
        <w:t>can be considered if</w:t>
      </w:r>
      <w:r w:rsidRPr="003F646E">
        <w:t xml:space="preserve"> </w:t>
      </w:r>
      <w:r w:rsidR="0052578E" w:rsidRPr="003F646E">
        <w:t xml:space="preserve">they are </w:t>
      </w:r>
      <w:r w:rsidRPr="003F646E">
        <w:t>necessary to address a significant market issue</w:t>
      </w:r>
      <w:r w:rsidR="0052578E" w:rsidRPr="003F646E">
        <w:t>.</w:t>
      </w:r>
      <w:r w:rsidRPr="003F646E">
        <w:t xml:space="preserve"> </w:t>
      </w:r>
      <w:r w:rsidR="0052578E" w:rsidRPr="003F646E">
        <w:t>Certainty for the market is assured by the scope of limited price reviews, which cannot result in a</w:t>
      </w:r>
      <w:r w:rsidRPr="003F646E">
        <w:t xml:space="preserve"> reduction </w:t>
      </w:r>
      <w:r w:rsidR="0052578E" w:rsidRPr="003F646E">
        <w:t xml:space="preserve">to </w:t>
      </w:r>
      <w:r w:rsidRPr="003F646E">
        <w:t>prices</w:t>
      </w:r>
      <w:r w:rsidR="0052578E" w:rsidRPr="003F646E">
        <w:t>.</w:t>
      </w:r>
      <w:r w:rsidRPr="003F646E">
        <w:t xml:space="preserve"> </w:t>
      </w:r>
      <w:r w:rsidR="0052578E" w:rsidRPr="003F646E">
        <w:t>Monitoring activities will collect data and analysis to support the full review</w:t>
      </w:r>
      <w:r w:rsidRPr="003F646E">
        <w:t xml:space="preserve"> of SDA Pricing Arrangements in 2023.</w:t>
      </w:r>
    </w:p>
    <w:p w:rsidR="001B1CCF" w:rsidRDefault="0052578E" w:rsidP="003F646E">
      <w:pPr>
        <w:pStyle w:val="Heading3"/>
      </w:pPr>
      <w:r>
        <w:t>Pricing related to upcoming changes to the SDA Rules</w:t>
      </w:r>
    </w:p>
    <w:p w:rsidR="00C74730" w:rsidRDefault="00E3212D" w:rsidP="00594B7B">
      <w:pPr>
        <w:shd w:val="clear" w:color="auto" w:fill="FFFFFF" w:themeFill="background1"/>
        <w:rPr>
          <w:lang w:val="en-AU"/>
        </w:rPr>
      </w:pPr>
      <w:r>
        <w:rPr>
          <w:lang w:val="en-AU"/>
        </w:rPr>
        <w:t>Finally, t</w:t>
      </w:r>
      <w:r w:rsidRPr="00594B7B">
        <w:rPr>
          <w:lang w:val="en-AU"/>
        </w:rPr>
        <w:t xml:space="preserve">he </w:t>
      </w:r>
      <w:r w:rsidR="004F4D61" w:rsidRPr="00594B7B">
        <w:rPr>
          <w:lang w:val="en-AU"/>
        </w:rPr>
        <w:t>R</w:t>
      </w:r>
      <w:r w:rsidR="00C74730" w:rsidRPr="00594B7B">
        <w:rPr>
          <w:lang w:val="en-AU"/>
        </w:rPr>
        <w:t>eview also considered whether adjustments to SDA pricing arrangements could reduce provider</w:t>
      </w:r>
      <w:r w:rsidR="004F4D61" w:rsidRPr="00594B7B">
        <w:rPr>
          <w:lang w:val="en-AU"/>
        </w:rPr>
        <w:t xml:space="preserve"> disincentives to accommodate </w:t>
      </w:r>
      <w:r w:rsidR="00C74730" w:rsidRPr="00594B7B">
        <w:rPr>
          <w:lang w:val="en-AU"/>
        </w:rPr>
        <w:t>participants who wish to live with non-participants, or participants who are not eligible for SDA.</w:t>
      </w:r>
      <w:r w:rsidR="00C15B4C" w:rsidRPr="00594B7B">
        <w:rPr>
          <w:lang w:val="en-AU"/>
        </w:rPr>
        <w:t xml:space="preserve"> </w:t>
      </w:r>
      <w:r w:rsidR="00C74730" w:rsidRPr="00594B7B">
        <w:rPr>
          <w:lang w:val="en-AU"/>
        </w:rPr>
        <w:t>However, as there is an ongoing policy refor</w:t>
      </w:r>
      <w:r w:rsidR="004F4D61" w:rsidRPr="00594B7B">
        <w:rPr>
          <w:lang w:val="en-AU"/>
        </w:rPr>
        <w:t>m process occurring in this are</w:t>
      </w:r>
      <w:r w:rsidR="00C74730" w:rsidRPr="00594B7B">
        <w:rPr>
          <w:lang w:val="en-AU"/>
        </w:rPr>
        <w:t xml:space="preserve">a, </w:t>
      </w:r>
      <w:r w:rsidR="00017DCF" w:rsidRPr="00594B7B">
        <w:rPr>
          <w:lang w:val="en-AU"/>
        </w:rPr>
        <w:t xml:space="preserve">appropriate </w:t>
      </w:r>
      <w:r w:rsidR="006773BA">
        <w:rPr>
          <w:lang w:val="en-AU"/>
        </w:rPr>
        <w:t>price cap</w:t>
      </w:r>
      <w:r w:rsidR="00C74730" w:rsidRPr="00594B7B">
        <w:rPr>
          <w:lang w:val="en-AU"/>
        </w:rPr>
        <w:t xml:space="preserve">s can only </w:t>
      </w:r>
      <w:r w:rsidR="00017DCF" w:rsidRPr="00594B7B">
        <w:rPr>
          <w:lang w:val="en-AU"/>
        </w:rPr>
        <w:t xml:space="preserve">be </w:t>
      </w:r>
      <w:r w:rsidR="00C74730" w:rsidRPr="00594B7B">
        <w:rPr>
          <w:lang w:val="en-AU"/>
        </w:rPr>
        <w:t>determined once the new rules are confirmed.</w:t>
      </w:r>
      <w:r w:rsidR="00C74730" w:rsidRPr="00F64913">
        <w:rPr>
          <w:lang w:val="en-AU"/>
        </w:rPr>
        <w:t xml:space="preserve"> </w:t>
      </w:r>
    </w:p>
    <w:p w:rsidR="0052578E" w:rsidRDefault="0052578E" w:rsidP="00594B7B">
      <w:pPr>
        <w:shd w:val="clear" w:color="auto" w:fill="FFFFFF" w:themeFill="background1"/>
        <w:rPr>
          <w:lang w:val="en-AU"/>
        </w:rPr>
      </w:pPr>
      <w:r>
        <w:rPr>
          <w:lang w:val="en-AU"/>
        </w:rPr>
        <w:t>At the time of writing, changes to the SDA Rules are being discussed at DRC.</w:t>
      </w:r>
    </w:p>
    <w:p w:rsidR="0052578E" w:rsidRDefault="0052578E" w:rsidP="00594B7B">
      <w:pPr>
        <w:shd w:val="clear" w:color="auto" w:fill="FFFFFF" w:themeFill="background1"/>
        <w:rPr>
          <w:lang w:val="en-AU"/>
        </w:rPr>
      </w:pPr>
      <w:r>
        <w:rPr>
          <w:lang w:val="en-AU"/>
        </w:rPr>
        <w:t xml:space="preserve">The NDIA is continuing work on this issue and is supporting the Department of Social Services to ensure that any changes to pricing are in place </w:t>
      </w:r>
      <w:r w:rsidR="005732EF">
        <w:rPr>
          <w:lang w:val="en-AU"/>
        </w:rPr>
        <w:t>at the appropriate time</w:t>
      </w:r>
      <w:r>
        <w:rPr>
          <w:lang w:val="en-AU"/>
        </w:rPr>
        <w:t xml:space="preserve"> </w:t>
      </w:r>
      <w:r w:rsidR="005732EF">
        <w:rPr>
          <w:lang w:val="en-AU"/>
        </w:rPr>
        <w:t xml:space="preserve">following </w:t>
      </w:r>
      <w:r>
        <w:rPr>
          <w:lang w:val="en-AU"/>
        </w:rPr>
        <w:t>amendments to the SDA Rules.</w:t>
      </w:r>
    </w:p>
    <w:p w:rsidR="00B3448F" w:rsidRPr="00F64913" w:rsidRDefault="00B3448F" w:rsidP="00594B7B">
      <w:pPr>
        <w:shd w:val="clear" w:color="auto" w:fill="FFFFFF" w:themeFill="background1"/>
        <w:rPr>
          <w:lang w:val="en-AU"/>
        </w:rPr>
      </w:pPr>
    </w:p>
    <w:p w:rsidR="003E772A" w:rsidRPr="00F64913" w:rsidRDefault="003E772A" w:rsidP="00CA7595">
      <w:pPr>
        <w:rPr>
          <w:lang w:val="en-AU"/>
        </w:rPr>
      </w:pPr>
    </w:p>
    <w:p w:rsidR="003F675A" w:rsidRPr="00F64913" w:rsidRDefault="003F675A" w:rsidP="00CA7595">
      <w:pPr>
        <w:pStyle w:val="Heading1"/>
        <w:numPr>
          <w:ilvl w:val="0"/>
          <w:numId w:val="0"/>
        </w:numPr>
        <w:shd w:val="clear" w:color="auto" w:fill="FFFFFF" w:themeFill="background1"/>
        <w:ind w:left="432"/>
        <w:rPr>
          <w:lang w:val="en-AU"/>
        </w:rPr>
        <w:sectPr w:rsidR="003F675A" w:rsidRPr="00F64913" w:rsidSect="007C422F">
          <w:footerReference w:type="first" r:id="rId17"/>
          <w:pgSz w:w="11906" w:h="16838" w:code="9"/>
          <w:pgMar w:top="1440" w:right="1440" w:bottom="1440" w:left="1440" w:header="709" w:footer="709" w:gutter="0"/>
          <w:pgNumType w:start="1"/>
          <w:cols w:space="708"/>
          <w:titlePg/>
          <w:docGrid w:linePitch="360"/>
        </w:sectPr>
      </w:pPr>
    </w:p>
    <w:p w:rsidR="007D3D53" w:rsidRPr="00F64913" w:rsidRDefault="00FD4484" w:rsidP="00E147DC">
      <w:pPr>
        <w:pStyle w:val="Heading1"/>
        <w:shd w:val="clear" w:color="auto" w:fill="FFFFFF" w:themeFill="background1"/>
        <w:rPr>
          <w:lang w:val="en-AU"/>
        </w:rPr>
      </w:pPr>
      <w:bookmarkStart w:id="6" w:name="_Toc23156370"/>
      <w:r>
        <w:rPr>
          <w:lang w:val="en-AU"/>
        </w:rPr>
        <w:t xml:space="preserve">Scope, </w:t>
      </w:r>
      <w:r w:rsidR="00FD4DF7" w:rsidRPr="00F64913">
        <w:rPr>
          <w:lang w:val="en-AU"/>
        </w:rPr>
        <w:t xml:space="preserve">Purpose </w:t>
      </w:r>
      <w:r>
        <w:rPr>
          <w:lang w:val="en-AU"/>
        </w:rPr>
        <w:t xml:space="preserve">and Process </w:t>
      </w:r>
      <w:r w:rsidR="00FD4DF7" w:rsidRPr="00F64913">
        <w:rPr>
          <w:lang w:val="en-AU"/>
        </w:rPr>
        <w:t>of the Review</w:t>
      </w:r>
      <w:bookmarkEnd w:id="6"/>
    </w:p>
    <w:p w:rsidR="00685937" w:rsidRPr="00685937" w:rsidRDefault="002C7F8A" w:rsidP="00685937">
      <w:pPr>
        <w:shd w:val="clear" w:color="auto" w:fill="FFFFFF" w:themeFill="background1"/>
        <w:spacing w:after="180"/>
        <w:rPr>
          <w:lang w:val="en-AU"/>
        </w:rPr>
      </w:pPr>
      <w:r w:rsidRPr="00F64913">
        <w:rPr>
          <w:rFonts w:cs="Arial"/>
          <w:lang w:val="en-AU"/>
        </w:rPr>
        <w:t>Specialis</w:t>
      </w:r>
      <w:r w:rsidR="00FD4DF7" w:rsidRPr="00F64913">
        <w:rPr>
          <w:rFonts w:cs="Arial"/>
          <w:lang w:val="en-AU"/>
        </w:rPr>
        <w:t>t Disability Accommodation</w:t>
      </w:r>
      <w:r w:rsidRPr="00F64913">
        <w:rPr>
          <w:rFonts w:cs="Arial"/>
          <w:lang w:val="en-AU"/>
        </w:rPr>
        <w:t xml:space="preserve"> </w:t>
      </w:r>
      <w:r w:rsidR="007F5C9A" w:rsidRPr="00F64913">
        <w:rPr>
          <w:rFonts w:cs="Arial"/>
          <w:lang w:val="en-AU"/>
        </w:rPr>
        <w:t xml:space="preserve">(SDA) </w:t>
      </w:r>
      <w:r w:rsidRPr="00F64913">
        <w:rPr>
          <w:rFonts w:cs="Arial"/>
          <w:lang w:val="en-AU"/>
        </w:rPr>
        <w:t>refers to accommodation for people with a disability who require specialist housing solutions</w:t>
      </w:r>
      <w:r w:rsidR="00944174" w:rsidRPr="00F64913">
        <w:rPr>
          <w:rFonts w:cs="Arial"/>
          <w:lang w:val="en-AU"/>
        </w:rPr>
        <w:t xml:space="preserve"> to</w:t>
      </w:r>
      <w:r w:rsidRPr="00F64913">
        <w:rPr>
          <w:rFonts w:cs="Arial"/>
          <w:lang w:val="en-AU"/>
        </w:rPr>
        <w:t xml:space="preserve"> assist with </w:t>
      </w:r>
      <w:r w:rsidR="00944174" w:rsidRPr="00F64913">
        <w:rPr>
          <w:rFonts w:cs="Arial"/>
          <w:lang w:val="en-AU"/>
        </w:rPr>
        <w:t>the delivery of</w:t>
      </w:r>
      <w:r w:rsidRPr="00F64913">
        <w:rPr>
          <w:rFonts w:cs="Arial"/>
          <w:lang w:val="en-AU"/>
        </w:rPr>
        <w:t xml:space="preserve"> supports </w:t>
      </w:r>
      <w:r w:rsidR="00944174" w:rsidRPr="00F64913">
        <w:rPr>
          <w:rFonts w:cs="Arial"/>
          <w:lang w:val="en-AU"/>
        </w:rPr>
        <w:t>that</w:t>
      </w:r>
      <w:r w:rsidRPr="00F64913">
        <w:rPr>
          <w:rFonts w:cs="Arial"/>
          <w:lang w:val="en-AU"/>
        </w:rPr>
        <w:t xml:space="preserve"> cater </w:t>
      </w:r>
      <w:r w:rsidR="00944174" w:rsidRPr="00F64913">
        <w:rPr>
          <w:rFonts w:cs="Arial"/>
          <w:lang w:val="en-AU"/>
        </w:rPr>
        <w:t xml:space="preserve">for their extreme functional impairment </w:t>
      </w:r>
      <w:r w:rsidRPr="00F64913">
        <w:rPr>
          <w:rFonts w:cs="Arial"/>
          <w:lang w:val="en-AU"/>
        </w:rPr>
        <w:t xml:space="preserve">and/or very high support needs. </w:t>
      </w:r>
      <w:r w:rsidR="007F5C9A" w:rsidRPr="00F64913">
        <w:rPr>
          <w:rFonts w:cs="Arial"/>
          <w:lang w:val="en-AU"/>
        </w:rPr>
        <w:t xml:space="preserve">SDA </w:t>
      </w:r>
      <w:r w:rsidR="00944174" w:rsidRPr="00F64913">
        <w:rPr>
          <w:rFonts w:cs="Arial"/>
          <w:lang w:val="en-AU"/>
        </w:rPr>
        <w:t xml:space="preserve">does not refer to the support services, but the homes in which these are delivered. </w:t>
      </w:r>
      <w:r w:rsidR="00FD4DF7" w:rsidRPr="00F64913">
        <w:rPr>
          <w:rFonts w:cs="Arial"/>
          <w:lang w:val="en-AU"/>
        </w:rPr>
        <w:t>These homes</w:t>
      </w:r>
      <w:r w:rsidR="00944174" w:rsidRPr="00F64913">
        <w:rPr>
          <w:rFonts w:cs="Arial"/>
          <w:lang w:val="en-AU"/>
        </w:rPr>
        <w:t xml:space="preserve"> may include specialist designs for people with very high needs or may have a location or features that make it feasible to provide complex or costly supports for independent living.</w:t>
      </w:r>
      <w:r w:rsidR="003F675A" w:rsidRPr="00F64913">
        <w:rPr>
          <w:rFonts w:cs="Arial"/>
          <w:lang w:val="en-AU"/>
        </w:rPr>
        <w:t xml:space="preserve"> </w:t>
      </w:r>
      <w:r w:rsidR="00685937" w:rsidRPr="00685937">
        <w:rPr>
          <w:lang w:val="en-AU"/>
        </w:rPr>
        <w:t xml:space="preserve">SDA </w:t>
      </w:r>
      <w:r w:rsidR="00685937">
        <w:rPr>
          <w:lang w:val="en-AU"/>
        </w:rPr>
        <w:t xml:space="preserve">needs to be </w:t>
      </w:r>
      <w:r w:rsidR="00685937" w:rsidRPr="00685937">
        <w:rPr>
          <w:lang w:val="en-AU"/>
        </w:rPr>
        <w:t>available in a variety of locations reflecting the diversity of participant preferences. Where people live is important to conn</w:t>
      </w:r>
      <w:r w:rsidR="00685937">
        <w:rPr>
          <w:lang w:val="en-AU"/>
        </w:rPr>
        <w:t xml:space="preserve">ections to family and community, </w:t>
      </w:r>
      <w:r w:rsidR="00685937" w:rsidRPr="00685937">
        <w:rPr>
          <w:lang w:val="en-AU"/>
        </w:rPr>
        <w:t>including employment and study.</w:t>
      </w:r>
    </w:p>
    <w:p w:rsidR="00FD4DF7" w:rsidRPr="00F64913" w:rsidRDefault="00FD4DF7" w:rsidP="00E147DC">
      <w:pPr>
        <w:shd w:val="clear" w:color="auto" w:fill="FFFFFF" w:themeFill="background1"/>
        <w:spacing w:after="180"/>
        <w:rPr>
          <w:rFonts w:cs="Arial"/>
          <w:lang w:val="en-AU"/>
        </w:rPr>
      </w:pPr>
      <w:r w:rsidRPr="00F64913">
        <w:rPr>
          <w:lang w:val="en-AU"/>
        </w:rPr>
        <w:t xml:space="preserve">Within </w:t>
      </w:r>
      <w:r w:rsidR="002C7F8A" w:rsidRPr="00F64913">
        <w:rPr>
          <w:rFonts w:cs="Arial"/>
          <w:lang w:val="en-AU"/>
        </w:rPr>
        <w:t xml:space="preserve">the National Disability </w:t>
      </w:r>
      <w:r w:rsidR="00F64913">
        <w:rPr>
          <w:rFonts w:cs="Arial"/>
          <w:lang w:val="en-AU"/>
        </w:rPr>
        <w:t>Insurance Scheme (NDIS</w:t>
      </w:r>
      <w:r w:rsidR="00944174" w:rsidRPr="00F64913">
        <w:rPr>
          <w:rFonts w:cs="Arial"/>
          <w:lang w:val="en-AU"/>
        </w:rPr>
        <w:t>)</w:t>
      </w:r>
      <w:r w:rsidR="00F51EDF" w:rsidRPr="00F64913">
        <w:rPr>
          <w:rFonts w:cs="Arial"/>
          <w:lang w:val="en-AU"/>
        </w:rPr>
        <w:t xml:space="preserve">, </w:t>
      </w:r>
      <w:r w:rsidR="007F5C9A" w:rsidRPr="00F64913">
        <w:rPr>
          <w:rFonts w:cs="Arial"/>
          <w:lang w:val="en-AU"/>
        </w:rPr>
        <w:t xml:space="preserve">SDA </w:t>
      </w:r>
      <w:r w:rsidR="00F51EDF" w:rsidRPr="00F64913">
        <w:rPr>
          <w:rFonts w:cs="Arial"/>
          <w:lang w:val="en-AU"/>
        </w:rPr>
        <w:t>is a type of support (funding</w:t>
      </w:r>
      <w:r w:rsidR="006B500B" w:rsidRPr="00F64913">
        <w:rPr>
          <w:rFonts w:cs="Arial"/>
          <w:lang w:val="en-AU"/>
        </w:rPr>
        <w:t>)</w:t>
      </w:r>
      <w:r w:rsidR="00F51EDF" w:rsidRPr="00F64913">
        <w:rPr>
          <w:rFonts w:cs="Arial"/>
          <w:lang w:val="en-AU"/>
        </w:rPr>
        <w:t xml:space="preserve"> that is provided to </w:t>
      </w:r>
      <w:r w:rsidRPr="00F64913">
        <w:rPr>
          <w:lang w:val="en-AU"/>
        </w:rPr>
        <w:t>some participants.</w:t>
      </w:r>
      <w:r w:rsidRPr="00F64913">
        <w:rPr>
          <w:rFonts w:cs="Arial"/>
          <w:lang w:val="en-AU"/>
        </w:rPr>
        <w:t xml:space="preserve"> SDA </w:t>
      </w:r>
      <w:r w:rsidR="00F51EDF" w:rsidRPr="00F64913">
        <w:rPr>
          <w:rFonts w:cs="Arial"/>
          <w:lang w:val="en-AU"/>
        </w:rPr>
        <w:t>funding is</w:t>
      </w:r>
      <w:r w:rsidRPr="00F64913">
        <w:rPr>
          <w:rFonts w:cs="Arial"/>
          <w:lang w:val="en-AU"/>
        </w:rPr>
        <w:t xml:space="preserve"> provided to participants who require a specialist dwelling that reduces their need for person-to-person supports, or improves the efficiency of the delivery of person-to-person supports. SDA funding is only provided for participants who </w:t>
      </w:r>
      <w:r w:rsidR="007F5C9A" w:rsidRPr="00F64913">
        <w:rPr>
          <w:rFonts w:cs="Arial"/>
          <w:lang w:val="en-AU"/>
        </w:rPr>
        <w:t>are assessed by the National Di</w:t>
      </w:r>
      <w:r w:rsidR="00F64913">
        <w:rPr>
          <w:rFonts w:cs="Arial"/>
          <w:lang w:val="en-AU"/>
        </w:rPr>
        <w:t>sability Insurance Agency (NDIA</w:t>
      </w:r>
      <w:r w:rsidR="007F5C9A" w:rsidRPr="00F64913">
        <w:rPr>
          <w:rFonts w:cs="Arial"/>
          <w:lang w:val="en-AU"/>
        </w:rPr>
        <w:t xml:space="preserve">) as meeting </w:t>
      </w:r>
      <w:r w:rsidRPr="00F64913">
        <w:rPr>
          <w:rFonts w:cs="Arial"/>
          <w:lang w:val="en-AU"/>
        </w:rPr>
        <w:t>the eligibility criteria</w:t>
      </w:r>
      <w:r w:rsidR="007F5C9A" w:rsidRPr="00F64913">
        <w:rPr>
          <w:rFonts w:cs="Arial"/>
          <w:lang w:val="en-AU"/>
        </w:rPr>
        <w:t xml:space="preserve"> set out in the </w:t>
      </w:r>
      <w:hyperlink r:id="rId18" w:history="1">
        <w:r w:rsidR="007F5C9A" w:rsidRPr="0055209A">
          <w:rPr>
            <w:rStyle w:val="Hyperlink"/>
            <w:rFonts w:cs="Arial"/>
            <w:i/>
            <w:lang w:val="en-AU"/>
          </w:rPr>
          <w:t>National Disability Insurance Scheme (Specialist Disability Accommodation) Rules 2016</w:t>
        </w:r>
      </w:hyperlink>
      <w:r w:rsidR="007F5C9A" w:rsidRPr="00F64913">
        <w:rPr>
          <w:rFonts w:cs="Arial"/>
          <w:i/>
          <w:lang w:val="en-AU"/>
        </w:rPr>
        <w:t>.</w:t>
      </w:r>
      <w:r w:rsidR="0055209A">
        <w:rPr>
          <w:rFonts w:cs="Arial"/>
          <w:i/>
          <w:vertAlign w:val="superscript"/>
          <w:lang w:val="en-AU"/>
        </w:rPr>
        <w:t xml:space="preserve"> </w:t>
      </w:r>
      <w:r w:rsidR="0055209A">
        <w:rPr>
          <w:rFonts w:cs="Arial"/>
          <w:lang w:val="en-AU"/>
        </w:rPr>
        <w:t xml:space="preserve"> </w:t>
      </w:r>
      <w:r w:rsidR="007C422F">
        <w:rPr>
          <w:rFonts w:cs="Arial"/>
          <w:lang w:val="en-AU"/>
        </w:rPr>
        <w:t>In</w:t>
      </w:r>
      <w:r w:rsidR="00F64913">
        <w:rPr>
          <w:rFonts w:cs="Arial"/>
          <w:lang w:val="en-AU"/>
        </w:rPr>
        <w:t xml:space="preserve"> general, eligible participants </w:t>
      </w:r>
      <w:r w:rsidRPr="00F64913">
        <w:rPr>
          <w:rFonts w:cs="Arial"/>
          <w:lang w:val="en-AU"/>
        </w:rPr>
        <w:t xml:space="preserve">will have an extreme functional impairment and/or very high support needs. </w:t>
      </w:r>
    </w:p>
    <w:p w:rsidR="00FD4DF7" w:rsidRPr="00F64913" w:rsidRDefault="00FD4DF7" w:rsidP="00E147DC">
      <w:pPr>
        <w:shd w:val="clear" w:color="auto" w:fill="FFFFFF" w:themeFill="background1"/>
        <w:spacing w:after="180"/>
        <w:rPr>
          <w:rFonts w:cs="Arial"/>
          <w:lang w:val="en-AU"/>
        </w:rPr>
      </w:pPr>
      <w:r w:rsidRPr="00F64913">
        <w:rPr>
          <w:rFonts w:cs="Arial"/>
          <w:lang w:val="en-AU"/>
        </w:rPr>
        <w:t xml:space="preserve">SDA </w:t>
      </w:r>
      <w:r w:rsidR="00F51EDF" w:rsidRPr="00F64913">
        <w:rPr>
          <w:rFonts w:cs="Arial"/>
          <w:lang w:val="en-AU"/>
        </w:rPr>
        <w:t>supports ar</w:t>
      </w:r>
      <w:r w:rsidRPr="00F64913">
        <w:rPr>
          <w:rFonts w:cs="Arial"/>
          <w:lang w:val="en-AU"/>
        </w:rPr>
        <w:t xml:space="preserve">e a new form of capital funding that provides an income stream to providers who have </w:t>
      </w:r>
      <w:r w:rsidR="006B500B" w:rsidRPr="00F64913">
        <w:rPr>
          <w:rFonts w:cs="Arial"/>
          <w:lang w:val="en-AU"/>
        </w:rPr>
        <w:t>constructed or purchased</w:t>
      </w:r>
      <w:r w:rsidRPr="00F64913">
        <w:rPr>
          <w:rFonts w:cs="Arial"/>
          <w:lang w:val="en-AU"/>
        </w:rPr>
        <w:t xml:space="preserve"> </w:t>
      </w:r>
      <w:r w:rsidR="00685937">
        <w:rPr>
          <w:rFonts w:cs="Arial"/>
          <w:lang w:val="en-AU"/>
        </w:rPr>
        <w:t>SDA</w:t>
      </w:r>
      <w:r w:rsidR="00F51EDF" w:rsidRPr="00F64913">
        <w:rPr>
          <w:lang w:val="en-AU"/>
        </w:rPr>
        <w:t xml:space="preserve">. </w:t>
      </w:r>
      <w:r w:rsidRPr="00F64913">
        <w:rPr>
          <w:rFonts w:cs="Arial"/>
          <w:lang w:val="en-AU"/>
        </w:rPr>
        <w:t>Like other parts of the NDIS, SDA employs a market-based approach by making funding available to participants who meet the criteria for SDA. A participant can then source the supports they choose from the market. For SDA this means that the NDIS provides funding through a participant’s plan and the participant (often with additional support such as a support coordinator) then finds and applies for the best SDA option for them.</w:t>
      </w:r>
      <w:r w:rsidR="009A27E7" w:rsidRPr="00F64913">
        <w:rPr>
          <w:rFonts w:cs="Arial"/>
          <w:lang w:val="en-AU"/>
        </w:rPr>
        <w:t xml:space="preserve"> </w:t>
      </w:r>
    </w:p>
    <w:p w:rsidR="009A27E7" w:rsidRPr="00F64913" w:rsidRDefault="009A27E7" w:rsidP="00F64913">
      <w:pPr>
        <w:pStyle w:val="Heading2"/>
      </w:pPr>
      <w:bookmarkStart w:id="7" w:name="_Toc23156371"/>
      <w:r w:rsidRPr="00F64913">
        <w:t>SDA Pricing and Payments Framework</w:t>
      </w:r>
      <w:bookmarkEnd w:id="7"/>
    </w:p>
    <w:p w:rsidR="00C15B4C" w:rsidRPr="00F64913" w:rsidRDefault="009A27E7" w:rsidP="00C15B4C">
      <w:pPr>
        <w:shd w:val="clear" w:color="auto" w:fill="FFFFFF" w:themeFill="background1"/>
        <w:spacing w:after="180"/>
        <w:rPr>
          <w:rFonts w:cs="Arial"/>
          <w:lang w:val="en-AU"/>
        </w:rPr>
      </w:pPr>
      <w:r w:rsidRPr="00F64913">
        <w:rPr>
          <w:rFonts w:cs="Arial"/>
          <w:lang w:val="en-AU"/>
        </w:rPr>
        <w:t xml:space="preserve">In November 2015, the Council of Australian Government’s Disability Reform Council (DRC) endorsed the </w:t>
      </w:r>
      <w:hyperlink r:id="rId19" w:history="1">
        <w:r w:rsidRPr="00825C41">
          <w:rPr>
            <w:rStyle w:val="Hyperlink"/>
            <w:rFonts w:cs="Arial"/>
            <w:lang w:val="en-AU"/>
          </w:rPr>
          <w:t>SDA Pricing and Payments Framework (the Framework)</w:t>
        </w:r>
      </w:hyperlink>
      <w:r w:rsidR="006B500B" w:rsidRPr="00F64913">
        <w:rPr>
          <w:rFonts w:cs="Arial"/>
          <w:lang w:val="en-AU"/>
        </w:rPr>
        <w:t xml:space="preserve"> to provide</w:t>
      </w:r>
      <w:r w:rsidRPr="00F64913">
        <w:rPr>
          <w:rFonts w:cs="Arial"/>
          <w:lang w:val="en-AU"/>
        </w:rPr>
        <w:t xml:space="preserve"> guidance and instruction on how SDA pricing was to be developed, and for whom, and in what circumstances, SDA funding would be provided.</w:t>
      </w:r>
    </w:p>
    <w:p w:rsidR="00C06C46" w:rsidRPr="00F64913" w:rsidRDefault="00C06C46" w:rsidP="00A950AF">
      <w:pPr>
        <w:shd w:val="clear" w:color="auto" w:fill="FFFFFF" w:themeFill="background1"/>
        <w:spacing w:after="180"/>
        <w:rPr>
          <w:rFonts w:cs="Arial"/>
          <w:lang w:val="en-AU"/>
        </w:rPr>
      </w:pPr>
      <w:r>
        <w:rPr>
          <w:rFonts w:cs="Arial"/>
          <w:lang w:val="en-AU"/>
        </w:rPr>
        <w:t xml:space="preserve">In 2018, KPMG conducted a review of the </w:t>
      </w:r>
      <w:hyperlink r:id="rId20" w:history="1">
        <w:r w:rsidRPr="00454964">
          <w:rPr>
            <w:rStyle w:val="Hyperlink"/>
            <w:rFonts w:cs="Arial"/>
            <w:lang w:val="en-AU"/>
          </w:rPr>
          <w:t>SDA Pricing and Payments Framework (the KPMG Review)</w:t>
        </w:r>
      </w:hyperlink>
      <w:r>
        <w:rPr>
          <w:rFonts w:cs="Arial"/>
          <w:lang w:val="en-AU"/>
        </w:rPr>
        <w:t xml:space="preserve"> for</w:t>
      </w:r>
      <w:r w:rsidR="00AC366C">
        <w:rPr>
          <w:rFonts w:cs="Arial"/>
          <w:lang w:val="en-AU"/>
        </w:rPr>
        <w:t xml:space="preserve"> the</w:t>
      </w:r>
      <w:r>
        <w:rPr>
          <w:rFonts w:cs="Arial"/>
          <w:lang w:val="en-AU"/>
        </w:rPr>
        <w:t xml:space="preserve"> DRC. In general, </w:t>
      </w:r>
      <w:r w:rsidR="00A950AF">
        <w:rPr>
          <w:rFonts w:cs="Arial"/>
          <w:lang w:val="en-AU"/>
        </w:rPr>
        <w:t xml:space="preserve">SDA </w:t>
      </w:r>
      <w:r>
        <w:rPr>
          <w:rFonts w:cs="Arial"/>
          <w:lang w:val="en-AU"/>
        </w:rPr>
        <w:t xml:space="preserve">providers and investors indicated to the KPMG Review that the </w:t>
      </w:r>
      <w:r w:rsidR="00A950AF">
        <w:rPr>
          <w:rFonts w:cs="Arial"/>
          <w:lang w:val="en-AU"/>
        </w:rPr>
        <w:t xml:space="preserve">assumptions underpinning the SDA pricing arrangements </w:t>
      </w:r>
      <w:r>
        <w:rPr>
          <w:rFonts w:cs="Arial"/>
          <w:lang w:val="en-AU"/>
        </w:rPr>
        <w:t xml:space="preserve">were largely reasonable. However, there were submissions that some of the underpinning </w:t>
      </w:r>
      <w:r w:rsidR="00AC366C">
        <w:rPr>
          <w:rFonts w:cs="Arial"/>
          <w:lang w:val="en-AU"/>
        </w:rPr>
        <w:t xml:space="preserve">cost </w:t>
      </w:r>
      <w:r>
        <w:rPr>
          <w:rFonts w:cs="Arial"/>
          <w:lang w:val="en-AU"/>
        </w:rPr>
        <w:t xml:space="preserve">assumptions and location factors did not reflect actual costs, and could </w:t>
      </w:r>
      <w:r w:rsidR="00AC366C">
        <w:rPr>
          <w:rFonts w:cs="Arial"/>
          <w:lang w:val="en-AU"/>
        </w:rPr>
        <w:t>discourage</w:t>
      </w:r>
      <w:r>
        <w:rPr>
          <w:rFonts w:cs="Arial"/>
          <w:lang w:val="en-AU"/>
        </w:rPr>
        <w:t xml:space="preserve"> investment.</w:t>
      </w:r>
    </w:p>
    <w:p w:rsidR="006B500B" w:rsidRPr="00F64913" w:rsidRDefault="009A27E7" w:rsidP="00C15B4C">
      <w:pPr>
        <w:shd w:val="clear" w:color="auto" w:fill="FFFFFF" w:themeFill="background1"/>
        <w:spacing w:after="180"/>
        <w:rPr>
          <w:rFonts w:cs="Arial"/>
          <w:lang w:val="en-AU"/>
        </w:rPr>
      </w:pPr>
      <w:r w:rsidRPr="00F64913">
        <w:rPr>
          <w:rFonts w:cs="Arial"/>
          <w:lang w:val="en-AU"/>
        </w:rPr>
        <w:t>On 9 February 2019, i</w:t>
      </w:r>
      <w:r w:rsidR="007F5C9A" w:rsidRPr="00F64913">
        <w:rPr>
          <w:rFonts w:cs="Arial"/>
          <w:lang w:val="en-AU"/>
        </w:rPr>
        <w:t xml:space="preserve">n response to </w:t>
      </w:r>
      <w:r w:rsidR="003C1A9D">
        <w:rPr>
          <w:rFonts w:cs="Arial"/>
          <w:lang w:val="en-AU"/>
        </w:rPr>
        <w:t>the KPMG Review</w:t>
      </w:r>
      <w:r w:rsidR="007F5C9A" w:rsidRPr="00F64913">
        <w:rPr>
          <w:rFonts w:cs="Arial"/>
          <w:lang w:val="en-AU"/>
        </w:rPr>
        <w:t xml:space="preserve">, </w:t>
      </w:r>
      <w:r w:rsidRPr="00F64913">
        <w:rPr>
          <w:rFonts w:cs="Arial"/>
          <w:lang w:val="en-AU"/>
        </w:rPr>
        <w:t xml:space="preserve">DRC </w:t>
      </w:r>
      <w:r w:rsidR="000E0C4D">
        <w:rPr>
          <w:rFonts w:cs="Arial"/>
          <w:lang w:val="en-AU"/>
        </w:rPr>
        <w:t xml:space="preserve">in its </w:t>
      </w:r>
      <w:hyperlink r:id="rId21" w:history="1">
        <w:r w:rsidR="000E0C4D" w:rsidRPr="000E0C4D">
          <w:rPr>
            <w:rStyle w:val="Hyperlink"/>
            <w:rFonts w:cs="Arial"/>
            <w:lang w:val="en-AU"/>
          </w:rPr>
          <w:t>Review of the SDA Pricing and Payments Framework</w:t>
        </w:r>
      </w:hyperlink>
      <w:r w:rsidR="000E0C4D">
        <w:rPr>
          <w:rFonts w:cs="Arial"/>
          <w:lang w:val="en-AU"/>
        </w:rPr>
        <w:t xml:space="preserve"> </w:t>
      </w:r>
      <w:r w:rsidRPr="00F64913">
        <w:rPr>
          <w:rFonts w:cs="Arial"/>
          <w:lang w:val="en-AU"/>
        </w:rPr>
        <w:t xml:space="preserve">agreed </w:t>
      </w:r>
      <w:r w:rsidR="007F5C9A" w:rsidRPr="00F64913">
        <w:rPr>
          <w:rFonts w:cs="Arial"/>
          <w:lang w:val="en-AU"/>
        </w:rPr>
        <w:t>to</w:t>
      </w:r>
      <w:r w:rsidR="00524E5F" w:rsidRPr="00F64913">
        <w:rPr>
          <w:rFonts w:cs="Arial"/>
          <w:lang w:val="en-AU"/>
        </w:rPr>
        <w:t xml:space="preserve">, </w:t>
      </w:r>
      <w:r w:rsidR="00524E5F" w:rsidRPr="00F64913">
        <w:rPr>
          <w:rFonts w:cs="Arial"/>
          <w:i/>
          <w:lang w:val="en-AU"/>
        </w:rPr>
        <w:t>inter alia</w:t>
      </w:r>
      <w:r w:rsidR="006B500B" w:rsidRPr="00F64913">
        <w:rPr>
          <w:rFonts w:cs="Arial"/>
          <w:lang w:val="en-AU"/>
        </w:rPr>
        <w:t>:</w:t>
      </w:r>
      <w:r w:rsidR="00AC366C" w:rsidRPr="00AC366C">
        <w:rPr>
          <w:rFonts w:cs="Arial"/>
          <w:vertAlign w:val="superscript"/>
          <w:lang w:val="en-AU"/>
        </w:rPr>
        <w:t xml:space="preserve"> </w:t>
      </w:r>
    </w:p>
    <w:p w:rsidR="007F5C9A" w:rsidRPr="00F64913" w:rsidRDefault="006B500B" w:rsidP="00752550">
      <w:pPr>
        <w:numPr>
          <w:ilvl w:val="0"/>
          <w:numId w:val="4"/>
        </w:numPr>
        <w:shd w:val="clear" w:color="auto" w:fill="FFFFFF" w:themeFill="background1"/>
        <w:spacing w:after="180"/>
        <w:rPr>
          <w:rFonts w:cs="Arial"/>
          <w:lang w:val="en-AU"/>
        </w:rPr>
      </w:pPr>
      <w:r w:rsidRPr="00F64913">
        <w:rPr>
          <w:rFonts w:cs="Arial"/>
          <w:lang w:val="en-AU"/>
        </w:rPr>
        <w:t>U</w:t>
      </w:r>
      <w:r w:rsidR="007F5C9A" w:rsidRPr="00F64913">
        <w:rPr>
          <w:rFonts w:cs="Arial"/>
          <w:lang w:val="en-AU"/>
        </w:rPr>
        <w:t xml:space="preserve">pdate the </w:t>
      </w:r>
      <w:r w:rsidRPr="00F64913">
        <w:rPr>
          <w:rFonts w:cs="Arial"/>
          <w:lang w:val="en-AU"/>
        </w:rPr>
        <w:t xml:space="preserve">SDA Pricing and Payments </w:t>
      </w:r>
      <w:r w:rsidR="007F5C9A" w:rsidRPr="00F64913">
        <w:rPr>
          <w:rFonts w:cs="Arial"/>
          <w:lang w:val="en-AU"/>
        </w:rPr>
        <w:t xml:space="preserve">Framework to: </w:t>
      </w:r>
    </w:p>
    <w:p w:rsidR="007F5C9A" w:rsidRPr="00F64913" w:rsidRDefault="007F5C9A" w:rsidP="00752550">
      <w:pPr>
        <w:numPr>
          <w:ilvl w:val="1"/>
          <w:numId w:val="4"/>
        </w:numPr>
        <w:shd w:val="clear" w:color="auto" w:fill="FFFFFF" w:themeFill="background1"/>
        <w:spacing w:after="180"/>
        <w:rPr>
          <w:rFonts w:cs="Arial"/>
          <w:lang w:val="en-AU"/>
        </w:rPr>
      </w:pPr>
      <w:r w:rsidRPr="00F64913">
        <w:rPr>
          <w:rFonts w:cs="Arial"/>
          <w:lang w:val="en-AU"/>
        </w:rPr>
        <w:t>Recognise the centrality of choice and control in SDA for eligible participants.</w:t>
      </w:r>
    </w:p>
    <w:p w:rsidR="007F5C9A" w:rsidRPr="00F64913" w:rsidRDefault="007F5C9A" w:rsidP="00752550">
      <w:pPr>
        <w:numPr>
          <w:ilvl w:val="1"/>
          <w:numId w:val="4"/>
        </w:numPr>
        <w:shd w:val="clear" w:color="auto" w:fill="FFFFFF" w:themeFill="background1"/>
        <w:spacing w:after="180"/>
        <w:rPr>
          <w:rFonts w:cs="Arial"/>
          <w:lang w:val="en-AU"/>
        </w:rPr>
      </w:pPr>
      <w:r w:rsidRPr="00F64913">
        <w:rPr>
          <w:rFonts w:cs="Arial"/>
          <w:lang w:val="en-AU"/>
        </w:rPr>
        <w:t>Provide greater certainty to investors that benchmark prices will be determined on the basis that prices will provide appropriate long-term risk weighted returns to investors over the life of the asset given their long term nature, the need to encourage supply, and the associated risks of investing in SDA.</w:t>
      </w:r>
    </w:p>
    <w:p w:rsidR="007F5C9A" w:rsidRPr="003F646E" w:rsidRDefault="007F5C9A" w:rsidP="00752550">
      <w:pPr>
        <w:numPr>
          <w:ilvl w:val="1"/>
          <w:numId w:val="4"/>
        </w:numPr>
        <w:shd w:val="clear" w:color="auto" w:fill="FFFFFF" w:themeFill="background1"/>
        <w:spacing w:after="180"/>
        <w:rPr>
          <w:rFonts w:cs="Arial"/>
          <w:lang w:val="en-AU"/>
        </w:rPr>
      </w:pPr>
      <w:r w:rsidRPr="003F646E">
        <w:rPr>
          <w:rFonts w:cs="Arial"/>
          <w:lang w:val="en-AU"/>
        </w:rPr>
        <w:t xml:space="preserve">Provide greater visibility of pricing assumptions, including a commitment for the </w:t>
      </w:r>
      <w:r w:rsidR="00EF3329" w:rsidRPr="003F646E">
        <w:rPr>
          <w:rFonts w:cs="Arial"/>
          <w:lang w:val="en-AU"/>
        </w:rPr>
        <w:t>NDIA</w:t>
      </w:r>
      <w:r w:rsidRPr="003F646E">
        <w:rPr>
          <w:rFonts w:cs="Arial"/>
          <w:lang w:val="en-AU"/>
        </w:rPr>
        <w:t xml:space="preserve"> to only review the specific underlying assumptions within the pricing methodology every 5 years in consultation with a panel of independent experts skilled in pricing. Each five yearly review will occur in the first half of the calendar year, with prices</w:t>
      </w:r>
      <w:r w:rsidRPr="00F64913">
        <w:rPr>
          <w:rFonts w:cs="Arial"/>
          <w:lang w:val="en-AU"/>
        </w:rPr>
        <w:t xml:space="preserve"> to take effect from 1 July of that </w:t>
      </w:r>
      <w:r w:rsidRPr="003F646E">
        <w:rPr>
          <w:rFonts w:cs="Arial"/>
          <w:lang w:val="en-AU"/>
        </w:rPr>
        <w:t>year.</w:t>
      </w:r>
    </w:p>
    <w:p w:rsidR="009A27E7" w:rsidRPr="003F646E" w:rsidRDefault="007F5C9A" w:rsidP="00752550">
      <w:pPr>
        <w:numPr>
          <w:ilvl w:val="1"/>
          <w:numId w:val="4"/>
        </w:numPr>
        <w:shd w:val="clear" w:color="auto" w:fill="FFFFFF" w:themeFill="background1"/>
        <w:spacing w:after="180"/>
        <w:rPr>
          <w:rFonts w:cs="Arial"/>
          <w:lang w:val="en-AU"/>
        </w:rPr>
      </w:pPr>
      <w:r w:rsidRPr="003F646E">
        <w:rPr>
          <w:rFonts w:cs="Arial"/>
          <w:lang w:val="en-AU"/>
        </w:rPr>
        <w:t>Clarify the NDIA may only trigger a special price review within the five year period to respond to systemic cost increases for providers that are due to factors beyond the control of individual providers, or amend pricing assumptions where intended outcomes are not being achieved. This may include responding to unintentional disincentives for investment in particular regions or design categories. Any such reviews will not lead to a downward movement in pr</w:t>
      </w:r>
      <w:r w:rsidR="009A27E7" w:rsidRPr="003F646E">
        <w:rPr>
          <w:rFonts w:cs="Arial"/>
          <w:lang w:val="en-AU"/>
        </w:rPr>
        <w:t>ices.</w:t>
      </w:r>
    </w:p>
    <w:p w:rsidR="009A27E7" w:rsidRPr="00F64913" w:rsidRDefault="007F5C9A" w:rsidP="00752550">
      <w:pPr>
        <w:numPr>
          <w:ilvl w:val="1"/>
          <w:numId w:val="4"/>
        </w:numPr>
        <w:shd w:val="clear" w:color="auto" w:fill="FFFFFF" w:themeFill="background1"/>
        <w:spacing w:after="180"/>
        <w:rPr>
          <w:rFonts w:cs="Arial"/>
          <w:lang w:val="en-AU"/>
        </w:rPr>
      </w:pPr>
      <w:r w:rsidRPr="00F64913">
        <w:rPr>
          <w:rFonts w:cs="Arial"/>
          <w:lang w:val="en-AU"/>
        </w:rPr>
        <w:t>Embed a requirement for the NDIA to provide quarterly updates on SDA data, including the number of participants with SDA, the number of SDA dwelling</w:t>
      </w:r>
      <w:r w:rsidR="009A27E7" w:rsidRPr="00F64913">
        <w:rPr>
          <w:rFonts w:cs="Arial"/>
          <w:lang w:val="en-AU"/>
        </w:rPr>
        <w:t>s and dwellings by location.</w:t>
      </w:r>
    </w:p>
    <w:p w:rsidR="009A27E7" w:rsidRPr="00F64913" w:rsidRDefault="007F5C9A" w:rsidP="00752550">
      <w:pPr>
        <w:numPr>
          <w:ilvl w:val="1"/>
          <w:numId w:val="4"/>
        </w:numPr>
        <w:shd w:val="clear" w:color="auto" w:fill="FFFFFF" w:themeFill="background1"/>
        <w:spacing w:after="180"/>
        <w:rPr>
          <w:rFonts w:cs="Arial"/>
          <w:lang w:val="en-AU"/>
        </w:rPr>
      </w:pPr>
      <w:r w:rsidRPr="00F64913">
        <w:rPr>
          <w:rFonts w:cs="Arial"/>
          <w:lang w:val="en-AU"/>
        </w:rPr>
        <w:t>Clarify the roles of the NDIA and NDIS Quality and Safeguards Commi</w:t>
      </w:r>
      <w:r w:rsidR="009A27E7" w:rsidRPr="00F64913">
        <w:rPr>
          <w:rFonts w:cs="Arial"/>
          <w:lang w:val="en-AU"/>
        </w:rPr>
        <w:t>ssion.</w:t>
      </w:r>
    </w:p>
    <w:p w:rsidR="006B500B" w:rsidRPr="00F64913" w:rsidRDefault="007F5C9A" w:rsidP="00752550">
      <w:pPr>
        <w:numPr>
          <w:ilvl w:val="1"/>
          <w:numId w:val="4"/>
        </w:numPr>
        <w:shd w:val="clear" w:color="auto" w:fill="FFFFFF" w:themeFill="background1"/>
        <w:spacing w:after="180"/>
        <w:rPr>
          <w:rFonts w:cs="Arial"/>
          <w:lang w:val="en-AU"/>
        </w:rPr>
      </w:pPr>
      <w:r w:rsidRPr="00F64913">
        <w:rPr>
          <w:rFonts w:cs="Arial"/>
          <w:lang w:val="en-AU"/>
        </w:rPr>
        <w:t>Embed the establishment of, and consultation with, an SDA Reference Group by the NDIA to provide practical input on implementation of this response and contribute to the development of the SDA market, choice and control for participants, and the long-term viability of SDA investments. This reference group will comprise participants, the</w:t>
      </w:r>
      <w:r w:rsidR="006B500B" w:rsidRPr="00F64913">
        <w:rPr>
          <w:rFonts w:cs="Arial"/>
          <w:lang w:val="en-AU"/>
        </w:rPr>
        <w:t xml:space="preserve">ir representatives, providers, </w:t>
      </w:r>
      <w:r w:rsidRPr="00F64913">
        <w:rPr>
          <w:rFonts w:cs="Arial"/>
          <w:lang w:val="en-AU"/>
        </w:rPr>
        <w:t>investors, and</w:t>
      </w:r>
      <w:r w:rsidR="006B500B" w:rsidRPr="00F64913">
        <w:rPr>
          <w:rFonts w:cs="Arial"/>
          <w:lang w:val="en-AU"/>
        </w:rPr>
        <w:t xml:space="preserve"> other relevant stakeholders. </w:t>
      </w:r>
    </w:p>
    <w:p w:rsidR="006B500B" w:rsidRPr="00F64913" w:rsidRDefault="00524E5F" w:rsidP="00752550">
      <w:pPr>
        <w:numPr>
          <w:ilvl w:val="0"/>
          <w:numId w:val="4"/>
        </w:numPr>
        <w:shd w:val="clear" w:color="auto" w:fill="FFFFFF" w:themeFill="background1"/>
        <w:spacing w:after="180"/>
        <w:rPr>
          <w:rFonts w:cs="Arial"/>
          <w:lang w:val="en-AU"/>
        </w:rPr>
      </w:pPr>
      <w:r w:rsidRPr="00F64913">
        <w:rPr>
          <w:rFonts w:cs="Arial"/>
          <w:lang w:val="en-AU"/>
        </w:rPr>
        <w:t>F</w:t>
      </w:r>
      <w:r w:rsidR="006B500B" w:rsidRPr="00F64913">
        <w:rPr>
          <w:rFonts w:cs="Arial"/>
          <w:lang w:val="en-AU"/>
        </w:rPr>
        <w:t xml:space="preserve">inalise </w:t>
      </w:r>
      <w:r w:rsidR="007F5C9A" w:rsidRPr="00F64913">
        <w:rPr>
          <w:rFonts w:cs="Arial"/>
          <w:lang w:val="en-AU"/>
        </w:rPr>
        <w:t>changes to</w:t>
      </w:r>
      <w:r w:rsidR="006B500B" w:rsidRPr="00F64913">
        <w:rPr>
          <w:rFonts w:cs="Arial"/>
          <w:lang w:val="en-AU"/>
        </w:rPr>
        <w:t xml:space="preserve"> the SDA Rules to:</w:t>
      </w:r>
    </w:p>
    <w:p w:rsidR="006B500B" w:rsidRPr="00F64913" w:rsidRDefault="006B500B" w:rsidP="00752550">
      <w:pPr>
        <w:numPr>
          <w:ilvl w:val="1"/>
          <w:numId w:val="4"/>
        </w:numPr>
        <w:shd w:val="clear" w:color="auto" w:fill="FFFFFF" w:themeFill="background1"/>
        <w:spacing w:after="180"/>
        <w:rPr>
          <w:rFonts w:cs="Arial"/>
          <w:lang w:val="en-AU"/>
        </w:rPr>
      </w:pPr>
      <w:r w:rsidRPr="00F64913">
        <w:rPr>
          <w:rFonts w:cs="Arial"/>
          <w:lang w:val="en-AU"/>
        </w:rPr>
        <w:t>Allow</w:t>
      </w:r>
      <w:r w:rsidR="007F5C9A" w:rsidRPr="00F64913">
        <w:rPr>
          <w:rFonts w:cs="Arial"/>
          <w:lang w:val="en-AU"/>
        </w:rPr>
        <w:t xml:space="preserve"> SDA funding to be provided in a plan even if a property is not, or will not be, very soon available</w:t>
      </w:r>
      <w:r w:rsidRPr="00F64913">
        <w:rPr>
          <w:rFonts w:cs="Arial"/>
          <w:lang w:val="en-AU"/>
        </w:rPr>
        <w:t xml:space="preserve">, to </w:t>
      </w:r>
      <w:r w:rsidR="007F5C9A" w:rsidRPr="00F64913">
        <w:rPr>
          <w:rFonts w:cs="Arial"/>
          <w:lang w:val="en-AU"/>
        </w:rPr>
        <w:t>allow eligible SDA participants to use their funding to go out into the market and seek a SDA dwelling that suits their needs. This reform will be implemented by a SDA participant being given a notional budget to find a SDA dwelling. If a dwelling is not available, a participant will receive funding for interim non-SDA supports until they activate their SDA fundin</w:t>
      </w:r>
      <w:r w:rsidRPr="00F64913">
        <w:rPr>
          <w:rFonts w:cs="Arial"/>
          <w:lang w:val="en-AU"/>
        </w:rPr>
        <w:t>g by moving into a dwelling.</w:t>
      </w:r>
    </w:p>
    <w:p w:rsidR="006B500B" w:rsidRPr="00F64913" w:rsidRDefault="006B500B" w:rsidP="00752550">
      <w:pPr>
        <w:numPr>
          <w:ilvl w:val="1"/>
          <w:numId w:val="4"/>
        </w:numPr>
        <w:shd w:val="clear" w:color="auto" w:fill="FFFFFF" w:themeFill="background1"/>
        <w:spacing w:after="180"/>
        <w:rPr>
          <w:rFonts w:cs="Arial"/>
          <w:lang w:val="en-AU"/>
        </w:rPr>
      </w:pPr>
      <w:r w:rsidRPr="00F64913">
        <w:rPr>
          <w:rFonts w:cs="Arial"/>
          <w:lang w:val="en-AU"/>
        </w:rPr>
        <w:t>Remove</w:t>
      </w:r>
      <w:r w:rsidR="007F5C9A" w:rsidRPr="00F64913">
        <w:rPr>
          <w:rFonts w:cs="Arial"/>
          <w:lang w:val="en-AU"/>
        </w:rPr>
        <w:t xml:space="preserve"> the requirement for participants to exhaust all other options before they can access SDA funding</w:t>
      </w:r>
      <w:r w:rsidRPr="00F64913">
        <w:rPr>
          <w:rFonts w:cs="Arial"/>
          <w:lang w:val="en-AU"/>
        </w:rPr>
        <w:t>, to</w:t>
      </w:r>
      <w:r w:rsidR="007F5C9A" w:rsidRPr="00F64913">
        <w:rPr>
          <w:rFonts w:cs="Arial"/>
          <w:lang w:val="en-AU"/>
        </w:rPr>
        <w:t xml:space="preserve"> ensure that participants can get ac</w:t>
      </w:r>
      <w:r w:rsidRPr="00F64913">
        <w:rPr>
          <w:rFonts w:cs="Arial"/>
          <w:lang w:val="en-AU"/>
        </w:rPr>
        <w:t>cess to SDA funding sooner.</w:t>
      </w:r>
    </w:p>
    <w:p w:rsidR="00524E5F" w:rsidRPr="003F646E" w:rsidRDefault="006B500B" w:rsidP="00752550">
      <w:pPr>
        <w:numPr>
          <w:ilvl w:val="0"/>
          <w:numId w:val="4"/>
        </w:numPr>
        <w:shd w:val="clear" w:color="auto" w:fill="FFFFFF" w:themeFill="background1"/>
        <w:spacing w:after="180"/>
        <w:rPr>
          <w:rFonts w:cs="Arial"/>
          <w:lang w:val="en-AU"/>
        </w:rPr>
      </w:pPr>
      <w:r w:rsidRPr="003F646E">
        <w:rPr>
          <w:rFonts w:cs="Arial"/>
          <w:lang w:val="en-AU"/>
        </w:rPr>
        <w:t>Direct</w:t>
      </w:r>
      <w:r w:rsidR="007F5C9A" w:rsidRPr="003F646E">
        <w:rPr>
          <w:rFonts w:cs="Arial"/>
          <w:lang w:val="en-AU"/>
        </w:rPr>
        <w:t xml:space="preserve"> the NDIA to undertake an immediate review of pricing assumptions consistent with Section 25 of the revised SDA Pricing and Payments Framework to resolve issues that providers consider may be creating unintentional disincentives for investment in particular regions or design categories, including location factors and build cost differentials for specific design categories. Con</w:t>
      </w:r>
      <w:r w:rsidR="00524E5F" w:rsidRPr="003F646E">
        <w:rPr>
          <w:rFonts w:cs="Arial"/>
          <w:lang w:val="en-AU"/>
        </w:rPr>
        <w:t>sistent with the framework, the</w:t>
      </w:r>
      <w:r w:rsidR="007F5C9A" w:rsidRPr="003F646E">
        <w:rPr>
          <w:rFonts w:cs="Arial"/>
          <w:lang w:val="en-AU"/>
        </w:rPr>
        <w:t xml:space="preserve"> review </w:t>
      </w:r>
      <w:r w:rsidR="00524E5F" w:rsidRPr="003F646E">
        <w:rPr>
          <w:rFonts w:cs="Arial"/>
          <w:lang w:val="en-AU"/>
        </w:rPr>
        <w:t>was</w:t>
      </w:r>
      <w:r w:rsidR="007F5C9A" w:rsidRPr="003F646E">
        <w:rPr>
          <w:rFonts w:cs="Arial"/>
          <w:lang w:val="en-AU"/>
        </w:rPr>
        <w:t xml:space="preserve"> not </w:t>
      </w:r>
      <w:r w:rsidR="00524E5F" w:rsidRPr="003F646E">
        <w:rPr>
          <w:rFonts w:cs="Arial"/>
          <w:lang w:val="en-AU"/>
        </w:rPr>
        <w:t xml:space="preserve">to </w:t>
      </w:r>
      <w:r w:rsidR="007F5C9A" w:rsidRPr="003F646E">
        <w:rPr>
          <w:rFonts w:cs="Arial"/>
          <w:lang w:val="en-AU"/>
        </w:rPr>
        <w:t>result in any re</w:t>
      </w:r>
      <w:r w:rsidR="00524E5F" w:rsidRPr="003F646E">
        <w:rPr>
          <w:rFonts w:cs="Arial"/>
          <w:lang w:val="en-AU"/>
        </w:rPr>
        <w:t>ductions to current prices. The</w:t>
      </w:r>
      <w:r w:rsidR="007F5C9A" w:rsidRPr="003F646E">
        <w:rPr>
          <w:rFonts w:cs="Arial"/>
          <w:lang w:val="en-AU"/>
        </w:rPr>
        <w:t xml:space="preserve"> review </w:t>
      </w:r>
      <w:r w:rsidR="00524E5F" w:rsidRPr="003F646E">
        <w:rPr>
          <w:rFonts w:cs="Arial"/>
          <w:lang w:val="en-AU"/>
        </w:rPr>
        <w:t>was</w:t>
      </w:r>
      <w:r w:rsidR="007F5C9A" w:rsidRPr="003F646E">
        <w:rPr>
          <w:rFonts w:cs="Arial"/>
          <w:lang w:val="en-AU"/>
        </w:rPr>
        <w:t xml:space="preserve"> be undertaken with the assistance of independent experts. The SDA Reference Group </w:t>
      </w:r>
      <w:r w:rsidR="00524E5F" w:rsidRPr="003F646E">
        <w:rPr>
          <w:rFonts w:cs="Arial"/>
          <w:lang w:val="en-AU"/>
        </w:rPr>
        <w:t>was to</w:t>
      </w:r>
      <w:r w:rsidR="007F5C9A" w:rsidRPr="003F646E">
        <w:rPr>
          <w:rFonts w:cs="Arial"/>
          <w:lang w:val="en-AU"/>
        </w:rPr>
        <w:t xml:space="preserve"> be consulted on establishing selection criteria for the independent experts. Any changes t</w:t>
      </w:r>
      <w:r w:rsidR="00524E5F" w:rsidRPr="003F646E">
        <w:rPr>
          <w:rFonts w:cs="Arial"/>
          <w:lang w:val="en-AU"/>
        </w:rPr>
        <w:t>o price were to take effect from 1 July 2019.</w:t>
      </w:r>
    </w:p>
    <w:p w:rsidR="00524E5F" w:rsidRDefault="00524E5F" w:rsidP="00752550">
      <w:pPr>
        <w:numPr>
          <w:ilvl w:val="0"/>
          <w:numId w:val="4"/>
        </w:numPr>
        <w:shd w:val="clear" w:color="auto" w:fill="FFFFFF" w:themeFill="background1"/>
        <w:spacing w:after="180"/>
        <w:rPr>
          <w:rFonts w:cs="Arial"/>
          <w:lang w:val="en-AU"/>
        </w:rPr>
      </w:pPr>
      <w:r w:rsidRPr="00F64913">
        <w:rPr>
          <w:rFonts w:cs="Arial"/>
          <w:lang w:val="en-AU"/>
        </w:rPr>
        <w:t>Delay</w:t>
      </w:r>
      <w:r w:rsidR="007F5C9A" w:rsidRPr="00F64913">
        <w:rPr>
          <w:rFonts w:cs="Arial"/>
          <w:lang w:val="en-AU"/>
        </w:rPr>
        <w:t xml:space="preserve"> the next price review outlined in Clause 24 of the revised SDA Pricing and Payments Framework until 2023 to give investors greater certainty over prices wh</w:t>
      </w:r>
      <w:r w:rsidRPr="00F64913">
        <w:rPr>
          <w:rFonts w:cs="Arial"/>
          <w:lang w:val="en-AU"/>
        </w:rPr>
        <w:t>ile the market is developing.</w:t>
      </w:r>
    </w:p>
    <w:p w:rsidR="00524E5F" w:rsidRPr="00F64913" w:rsidRDefault="00524E5F" w:rsidP="00F64913">
      <w:pPr>
        <w:pStyle w:val="Heading2"/>
      </w:pPr>
      <w:bookmarkStart w:id="8" w:name="_Toc17976615"/>
      <w:bookmarkStart w:id="9" w:name="_Toc17976649"/>
      <w:bookmarkStart w:id="10" w:name="_Toc17976665"/>
      <w:bookmarkStart w:id="11" w:name="_Toc23156372"/>
      <w:bookmarkEnd w:id="8"/>
      <w:bookmarkEnd w:id="9"/>
      <w:bookmarkEnd w:id="10"/>
      <w:r w:rsidRPr="00F64913">
        <w:t xml:space="preserve">SDA </w:t>
      </w:r>
      <w:r w:rsidR="000A58A3">
        <w:t>Limited Cost Assumptions</w:t>
      </w:r>
      <w:r w:rsidRPr="00F64913">
        <w:t xml:space="preserve"> Review</w:t>
      </w:r>
      <w:bookmarkEnd w:id="11"/>
    </w:p>
    <w:p w:rsidR="00466CD9" w:rsidRPr="00F64913" w:rsidRDefault="00A272C5" w:rsidP="002241F5">
      <w:pPr>
        <w:shd w:val="clear" w:color="auto" w:fill="FFFFFF" w:themeFill="background1"/>
        <w:spacing w:after="180"/>
        <w:rPr>
          <w:rFonts w:cs="Arial"/>
          <w:lang w:val="en-AU"/>
        </w:rPr>
      </w:pPr>
      <w:r w:rsidRPr="00F64913">
        <w:rPr>
          <w:rFonts w:cs="Arial"/>
          <w:lang w:val="en-AU"/>
        </w:rPr>
        <w:t>In response to the DRC’s direction, the</w:t>
      </w:r>
      <w:r w:rsidR="0071566D" w:rsidRPr="00F64913">
        <w:rPr>
          <w:rFonts w:cs="Arial"/>
          <w:lang w:val="en-AU"/>
        </w:rPr>
        <w:t xml:space="preserve"> Board of the NDIA </w:t>
      </w:r>
      <w:r w:rsidRPr="00F64913">
        <w:rPr>
          <w:rFonts w:cs="Arial"/>
          <w:lang w:val="en-AU"/>
        </w:rPr>
        <w:t>tasked the NDIA with undertaking</w:t>
      </w:r>
      <w:r w:rsidR="0071566D" w:rsidRPr="00F64913">
        <w:rPr>
          <w:rFonts w:cs="Arial"/>
          <w:lang w:val="en-AU"/>
        </w:rPr>
        <w:t xml:space="preserve"> t</w:t>
      </w:r>
      <w:r w:rsidR="002C7F8A" w:rsidRPr="00F64913">
        <w:rPr>
          <w:rFonts w:cs="Arial"/>
          <w:lang w:val="en-AU"/>
        </w:rPr>
        <w:t xml:space="preserve">he </w:t>
      </w:r>
      <w:r w:rsidR="0071566D" w:rsidRPr="00F64913">
        <w:rPr>
          <w:rFonts w:cs="Arial"/>
          <w:lang w:val="en-AU"/>
        </w:rPr>
        <w:t>R</w:t>
      </w:r>
      <w:r w:rsidR="002C7F8A" w:rsidRPr="00F64913">
        <w:rPr>
          <w:rFonts w:cs="Arial"/>
          <w:lang w:val="en-AU"/>
        </w:rPr>
        <w:t>eview</w:t>
      </w:r>
      <w:r w:rsidR="003C1A9D">
        <w:rPr>
          <w:rFonts w:cs="Arial"/>
          <w:lang w:val="en-AU"/>
        </w:rPr>
        <w:t xml:space="preserve"> to examine </w:t>
      </w:r>
      <w:r w:rsidR="00862808">
        <w:rPr>
          <w:rFonts w:cs="Arial"/>
          <w:lang w:val="en-AU"/>
        </w:rPr>
        <w:t>issues</w:t>
      </w:r>
      <w:r w:rsidR="003C1A9D">
        <w:rPr>
          <w:rFonts w:cs="Arial"/>
          <w:lang w:val="en-AU"/>
        </w:rPr>
        <w:t xml:space="preserve"> about some location factors and cost assumptions </w:t>
      </w:r>
      <w:r w:rsidR="00A11ACA">
        <w:rPr>
          <w:rFonts w:cs="Arial"/>
          <w:lang w:val="en-AU"/>
        </w:rPr>
        <w:t>that providers considered were creating unintentional disincentives for investment in particular locations or design categories</w:t>
      </w:r>
      <w:r w:rsidR="002C7F8A" w:rsidRPr="00F64913">
        <w:rPr>
          <w:rFonts w:cs="Arial"/>
          <w:lang w:val="en-AU"/>
        </w:rPr>
        <w:t>. T</w:t>
      </w:r>
      <w:r w:rsidR="0071566D" w:rsidRPr="00F64913">
        <w:rPr>
          <w:rFonts w:cs="Arial"/>
          <w:lang w:val="en-AU"/>
        </w:rPr>
        <w:t>he Terms of Reference for the Review</w:t>
      </w:r>
      <w:r w:rsidR="009C2220" w:rsidRPr="00F64913">
        <w:rPr>
          <w:rFonts w:cs="Arial"/>
          <w:lang w:val="en-AU"/>
        </w:rPr>
        <w:t xml:space="preserve"> were released </w:t>
      </w:r>
      <w:r w:rsidR="00F64913" w:rsidRPr="00F64913">
        <w:rPr>
          <w:rFonts w:cs="Arial"/>
          <w:lang w:val="en-AU"/>
        </w:rPr>
        <w:t>in</w:t>
      </w:r>
      <w:r w:rsidR="009C2220" w:rsidRPr="00F64913">
        <w:rPr>
          <w:rFonts w:cs="Arial"/>
          <w:lang w:val="en-AU"/>
        </w:rPr>
        <w:t xml:space="preserve"> April 2019.</w:t>
      </w:r>
      <w:r w:rsidR="002241F5" w:rsidRPr="00F64913">
        <w:rPr>
          <w:rFonts w:cs="Arial"/>
          <w:lang w:val="en-AU"/>
        </w:rPr>
        <w:t xml:space="preserve"> They </w:t>
      </w:r>
      <w:r w:rsidR="0071566D" w:rsidRPr="00F64913">
        <w:rPr>
          <w:rFonts w:cs="Arial"/>
          <w:lang w:val="en-AU"/>
        </w:rPr>
        <w:t>were developed</w:t>
      </w:r>
      <w:r w:rsidR="00F64913">
        <w:rPr>
          <w:rFonts w:cs="Arial"/>
          <w:lang w:val="en-AU"/>
        </w:rPr>
        <w:t xml:space="preserve"> in consultation with the </w:t>
      </w:r>
      <w:r w:rsidR="0071566D" w:rsidRPr="00F64913">
        <w:rPr>
          <w:rFonts w:cs="Arial"/>
          <w:lang w:val="en-AU"/>
        </w:rPr>
        <w:t>SDA Reference Group</w:t>
      </w:r>
      <w:r w:rsidR="00F64913">
        <w:rPr>
          <w:rFonts w:cs="Arial"/>
          <w:lang w:val="en-AU"/>
        </w:rPr>
        <w:t xml:space="preserve">, </w:t>
      </w:r>
      <w:r w:rsidR="00F64913">
        <w:rPr>
          <w:lang w:val="en-AU"/>
        </w:rPr>
        <w:t>which includes</w:t>
      </w:r>
      <w:r w:rsidR="00F64913" w:rsidRPr="00F64913">
        <w:rPr>
          <w:lang w:val="en-AU"/>
        </w:rPr>
        <w:t xml:space="preserve"> participants, SDA providers, investors and financiers, developers, research and policy organisations and key Department of Social Services, NDIS Quality and Safeguards Commission and NDIA staff.</w:t>
      </w:r>
      <w:r w:rsidR="009C2220" w:rsidRPr="00F64913">
        <w:rPr>
          <w:rFonts w:cs="Arial"/>
          <w:lang w:val="en-AU"/>
        </w:rPr>
        <w:t xml:space="preserve"> </w:t>
      </w:r>
      <w:r w:rsidR="00F64913">
        <w:rPr>
          <w:rFonts w:cs="Arial"/>
          <w:lang w:val="en-AU"/>
        </w:rPr>
        <w:t>The Reference Group</w:t>
      </w:r>
      <w:r w:rsidR="009C2220" w:rsidRPr="00F64913">
        <w:rPr>
          <w:rFonts w:cs="Arial"/>
          <w:lang w:val="en-AU"/>
        </w:rPr>
        <w:t xml:space="preserve"> wa</w:t>
      </w:r>
      <w:r w:rsidR="00B768B1" w:rsidRPr="00F64913">
        <w:rPr>
          <w:rFonts w:cs="Arial"/>
          <w:lang w:val="en-AU"/>
        </w:rPr>
        <w:t xml:space="preserve">s also consulted on </w:t>
      </w:r>
      <w:r w:rsidR="009C2220" w:rsidRPr="00F64913">
        <w:rPr>
          <w:rFonts w:cs="Arial"/>
          <w:lang w:val="en-AU"/>
        </w:rPr>
        <w:t xml:space="preserve">the </w:t>
      </w:r>
      <w:r w:rsidR="00B768B1" w:rsidRPr="00F64913">
        <w:rPr>
          <w:rFonts w:cs="Arial"/>
          <w:lang w:val="en-AU"/>
        </w:rPr>
        <w:t xml:space="preserve">selection criteria for the independent experts who were to assist the NDIA to undertake </w:t>
      </w:r>
      <w:r w:rsidR="00C05D9E">
        <w:rPr>
          <w:rFonts w:cs="Arial"/>
          <w:lang w:val="en-AU"/>
        </w:rPr>
        <w:t>the Review</w:t>
      </w:r>
      <w:r w:rsidR="00C05D9E">
        <w:t xml:space="preserve"> (</w:t>
      </w:r>
      <w:hyperlink r:id="rId22" w:history="1">
        <w:r w:rsidR="00C05D9E" w:rsidRPr="00C05D9E">
          <w:rPr>
            <w:rStyle w:val="Hyperlink"/>
          </w:rPr>
          <w:t>SDA Reference Group</w:t>
        </w:r>
      </w:hyperlink>
      <w:r w:rsidR="00C05D9E">
        <w:t xml:space="preserve">. (2019). </w:t>
      </w:r>
      <w:r w:rsidR="00C05D9E" w:rsidRPr="00A272C5">
        <w:rPr>
          <w:i/>
        </w:rPr>
        <w:t>Communique for March 2019</w:t>
      </w:r>
      <w:r w:rsidR="00C05D9E">
        <w:rPr>
          <w:i/>
        </w:rPr>
        <w:t>)</w:t>
      </w:r>
      <w:r w:rsidR="00C05D9E">
        <w:t>.</w:t>
      </w:r>
    </w:p>
    <w:p w:rsidR="0071566D" w:rsidRPr="00F64913" w:rsidRDefault="0071566D" w:rsidP="00BF27E8">
      <w:pPr>
        <w:pStyle w:val="Heading3"/>
        <w:rPr>
          <w:lang w:val="en-AU"/>
        </w:rPr>
      </w:pPr>
      <w:bookmarkStart w:id="12" w:name="_Ref16178275"/>
      <w:r w:rsidRPr="00F64913">
        <w:rPr>
          <w:lang w:val="en-AU"/>
        </w:rPr>
        <w:t>Terms of Reference</w:t>
      </w:r>
      <w:bookmarkEnd w:id="12"/>
    </w:p>
    <w:p w:rsidR="00A950AF" w:rsidRDefault="00A950AF" w:rsidP="00A950AF">
      <w:pPr>
        <w:shd w:val="clear" w:color="auto" w:fill="FFFFFF" w:themeFill="background1"/>
        <w:spacing w:after="180"/>
        <w:rPr>
          <w:rFonts w:ascii="Arial" w:hAnsi="Arial" w:cs="Arial"/>
          <w:lang w:val="en-AU"/>
        </w:rPr>
      </w:pPr>
      <w:r>
        <w:rPr>
          <w:rFonts w:ascii="Arial" w:hAnsi="Arial" w:cs="Arial"/>
          <w:lang w:val="en-AU"/>
        </w:rPr>
        <w:t xml:space="preserve">The Review’s </w:t>
      </w:r>
      <w:hyperlink r:id="rId23" w:anchor="sda-limited-cost-assumptions-review" w:history="1">
        <w:r w:rsidR="00362753" w:rsidRPr="00362753">
          <w:rPr>
            <w:rStyle w:val="Hyperlink"/>
            <w:rFonts w:ascii="Arial" w:hAnsi="Arial" w:cs="Arial"/>
            <w:lang w:val="en-AU"/>
          </w:rPr>
          <w:t>Terms of Reference</w:t>
        </w:r>
      </w:hyperlink>
      <w:r w:rsidR="00362753">
        <w:rPr>
          <w:rFonts w:ascii="Arial" w:hAnsi="Arial" w:cs="Arial"/>
          <w:lang w:val="en-AU"/>
        </w:rPr>
        <w:t xml:space="preserve"> </w:t>
      </w:r>
      <w:r>
        <w:rPr>
          <w:rFonts w:ascii="Arial" w:hAnsi="Arial" w:cs="Arial"/>
          <w:lang w:val="en-AU"/>
        </w:rPr>
        <w:t>were as follows:</w:t>
      </w:r>
    </w:p>
    <w:p w:rsidR="0071566D" w:rsidRPr="003F646E" w:rsidRDefault="0071566D" w:rsidP="00752550">
      <w:pPr>
        <w:numPr>
          <w:ilvl w:val="0"/>
          <w:numId w:val="5"/>
        </w:numPr>
        <w:shd w:val="clear" w:color="auto" w:fill="FFFFFF" w:themeFill="background1"/>
        <w:spacing w:after="180"/>
        <w:rPr>
          <w:rFonts w:ascii="Arial" w:hAnsi="Arial" w:cs="Arial"/>
          <w:lang w:val="en-AU"/>
        </w:rPr>
      </w:pPr>
      <w:r w:rsidRPr="00F64913">
        <w:rPr>
          <w:rFonts w:ascii="Arial" w:hAnsi="Arial" w:cs="Arial"/>
          <w:lang w:val="en-AU"/>
        </w:rPr>
        <w:t xml:space="preserve">The </w:t>
      </w:r>
      <w:r w:rsidR="00F64913">
        <w:rPr>
          <w:rFonts w:cs="Arial"/>
          <w:lang w:val="en-AU"/>
        </w:rPr>
        <w:t>R</w:t>
      </w:r>
      <w:r w:rsidRPr="00F64913">
        <w:rPr>
          <w:rFonts w:cs="Arial"/>
          <w:lang w:val="en-AU"/>
        </w:rPr>
        <w:t>eview</w:t>
      </w:r>
      <w:r w:rsidRPr="00F64913">
        <w:rPr>
          <w:rFonts w:ascii="Arial" w:hAnsi="Arial" w:cs="Arial"/>
          <w:lang w:val="en-AU"/>
        </w:rPr>
        <w:t xml:space="preserve"> will examine, through submission, targeted consultation, research and analysis, whether the existing cost assumptions underpinning SDA prices will support investment across the range of SDA types and locations</w:t>
      </w:r>
      <w:r w:rsidRPr="003F646E">
        <w:rPr>
          <w:rFonts w:ascii="Arial" w:hAnsi="Arial" w:cs="Arial"/>
          <w:lang w:val="en-AU"/>
        </w:rPr>
        <w:t xml:space="preserve">. The review will be open to consider all cost assumptions and factors, however the review will seek to focus in particular on SDA location factors and construction cost assumptions for the various building types and design categories. </w:t>
      </w:r>
    </w:p>
    <w:p w:rsidR="0071566D" w:rsidRPr="00F64913" w:rsidRDefault="00F64913" w:rsidP="00752550">
      <w:pPr>
        <w:numPr>
          <w:ilvl w:val="0"/>
          <w:numId w:val="5"/>
        </w:numPr>
        <w:shd w:val="clear" w:color="auto" w:fill="FFFFFF" w:themeFill="background1"/>
        <w:spacing w:after="180"/>
        <w:rPr>
          <w:rFonts w:ascii="Arial" w:hAnsi="Arial" w:cs="Arial"/>
          <w:lang w:val="en-AU"/>
        </w:rPr>
      </w:pPr>
      <w:r w:rsidRPr="003F646E">
        <w:rPr>
          <w:rFonts w:ascii="Arial" w:hAnsi="Arial" w:cs="Arial"/>
          <w:lang w:val="en-AU"/>
        </w:rPr>
        <w:t>The R</w:t>
      </w:r>
      <w:r w:rsidR="0071566D" w:rsidRPr="003F646E">
        <w:rPr>
          <w:rFonts w:ascii="Arial" w:hAnsi="Arial" w:cs="Arial"/>
          <w:lang w:val="en-AU"/>
        </w:rPr>
        <w:t>eview will focus on factors and assumptions identified through submission</w:t>
      </w:r>
      <w:r w:rsidR="0071566D" w:rsidRPr="00F64913">
        <w:rPr>
          <w:rFonts w:ascii="Arial" w:hAnsi="Arial" w:cs="Arial"/>
          <w:lang w:val="en-AU"/>
        </w:rPr>
        <w:t xml:space="preserve"> and provide analysis and evidence to the NDIS Pricing Reference Group to support a decision on whether changes are required.</w:t>
      </w:r>
    </w:p>
    <w:p w:rsidR="0071566D" w:rsidRPr="00F64913" w:rsidRDefault="00F64913" w:rsidP="00752550">
      <w:pPr>
        <w:numPr>
          <w:ilvl w:val="0"/>
          <w:numId w:val="5"/>
        </w:numPr>
        <w:shd w:val="clear" w:color="auto" w:fill="FFFFFF" w:themeFill="background1"/>
        <w:spacing w:after="180"/>
        <w:rPr>
          <w:rFonts w:ascii="Arial" w:hAnsi="Arial" w:cs="Arial"/>
          <w:lang w:val="en-AU"/>
        </w:rPr>
      </w:pPr>
      <w:r>
        <w:rPr>
          <w:rFonts w:ascii="Arial" w:hAnsi="Arial" w:cs="Arial"/>
          <w:lang w:val="en-AU"/>
        </w:rPr>
        <w:t>The R</w:t>
      </w:r>
      <w:r w:rsidR="0071566D" w:rsidRPr="00F64913">
        <w:rPr>
          <w:rFonts w:ascii="Arial" w:hAnsi="Arial" w:cs="Arial"/>
          <w:lang w:val="en-AU"/>
        </w:rPr>
        <w:t>eview will also provide analysis to support further consideration by the NDIA regarding whether adjustments to SDA pricing arrangements could reduce provider disincentives to accommodating participants who wish to live with non-participants, or participants who are not eligible for SDA. In doing so, it must be noted that SDA funds are only for eligible participants and cannot be used to contribute to the housing costs of others.</w:t>
      </w:r>
    </w:p>
    <w:p w:rsidR="0071566D" w:rsidRPr="00F64913" w:rsidRDefault="00F64913" w:rsidP="00752550">
      <w:pPr>
        <w:numPr>
          <w:ilvl w:val="0"/>
          <w:numId w:val="5"/>
        </w:numPr>
        <w:shd w:val="clear" w:color="auto" w:fill="FFFFFF" w:themeFill="background1"/>
        <w:spacing w:after="180"/>
        <w:rPr>
          <w:rFonts w:ascii="Arial" w:hAnsi="Arial" w:cs="Arial"/>
          <w:lang w:val="en-AU"/>
        </w:rPr>
      </w:pPr>
      <w:r>
        <w:rPr>
          <w:rFonts w:ascii="Arial" w:hAnsi="Arial" w:cs="Arial"/>
          <w:lang w:val="en-AU"/>
        </w:rPr>
        <w:t>The R</w:t>
      </w:r>
      <w:r w:rsidR="0071566D" w:rsidRPr="00F64913">
        <w:rPr>
          <w:rFonts w:ascii="Arial" w:hAnsi="Arial" w:cs="Arial"/>
          <w:lang w:val="en-AU"/>
        </w:rPr>
        <w:t xml:space="preserve">eview will be cognisant of the objectives and principles of the NDIS, as set out in the </w:t>
      </w:r>
      <w:r w:rsidR="0071566D" w:rsidRPr="00F64913">
        <w:rPr>
          <w:rFonts w:ascii="Arial" w:hAnsi="Arial" w:cs="Arial"/>
          <w:i/>
          <w:lang w:val="en-AU"/>
        </w:rPr>
        <w:t>National Disability Insurance Scheme Act 2013</w:t>
      </w:r>
      <w:r w:rsidR="0071566D" w:rsidRPr="00F64913">
        <w:rPr>
          <w:rFonts w:ascii="Arial" w:hAnsi="Arial" w:cs="Arial"/>
          <w:lang w:val="en-AU"/>
        </w:rPr>
        <w:t>, including that the NDIS should:</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 xml:space="preserve">support the independence and social and economic participation of people with disability; </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enable people with disability to exercise choice and control in the pursuit of their goals and the planning and delivery of their supports;</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facilitate the development of a nationally consistent approach to the access to, and the planning and funding of, supports for people with disability;</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 xml:space="preserve">promote the provision of high quality and innovative supports that enable people with disability to maximise independent lifestyles and full inclusion in the community; </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adopt an insurance based approach, informed by actuarial analysis, to the provision and funding of supports for people with disability; and</w:t>
      </w:r>
    </w:p>
    <w:p w:rsidR="0071566D" w:rsidRPr="00F64913" w:rsidRDefault="0071566D" w:rsidP="00752550">
      <w:pPr>
        <w:numPr>
          <w:ilvl w:val="1"/>
          <w:numId w:val="5"/>
        </w:numPr>
        <w:shd w:val="clear" w:color="auto" w:fill="FFFFFF" w:themeFill="background1"/>
        <w:spacing w:after="180"/>
        <w:rPr>
          <w:rFonts w:ascii="Arial" w:hAnsi="Arial" w:cs="Arial"/>
          <w:lang w:val="en-AU"/>
        </w:rPr>
      </w:pPr>
      <w:r w:rsidRPr="00F64913">
        <w:rPr>
          <w:rFonts w:ascii="Arial" w:hAnsi="Arial" w:cs="Arial"/>
          <w:lang w:val="en-AU"/>
        </w:rPr>
        <w:t>be financially sustainable.</w:t>
      </w:r>
    </w:p>
    <w:p w:rsidR="0018617C" w:rsidRDefault="00B768B1" w:rsidP="002241F5">
      <w:pPr>
        <w:shd w:val="clear" w:color="auto" w:fill="FFFFFF" w:themeFill="background1"/>
        <w:spacing w:after="180"/>
        <w:rPr>
          <w:rFonts w:ascii="Arial" w:hAnsi="Arial" w:cs="Arial"/>
          <w:lang w:val="en-AU"/>
        </w:rPr>
      </w:pPr>
      <w:r w:rsidRPr="00F64913">
        <w:rPr>
          <w:rFonts w:ascii="Arial" w:hAnsi="Arial" w:cs="Arial"/>
          <w:lang w:val="en-AU"/>
        </w:rPr>
        <w:t xml:space="preserve">Consistent with the SDA Pricing and Payments Framework, the </w:t>
      </w:r>
      <w:r w:rsidR="00F64913">
        <w:rPr>
          <w:rFonts w:ascii="Arial" w:hAnsi="Arial" w:cs="Arial"/>
          <w:lang w:val="en-AU"/>
        </w:rPr>
        <w:t>Review</w:t>
      </w:r>
      <w:r w:rsidRPr="00F64913">
        <w:rPr>
          <w:rFonts w:ascii="Arial" w:hAnsi="Arial" w:cs="Arial"/>
          <w:lang w:val="en-AU"/>
        </w:rPr>
        <w:t xml:space="preserve"> was not to result in any reductions to current price</w:t>
      </w:r>
      <w:r w:rsidR="00BD7D2C">
        <w:rPr>
          <w:rFonts w:ascii="Arial" w:hAnsi="Arial" w:cs="Arial"/>
          <w:lang w:val="en-AU"/>
        </w:rPr>
        <w:t xml:space="preserve"> cap</w:t>
      </w:r>
      <w:r w:rsidRPr="00F64913">
        <w:rPr>
          <w:rFonts w:ascii="Arial" w:hAnsi="Arial" w:cs="Arial"/>
          <w:lang w:val="en-AU"/>
        </w:rPr>
        <w:t>s. Any changes to price</w:t>
      </w:r>
      <w:r w:rsidR="00BD7D2C">
        <w:rPr>
          <w:rFonts w:ascii="Arial" w:hAnsi="Arial" w:cs="Arial"/>
          <w:lang w:val="en-AU"/>
        </w:rPr>
        <w:t xml:space="preserve"> caps</w:t>
      </w:r>
      <w:r w:rsidRPr="00F64913">
        <w:rPr>
          <w:rFonts w:ascii="Arial" w:hAnsi="Arial" w:cs="Arial"/>
          <w:lang w:val="en-AU"/>
        </w:rPr>
        <w:t xml:space="preserve"> were to take effect from 1 July 2019.</w:t>
      </w:r>
    </w:p>
    <w:p w:rsidR="00FD4484" w:rsidRDefault="00FD4484" w:rsidP="00FD4484">
      <w:pPr>
        <w:pStyle w:val="Heading2"/>
      </w:pPr>
      <w:bookmarkStart w:id="13" w:name="_Toc23156373"/>
      <w:r>
        <w:t>Process of the Review</w:t>
      </w:r>
      <w:bookmarkEnd w:id="13"/>
    </w:p>
    <w:p w:rsidR="00FD4484" w:rsidRDefault="00FD4484" w:rsidP="00FD4484">
      <w:pPr>
        <w:spacing w:after="180"/>
        <w:rPr>
          <w:rFonts w:cs="Arial"/>
          <w:lang w:val="en-AU"/>
        </w:rPr>
      </w:pPr>
      <w:r w:rsidRPr="00F64913">
        <w:rPr>
          <w:rFonts w:ascii="Arial" w:hAnsi="Arial" w:cs="Arial"/>
          <w:lang w:val="en-AU"/>
        </w:rPr>
        <w:t xml:space="preserve">The </w:t>
      </w:r>
      <w:r>
        <w:rPr>
          <w:rFonts w:cs="Arial"/>
          <w:lang w:val="en-AU"/>
        </w:rPr>
        <w:t>Review</w:t>
      </w:r>
      <w:r w:rsidRPr="00F64913">
        <w:rPr>
          <w:rFonts w:cs="Arial"/>
          <w:lang w:val="en-AU"/>
        </w:rPr>
        <w:t xml:space="preserve"> </w:t>
      </w:r>
      <w:r w:rsidRPr="00F64913">
        <w:rPr>
          <w:rFonts w:ascii="Arial" w:hAnsi="Arial" w:cs="Arial"/>
          <w:lang w:val="en-AU"/>
        </w:rPr>
        <w:t xml:space="preserve">commenced in April 2019 </w:t>
      </w:r>
      <w:r w:rsidR="007C422F">
        <w:rPr>
          <w:rFonts w:ascii="Arial" w:hAnsi="Arial" w:cs="Arial"/>
          <w:lang w:val="en-AU"/>
        </w:rPr>
        <w:t xml:space="preserve">with the release of its Terms of Reference and a </w:t>
      </w:r>
      <w:r w:rsidR="00A11ACA">
        <w:rPr>
          <w:rFonts w:ascii="Arial" w:hAnsi="Arial" w:cs="Arial"/>
          <w:lang w:val="en-AU"/>
        </w:rPr>
        <w:t xml:space="preserve">public </w:t>
      </w:r>
      <w:r w:rsidR="007C422F">
        <w:rPr>
          <w:rFonts w:ascii="Arial" w:hAnsi="Arial" w:cs="Arial"/>
          <w:lang w:val="en-AU"/>
        </w:rPr>
        <w:t>call for submissions.</w:t>
      </w:r>
      <w:r w:rsidR="00E614BA">
        <w:rPr>
          <w:rFonts w:ascii="Arial" w:hAnsi="Arial" w:cs="Arial"/>
          <w:lang w:val="en-AU"/>
        </w:rPr>
        <w:t xml:space="preserve"> </w:t>
      </w:r>
      <w:r w:rsidR="0003588E">
        <w:rPr>
          <w:rFonts w:ascii="Arial" w:hAnsi="Arial" w:cs="Arial"/>
          <w:lang w:val="en-AU"/>
        </w:rPr>
        <w:t xml:space="preserve">The call for submissions was placed on the NDIA’s website, as well as being circulated amongst members of </w:t>
      </w:r>
      <w:r w:rsidR="003F646E">
        <w:rPr>
          <w:rFonts w:ascii="Arial" w:hAnsi="Arial" w:cs="Arial"/>
          <w:lang w:val="en-AU"/>
        </w:rPr>
        <w:t>the SDA Reference Group, the NDIS Independent Advisory Council and the NDIA CEO Forum</w:t>
      </w:r>
      <w:r w:rsidR="0003588E">
        <w:rPr>
          <w:rFonts w:ascii="Arial" w:hAnsi="Arial" w:cs="Arial"/>
          <w:lang w:val="en-AU"/>
        </w:rPr>
        <w:t>.</w:t>
      </w:r>
      <w:r w:rsidR="007C422F">
        <w:rPr>
          <w:rFonts w:ascii="Arial" w:hAnsi="Arial" w:cs="Arial"/>
          <w:lang w:val="en-AU"/>
        </w:rPr>
        <w:t xml:space="preserve"> </w:t>
      </w:r>
      <w:r w:rsidRPr="00F64913">
        <w:rPr>
          <w:rFonts w:cs="Arial"/>
          <w:lang w:val="en-AU"/>
        </w:rPr>
        <w:t>Deloitte Touche Tohmatsu Limited were engaged by the NDIA to assist the NDIA undertake the Review by reviewing submissions, gathering evidence, developing options, drafting papers and arranging and undertaking limited targeted consultations with stakeholders.</w:t>
      </w:r>
      <w:r w:rsidR="007C422F">
        <w:rPr>
          <w:rFonts w:cs="Arial"/>
          <w:lang w:val="en-AU"/>
        </w:rPr>
        <w:t xml:space="preserve"> </w:t>
      </w:r>
      <w:r w:rsidR="007C422F">
        <w:rPr>
          <w:rFonts w:cs="Arial"/>
          <w:lang w:val="en-AU"/>
        </w:rPr>
        <w:fldChar w:fldCharType="begin"/>
      </w:r>
      <w:r w:rsidR="007C422F">
        <w:rPr>
          <w:rFonts w:cs="Arial"/>
          <w:lang w:val="en-AU"/>
        </w:rPr>
        <w:instrText xml:space="preserve"> REF _Ref16537807 \h </w:instrText>
      </w:r>
      <w:r w:rsidR="007C422F">
        <w:rPr>
          <w:rFonts w:cs="Arial"/>
          <w:lang w:val="en-AU"/>
        </w:rPr>
      </w:r>
      <w:r w:rsidR="007C422F">
        <w:rPr>
          <w:rFonts w:cs="Arial"/>
          <w:lang w:val="en-AU"/>
        </w:rPr>
        <w:fldChar w:fldCharType="separate"/>
      </w:r>
      <w:r w:rsidR="00A3319D" w:rsidRPr="00F64913">
        <w:rPr>
          <w:lang w:val="en-AU"/>
        </w:rPr>
        <w:t xml:space="preserve">Figure </w:t>
      </w:r>
      <w:r w:rsidR="00A3319D">
        <w:rPr>
          <w:noProof/>
          <w:lang w:val="en-AU"/>
        </w:rPr>
        <w:t>1</w:t>
      </w:r>
      <w:r w:rsidR="007C422F">
        <w:rPr>
          <w:rFonts w:cs="Arial"/>
          <w:lang w:val="en-AU"/>
        </w:rPr>
        <w:fldChar w:fldCharType="end"/>
      </w:r>
      <w:r w:rsidR="007C422F">
        <w:rPr>
          <w:rFonts w:cs="Arial"/>
          <w:lang w:val="en-AU"/>
        </w:rPr>
        <w:t xml:space="preserve"> below outlines the consultation and analysis process of the Review.</w:t>
      </w:r>
      <w:r w:rsidR="00A11ACA">
        <w:rPr>
          <w:rFonts w:cs="Arial"/>
          <w:lang w:val="en-AU"/>
        </w:rPr>
        <w:t xml:space="preserve"> </w:t>
      </w:r>
      <w:r w:rsidR="00A72632">
        <w:rPr>
          <w:rFonts w:cs="Arial"/>
          <w:lang w:val="en-AU"/>
        </w:rPr>
        <w:t>As part of drafting this report, the Review compared submissions with objective data sources</w:t>
      </w:r>
      <w:r w:rsidR="00A11ACA">
        <w:rPr>
          <w:rFonts w:cs="Arial"/>
          <w:lang w:val="en-AU"/>
        </w:rPr>
        <w:t>.</w:t>
      </w:r>
    </w:p>
    <w:p w:rsidR="007C422F" w:rsidRPr="00F64913" w:rsidRDefault="007C422F" w:rsidP="007C422F">
      <w:pPr>
        <w:pStyle w:val="Caption"/>
        <w:shd w:val="clear" w:color="auto" w:fill="auto"/>
        <w:rPr>
          <w:lang w:val="en-AU"/>
        </w:rPr>
      </w:pPr>
      <w:bookmarkStart w:id="14" w:name="_Ref16537807"/>
      <w:r w:rsidRPr="00F64913">
        <w:rPr>
          <w:lang w:val="en-AU"/>
        </w:rPr>
        <w:t xml:space="preserve">Figure </w:t>
      </w:r>
      <w:r w:rsidRPr="00F64913">
        <w:rPr>
          <w:lang w:val="en-AU"/>
        </w:rPr>
        <w:fldChar w:fldCharType="begin"/>
      </w:r>
      <w:r w:rsidRPr="00F64913">
        <w:rPr>
          <w:lang w:val="en-AU"/>
        </w:rPr>
        <w:instrText xml:space="preserve"> SEQ Figure \* ARABIC </w:instrText>
      </w:r>
      <w:r w:rsidRPr="00F64913">
        <w:rPr>
          <w:lang w:val="en-AU"/>
        </w:rPr>
        <w:fldChar w:fldCharType="separate"/>
      </w:r>
      <w:r w:rsidR="00A3319D">
        <w:rPr>
          <w:noProof/>
          <w:lang w:val="en-AU"/>
        </w:rPr>
        <w:t>1</w:t>
      </w:r>
      <w:r w:rsidRPr="00F64913">
        <w:rPr>
          <w:noProof/>
          <w:lang w:val="en-AU"/>
        </w:rPr>
        <w:fldChar w:fldCharType="end"/>
      </w:r>
      <w:bookmarkEnd w:id="14"/>
      <w:r w:rsidRPr="00F64913">
        <w:rPr>
          <w:lang w:val="en-AU"/>
        </w:rPr>
        <w:t xml:space="preserve">: </w:t>
      </w:r>
      <w:r w:rsidR="009079D2">
        <w:rPr>
          <w:lang w:val="en-AU"/>
        </w:rPr>
        <w:t>Consultation and Review</w:t>
      </w:r>
      <w:r w:rsidRPr="00F64913">
        <w:rPr>
          <w:lang w:val="en-AU"/>
        </w:rPr>
        <w:t xml:space="preserve"> process</w:t>
      </w:r>
    </w:p>
    <w:p w:rsidR="007C422F" w:rsidRPr="00F64913" w:rsidRDefault="007C422F" w:rsidP="007C422F">
      <w:pPr>
        <w:rPr>
          <w:lang w:val="en-AU"/>
        </w:rPr>
      </w:pPr>
      <w:r w:rsidRPr="00F64913">
        <w:rPr>
          <w:rFonts w:cs="Arial"/>
          <w:noProof/>
          <w:lang w:val="en-AU" w:eastAsia="en-AU"/>
        </w:rPr>
        <mc:AlternateContent>
          <mc:Choice Requires="wpg">
            <w:drawing>
              <wp:inline distT="0" distB="0" distL="0" distR="0" wp14:anchorId="35617AB1" wp14:editId="607F408B">
                <wp:extent cx="6049103" cy="3697356"/>
                <wp:effectExtent l="0" t="0" r="0" b="0"/>
                <wp:docPr id="93" name="Group 10" descr="Figure 1: Consultation process&#10;This figure shows the four steps that are involved in the consultation process.&#10;The first step is the initial submission. The second step is stakeholder consultation. The third step is the second round of submissions.&#10;The fourth step is the Final SDA Review Report.">
                  <a:extLst xmlns:a="http://schemas.openxmlformats.org/drawingml/2006/main">
                    <a:ext uri="{FF2B5EF4-FFF2-40B4-BE49-F238E27FC236}">
                      <a16:creationId xmlns:a16="http://schemas.microsoft.com/office/drawing/2014/main" id="{C080F628-3F51-428A-A6B9-454BF475EC5C}"/>
                    </a:ext>
                  </a:extLst>
                </wp:docPr>
                <wp:cNvGraphicFramePr/>
                <a:graphic xmlns:a="http://schemas.openxmlformats.org/drawingml/2006/main">
                  <a:graphicData uri="http://schemas.microsoft.com/office/word/2010/wordprocessingGroup">
                    <wpg:wgp>
                      <wpg:cNvGrpSpPr/>
                      <wpg:grpSpPr>
                        <a:xfrm>
                          <a:off x="0" y="0"/>
                          <a:ext cx="6049103" cy="3697356"/>
                          <a:chOff x="82004" y="3647389"/>
                          <a:chExt cx="8496449" cy="2517356"/>
                        </a:xfrm>
                      </wpg:grpSpPr>
                      <wpg:grpSp>
                        <wpg:cNvPr id="94" name="Group 94">
                          <a:extLst>
                            <a:ext uri="{FF2B5EF4-FFF2-40B4-BE49-F238E27FC236}">
                              <a16:creationId xmlns:a16="http://schemas.microsoft.com/office/drawing/2014/main" id="{000979BA-607C-4DB9-AEF7-2557AA7432B9}"/>
                            </a:ext>
                          </a:extLst>
                        </wpg:cNvPr>
                        <wpg:cNvGrpSpPr/>
                        <wpg:grpSpPr>
                          <a:xfrm>
                            <a:off x="82004" y="3697550"/>
                            <a:ext cx="6296110" cy="2467195"/>
                            <a:chOff x="82004" y="3697550"/>
                            <a:chExt cx="6296110" cy="2467195"/>
                          </a:xfrm>
                        </wpg:grpSpPr>
                        <wpg:grpSp>
                          <wpg:cNvPr id="95" name="Group 95">
                            <a:extLst>
                              <a:ext uri="{FF2B5EF4-FFF2-40B4-BE49-F238E27FC236}">
                                <a16:creationId xmlns:a16="http://schemas.microsoft.com/office/drawing/2014/main" id="{F6B5DE64-2F63-4025-9643-9AC7D8A26CBD}"/>
                              </a:ext>
                            </a:extLst>
                          </wpg:cNvPr>
                          <wpg:cNvGrpSpPr/>
                          <wpg:grpSpPr>
                            <a:xfrm>
                              <a:off x="169930" y="3697550"/>
                              <a:ext cx="6208184" cy="2467195"/>
                              <a:chOff x="169930" y="3697553"/>
                              <a:chExt cx="8375441" cy="3328488"/>
                            </a:xfrm>
                          </wpg:grpSpPr>
                          <wps:wsp>
                            <wps:cNvPr id="96" name="Rectangle 96">
                              <a:extLst>
                                <a:ext uri="{FF2B5EF4-FFF2-40B4-BE49-F238E27FC236}">
                                  <a16:creationId xmlns:a16="http://schemas.microsoft.com/office/drawing/2014/main" id="{F312C756-E096-4409-AE35-CE352B874D3F}"/>
                                </a:ext>
                              </a:extLst>
                            </wps:cNvPr>
                            <wps:cNvSpPr/>
                            <wps:spPr>
                              <a:xfrm>
                                <a:off x="1269672" y="5781990"/>
                                <a:ext cx="1645358" cy="1244051"/>
                              </a:xfrm>
                              <a:prstGeom prst="rect">
                                <a:avLst/>
                              </a:prstGeom>
                            </wps:spPr>
                            <wps:txbx>
                              <w:txbxContent>
                                <w:p w:rsidR="006B624F" w:rsidRDefault="006B624F" w:rsidP="00EF3329">
                                  <w:pPr>
                                    <w:spacing w:before="0" w:after="0" w:line="160" w:lineRule="atLeast"/>
                                  </w:pPr>
                                  <w:r>
                                    <w:rPr>
                                      <w:rFonts w:hAnsi="Calibri"/>
                                      <w:b/>
                                      <w:bCs/>
                                      <w:color w:val="6B2976" w:themeColor="accent4"/>
                                      <w:kern w:val="24"/>
                                      <w:sz w:val="12"/>
                                      <w:szCs w:val="12"/>
                                    </w:rPr>
                                    <w:t>Initial submissions</w:t>
                                  </w:r>
                                </w:p>
                                <w:p w:rsidR="006B624F" w:rsidRDefault="006B624F" w:rsidP="00EF3329">
                                  <w:pPr>
                                    <w:spacing w:before="0" w:after="0" w:line="160" w:lineRule="atLeast"/>
                                    <w:rPr>
                                      <w:rFonts w:hAnsi="Calibri"/>
                                      <w:color w:val="6B2976" w:themeColor="accent4"/>
                                      <w:kern w:val="24"/>
                                      <w:sz w:val="12"/>
                                      <w:szCs w:val="12"/>
                                    </w:rPr>
                                  </w:pPr>
                                  <w:r>
                                    <w:rPr>
                                      <w:rFonts w:hAnsi="Calibri"/>
                                      <w:color w:val="6B2976" w:themeColor="accent4"/>
                                      <w:kern w:val="24"/>
                                      <w:sz w:val="12"/>
                                      <w:szCs w:val="12"/>
                                    </w:rPr>
                                    <w:t>Initial submissions to the SDA Limited Cost Assumptions Review closed at 5:00pm AEST on Friday 16 May 2019.</w:t>
                                  </w:r>
                                </w:p>
                                <w:p w:rsidR="006B624F" w:rsidRDefault="006B624F" w:rsidP="00EF3329">
                                  <w:pPr>
                                    <w:spacing w:before="0" w:after="0" w:line="160" w:lineRule="atLeast"/>
                                  </w:pPr>
                                </w:p>
                              </w:txbxContent>
                            </wps:txbx>
                            <wps:bodyPr wrap="square" lIns="0" tIns="0" rIns="0" bIns="0">
                              <a:noAutofit/>
                            </wps:bodyPr>
                          </wps:wsp>
                          <wps:wsp>
                            <wps:cNvPr id="97" name="TextBox 22">
                              <a:extLst>
                                <a:ext uri="{FF2B5EF4-FFF2-40B4-BE49-F238E27FC236}">
                                  <a16:creationId xmlns:a16="http://schemas.microsoft.com/office/drawing/2014/main" id="{49490C66-562B-42DE-8A5D-42A25FE54A2F}"/>
                                </a:ext>
                              </a:extLst>
                            </wps:cNvPr>
                            <wps:cNvSpPr txBox="1"/>
                            <wps:spPr>
                              <a:xfrm>
                                <a:off x="1682098" y="5118429"/>
                                <a:ext cx="385736" cy="596348"/>
                              </a:xfrm>
                              <a:prstGeom prst="rect">
                                <a:avLst/>
                              </a:prstGeom>
                              <a:noFill/>
                            </wps:spPr>
                            <wps:txbx>
                              <w:txbxContent>
                                <w:p w:rsidR="006B624F" w:rsidRDefault="006B624F" w:rsidP="007C422F">
                                  <w:pPr>
                                    <w:spacing w:before="0" w:after="0"/>
                                  </w:pPr>
                                  <w:r>
                                    <w:rPr>
                                      <w:rFonts w:hAnsi="Calibri"/>
                                      <w:b/>
                                      <w:bCs/>
                                      <w:color w:val="6B2976" w:themeColor="accent4"/>
                                      <w:kern w:val="24"/>
                                      <w:sz w:val="48"/>
                                      <w:szCs w:val="48"/>
                                    </w:rPr>
                                    <w:t>1</w:t>
                                  </w:r>
                                </w:p>
                              </w:txbxContent>
                            </wps:txbx>
                            <wps:bodyPr wrap="square" lIns="36000" tIns="36000" rIns="36000" bIns="36000" rtlCol="0">
                              <a:noAutofit/>
                            </wps:bodyPr>
                          </wps:wsp>
                          <wps:wsp>
                            <wps:cNvPr id="98" name="Rectangle 98">
                              <a:extLst>
                                <a:ext uri="{FF2B5EF4-FFF2-40B4-BE49-F238E27FC236}">
                                  <a16:creationId xmlns:a16="http://schemas.microsoft.com/office/drawing/2014/main" id="{88EC39F1-DAB1-466F-988C-541BE915CEC7}"/>
                                </a:ext>
                              </a:extLst>
                            </wps:cNvPr>
                            <wps:cNvSpPr/>
                            <wps:spPr>
                              <a:xfrm>
                                <a:off x="4059388" y="5781684"/>
                                <a:ext cx="1673727" cy="1244051"/>
                              </a:xfrm>
                              <a:prstGeom prst="rect">
                                <a:avLst/>
                              </a:prstGeom>
                            </wps:spPr>
                            <wps:txbx>
                              <w:txbxContent>
                                <w:p w:rsidR="006B624F" w:rsidRDefault="006B624F" w:rsidP="00EF3329">
                                  <w:pPr>
                                    <w:spacing w:before="0" w:after="0" w:line="160" w:lineRule="atLeast"/>
                                  </w:pPr>
                                  <w:r>
                                    <w:rPr>
                                      <w:rFonts w:hAnsi="Calibri"/>
                                      <w:b/>
                                      <w:bCs/>
                                      <w:color w:val="C0504D" w:themeColor="accent2"/>
                                      <w:kern w:val="24"/>
                                      <w:sz w:val="12"/>
                                      <w:szCs w:val="12"/>
                                    </w:rPr>
                                    <w:t>Stakeholder consultations</w:t>
                                  </w:r>
                                </w:p>
                                <w:p w:rsidR="006B624F" w:rsidRDefault="006B624F" w:rsidP="00EF3329">
                                  <w:pPr>
                                    <w:spacing w:before="0" w:after="0" w:line="160" w:lineRule="atLeast"/>
                                    <w:rPr>
                                      <w:rFonts w:hAnsi="Calibri"/>
                                      <w:color w:val="C0504D" w:themeColor="accent2"/>
                                      <w:kern w:val="24"/>
                                      <w:sz w:val="12"/>
                                      <w:szCs w:val="12"/>
                                    </w:rPr>
                                  </w:pPr>
                                  <w:r>
                                    <w:rPr>
                                      <w:rFonts w:hAnsi="Calibri"/>
                                      <w:color w:val="C0504D" w:themeColor="accent2"/>
                                      <w:kern w:val="24"/>
                                      <w:sz w:val="12"/>
                                      <w:szCs w:val="12"/>
                                    </w:rPr>
                                    <w:t>Follow-up consultation with industry stakeholders from submitted responses were held.</w:t>
                                  </w:r>
                                </w:p>
                                <w:p w:rsidR="006B624F" w:rsidRDefault="006B624F" w:rsidP="00EF3329">
                                  <w:pPr>
                                    <w:spacing w:before="0" w:after="0" w:line="160" w:lineRule="atLeast"/>
                                  </w:pPr>
                                </w:p>
                              </w:txbxContent>
                            </wps:txbx>
                            <wps:bodyPr wrap="square" lIns="0" tIns="0" rIns="0" bIns="0">
                              <a:noAutofit/>
                            </wps:bodyPr>
                          </wps:wsp>
                          <wps:wsp>
                            <wps:cNvPr id="99" name="Rectangle 99">
                              <a:extLst>
                                <a:ext uri="{FF2B5EF4-FFF2-40B4-BE49-F238E27FC236}">
                                  <a16:creationId xmlns:a16="http://schemas.microsoft.com/office/drawing/2014/main" id="{421433C4-DC0B-42EF-B85B-77927D88D774}"/>
                                </a:ext>
                              </a:extLst>
                            </wps:cNvPr>
                            <wps:cNvSpPr/>
                            <wps:spPr>
                              <a:xfrm>
                                <a:off x="6850368" y="5781326"/>
                                <a:ext cx="1695003" cy="1244051"/>
                              </a:xfrm>
                              <a:prstGeom prst="rect">
                                <a:avLst/>
                              </a:prstGeom>
                            </wps:spPr>
                            <wps:txbx>
                              <w:txbxContent>
                                <w:p w:rsidR="006B624F" w:rsidRDefault="006B624F" w:rsidP="00EF3329">
                                  <w:pPr>
                                    <w:spacing w:before="0" w:after="0" w:line="160" w:lineRule="atLeast"/>
                                  </w:pPr>
                                  <w:r>
                                    <w:rPr>
                                      <w:rFonts w:hAnsi="Calibri"/>
                                      <w:b/>
                                      <w:bCs/>
                                      <w:color w:val="4BACC6" w:themeColor="accent5"/>
                                      <w:kern w:val="24"/>
                                      <w:sz w:val="12"/>
                                      <w:szCs w:val="12"/>
                                    </w:rPr>
                                    <w:t>Second round of submissions</w:t>
                                  </w:r>
                                </w:p>
                                <w:p w:rsidR="006B624F" w:rsidRDefault="006B624F" w:rsidP="00EF3329">
                                  <w:pPr>
                                    <w:spacing w:before="0" w:after="0" w:line="160" w:lineRule="atLeast"/>
                                  </w:pPr>
                                  <w:r>
                                    <w:rPr>
                                      <w:rFonts w:hAnsi="Calibri"/>
                                      <w:color w:val="4BACC6" w:themeColor="accent5"/>
                                      <w:kern w:val="24"/>
                                      <w:sz w:val="12"/>
                                      <w:szCs w:val="12"/>
                                    </w:rPr>
                                    <w:t>The second round of submissions was open to new and previous stakeholders.</w:t>
                                  </w:r>
                                </w:p>
                                <w:p w:rsidR="006B624F" w:rsidRDefault="006B624F" w:rsidP="00EF3329">
                                  <w:pPr>
                                    <w:spacing w:before="0" w:after="0" w:line="160" w:lineRule="atLeast"/>
                                  </w:pPr>
                                  <w:r>
                                    <w:rPr>
                                      <w:rFonts w:hAnsi="Calibri"/>
                                      <w:color w:val="4BACC6" w:themeColor="accent5"/>
                                      <w:kern w:val="24"/>
                                      <w:sz w:val="12"/>
                                      <w:szCs w:val="12"/>
                                    </w:rPr>
                                    <w:t>Conversations between the NDIA and stakeholders were also held.</w:t>
                                  </w:r>
                                </w:p>
                              </w:txbxContent>
                            </wps:txbx>
                            <wps:bodyPr wrap="square" lIns="0" tIns="0" rIns="0" bIns="0">
                              <a:noAutofit/>
                            </wps:bodyPr>
                          </wps:wsp>
                          <wps:wsp>
                            <wps:cNvPr id="100" name="TextBox 25">
                              <a:extLst>
                                <a:ext uri="{FF2B5EF4-FFF2-40B4-BE49-F238E27FC236}">
                                  <a16:creationId xmlns:a16="http://schemas.microsoft.com/office/drawing/2014/main" id="{C70A2444-00BB-413A-B297-269B1C341735}"/>
                                </a:ext>
                              </a:extLst>
                            </wps:cNvPr>
                            <wps:cNvSpPr txBox="1"/>
                            <wps:spPr>
                              <a:xfrm>
                                <a:off x="4490492" y="5118429"/>
                                <a:ext cx="385736" cy="596348"/>
                              </a:xfrm>
                              <a:prstGeom prst="rect">
                                <a:avLst/>
                              </a:prstGeom>
                              <a:noFill/>
                            </wps:spPr>
                            <wps:txbx>
                              <w:txbxContent>
                                <w:p w:rsidR="006B624F" w:rsidRDefault="006B624F" w:rsidP="007C422F">
                                  <w:pPr>
                                    <w:spacing w:before="0" w:after="0"/>
                                  </w:pPr>
                                  <w:r>
                                    <w:rPr>
                                      <w:rFonts w:hAnsi="Calibri"/>
                                      <w:b/>
                                      <w:bCs/>
                                      <w:color w:val="C0504D" w:themeColor="accent2"/>
                                      <w:kern w:val="24"/>
                                      <w:sz w:val="48"/>
                                      <w:szCs w:val="48"/>
                                    </w:rPr>
                                    <w:t>2</w:t>
                                  </w:r>
                                </w:p>
                              </w:txbxContent>
                            </wps:txbx>
                            <wps:bodyPr wrap="square" lIns="36000" tIns="36000" rIns="36000" bIns="36000" rtlCol="0">
                              <a:noAutofit/>
                            </wps:bodyPr>
                          </wps:wsp>
                          <wps:wsp>
                            <wps:cNvPr id="101" name="TextBox 26">
                              <a:extLst>
                                <a:ext uri="{FF2B5EF4-FFF2-40B4-BE49-F238E27FC236}">
                                  <a16:creationId xmlns:a16="http://schemas.microsoft.com/office/drawing/2014/main" id="{23CE0AB9-101C-40D4-9CBB-F88FAEF57049}"/>
                                </a:ext>
                              </a:extLst>
                            </wps:cNvPr>
                            <wps:cNvSpPr txBox="1"/>
                            <wps:spPr>
                              <a:xfrm>
                                <a:off x="7277137" y="5118429"/>
                                <a:ext cx="385736" cy="596348"/>
                              </a:xfrm>
                              <a:prstGeom prst="rect">
                                <a:avLst/>
                              </a:prstGeom>
                              <a:noFill/>
                            </wps:spPr>
                            <wps:txbx>
                              <w:txbxContent>
                                <w:p w:rsidR="006B624F" w:rsidRDefault="006B624F" w:rsidP="007C422F">
                                  <w:pPr>
                                    <w:spacing w:before="0" w:after="0"/>
                                  </w:pPr>
                                  <w:r>
                                    <w:rPr>
                                      <w:rFonts w:hAnsi="Calibri"/>
                                      <w:b/>
                                      <w:bCs/>
                                      <w:color w:val="4BACC6" w:themeColor="accent5"/>
                                      <w:kern w:val="24"/>
                                      <w:sz w:val="48"/>
                                      <w:szCs w:val="48"/>
                                    </w:rPr>
                                    <w:t>3</w:t>
                                  </w:r>
                                </w:p>
                              </w:txbxContent>
                            </wps:txbx>
                            <wps:bodyPr wrap="square" lIns="36000" tIns="36000" rIns="36000" bIns="36000" rtlCol="0">
                              <a:noAutofit/>
                            </wps:bodyPr>
                          </wps:wsp>
                          <wps:wsp>
                            <wps:cNvPr id="102" name="Diagonal Stripe 102">
                              <a:extLst>
                                <a:ext uri="{FF2B5EF4-FFF2-40B4-BE49-F238E27FC236}">
                                  <a16:creationId xmlns:a16="http://schemas.microsoft.com/office/drawing/2014/main" id="{1799AC59-1565-44F1-8449-E0F179CB7F6D}"/>
                                </a:ext>
                              </a:extLst>
                            </wps:cNvPr>
                            <wps:cNvSpPr/>
                            <wps:spPr>
                              <a:xfrm>
                                <a:off x="169930" y="5277397"/>
                                <a:ext cx="1512168" cy="1512168"/>
                              </a:xfrm>
                              <a:prstGeom prst="diagStripe">
                                <a:avLst/>
                              </a:prstGeom>
                              <a:solidFill>
                                <a:schemeClr val="accent3"/>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03" name="Diagonal Stripe 103">
                              <a:extLst>
                                <a:ext uri="{FF2B5EF4-FFF2-40B4-BE49-F238E27FC236}">
                                  <a16:creationId xmlns:a16="http://schemas.microsoft.com/office/drawing/2014/main" id="{5F4C3115-8E2E-4E01-B442-D5E9147F8ACB}"/>
                                </a:ext>
                              </a:extLst>
                            </wps:cNvPr>
                            <wps:cNvSpPr/>
                            <wps:spPr>
                              <a:xfrm flipV="1">
                                <a:off x="169930" y="3697553"/>
                                <a:ext cx="1512168" cy="1512168"/>
                              </a:xfrm>
                              <a:prstGeom prst="diagStripe">
                                <a:avLst/>
                              </a:prstGeom>
                              <a:solidFill>
                                <a:schemeClr val="accent4"/>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04" name="Diagonal Stripe 104">
                              <a:extLst>
                                <a:ext uri="{FF2B5EF4-FFF2-40B4-BE49-F238E27FC236}">
                                  <a16:creationId xmlns:a16="http://schemas.microsoft.com/office/drawing/2014/main" id="{70ED5C1E-67BC-4D40-B141-557C6C8413D6}"/>
                                </a:ext>
                              </a:extLst>
                            </wps:cNvPr>
                            <wps:cNvSpPr/>
                            <wps:spPr>
                              <a:xfrm>
                                <a:off x="5754712" y="5277397"/>
                                <a:ext cx="1512168" cy="1512168"/>
                              </a:xfrm>
                              <a:prstGeom prst="diagStripe">
                                <a:avLst/>
                              </a:prstGeom>
                              <a:solidFill>
                                <a:schemeClr val="accent5">
                                  <a:lumMod val="60000"/>
                                  <a:lumOff val="4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05" name="Diagonal Stripe 105">
                              <a:extLst>
                                <a:ext uri="{FF2B5EF4-FFF2-40B4-BE49-F238E27FC236}">
                                  <a16:creationId xmlns:a16="http://schemas.microsoft.com/office/drawing/2014/main" id="{15F2315E-4275-4880-B084-7642E6C55B86}"/>
                                </a:ext>
                              </a:extLst>
                            </wps:cNvPr>
                            <wps:cNvSpPr/>
                            <wps:spPr>
                              <a:xfrm flipV="1">
                                <a:off x="5754712" y="3697553"/>
                                <a:ext cx="1512168" cy="1512168"/>
                              </a:xfrm>
                              <a:prstGeom prst="diagStripe">
                                <a:avLst/>
                              </a:prstGeom>
                              <a:solidFill>
                                <a:schemeClr val="accent5"/>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06" name="Diagonal Stripe 106">
                              <a:extLst>
                                <a:ext uri="{FF2B5EF4-FFF2-40B4-BE49-F238E27FC236}">
                                  <a16:creationId xmlns:a16="http://schemas.microsoft.com/office/drawing/2014/main" id="{42D80638-0A5A-44AB-95BB-9CED7734A004}"/>
                                </a:ext>
                              </a:extLst>
                            </wps:cNvPr>
                            <wps:cNvSpPr/>
                            <wps:spPr>
                              <a:xfrm>
                                <a:off x="2962320" y="5277397"/>
                                <a:ext cx="1512168" cy="1512168"/>
                              </a:xfrm>
                              <a:prstGeom prst="diagStripe">
                                <a:avLst/>
                              </a:prstGeom>
                              <a:solidFill>
                                <a:schemeClr val="accent1"/>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07" name="Diagonal Stripe 107">
                              <a:extLst>
                                <a:ext uri="{FF2B5EF4-FFF2-40B4-BE49-F238E27FC236}">
                                  <a16:creationId xmlns:a16="http://schemas.microsoft.com/office/drawing/2014/main" id="{2C17D36D-9CB4-4A6C-81AC-73492AF16A1C}"/>
                                </a:ext>
                              </a:extLst>
                            </wps:cNvPr>
                            <wps:cNvSpPr/>
                            <wps:spPr>
                              <a:xfrm flipV="1">
                                <a:off x="2962321" y="3697553"/>
                                <a:ext cx="1512168" cy="1512168"/>
                              </a:xfrm>
                              <a:prstGeom prst="diagStripe">
                                <a:avLst/>
                              </a:prstGeom>
                              <a:solidFill>
                                <a:schemeClr val="accent2"/>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g:grpSp>
                        <wps:wsp>
                          <wps:cNvPr id="108" name="Freeform 108">
                            <a:extLst>
                              <a:ext uri="{FF2B5EF4-FFF2-40B4-BE49-F238E27FC236}">
                                <a16:creationId xmlns:a16="http://schemas.microsoft.com/office/drawing/2014/main" id="{DD50BF5A-40D0-4D9A-8A62-689CBF1298A0}"/>
                              </a:ext>
                            </a:extLst>
                          </wps:cNvPr>
                          <wps:cNvSpPr>
                            <a:spLocks noChangeAspect="1" noEditPoints="1"/>
                          </wps:cNvSpPr>
                          <wps:spPr bwMode="auto">
                            <a:xfrm>
                              <a:off x="82004" y="4602999"/>
                              <a:ext cx="468000" cy="468000"/>
                            </a:xfrm>
                            <a:custGeom>
                              <a:avLst/>
                              <a:gdLst>
                                <a:gd name="T0" fmla="*/ 277 w 512"/>
                                <a:gd name="T1" fmla="*/ 394 h 512"/>
                                <a:gd name="T2" fmla="*/ 149 w 512"/>
                                <a:gd name="T3" fmla="*/ 202 h 512"/>
                                <a:gd name="T4" fmla="*/ 170 w 512"/>
                                <a:gd name="T5" fmla="*/ 224 h 512"/>
                                <a:gd name="T6" fmla="*/ 266 w 512"/>
                                <a:gd name="T7" fmla="*/ 234 h 512"/>
                                <a:gd name="T8" fmla="*/ 170 w 512"/>
                                <a:gd name="T9" fmla="*/ 245 h 512"/>
                                <a:gd name="T10" fmla="*/ 170 w 512"/>
                                <a:gd name="T11" fmla="*/ 224 h 512"/>
                                <a:gd name="T12" fmla="*/ 256 w 512"/>
                                <a:gd name="T13" fmla="*/ 266 h 512"/>
                                <a:gd name="T14" fmla="*/ 256 w 512"/>
                                <a:gd name="T15" fmla="*/ 288 h 512"/>
                                <a:gd name="T16" fmla="*/ 160 w 512"/>
                                <a:gd name="T17" fmla="*/ 277 h 512"/>
                                <a:gd name="T18" fmla="*/ 170 w 512"/>
                                <a:gd name="T19" fmla="*/ 309 h 512"/>
                                <a:gd name="T20" fmla="*/ 266 w 512"/>
                                <a:gd name="T21" fmla="*/ 320 h 512"/>
                                <a:gd name="T22" fmla="*/ 170 w 512"/>
                                <a:gd name="T23" fmla="*/ 330 h 512"/>
                                <a:gd name="T24" fmla="*/ 170 w 512"/>
                                <a:gd name="T25" fmla="*/ 309 h 512"/>
                                <a:gd name="T26" fmla="*/ 256 w 512"/>
                                <a:gd name="T27" fmla="*/ 352 h 512"/>
                                <a:gd name="T28" fmla="*/ 256 w 512"/>
                                <a:gd name="T29" fmla="*/ 373 h 512"/>
                                <a:gd name="T30" fmla="*/ 160 w 512"/>
                                <a:gd name="T31" fmla="*/ 362 h 512"/>
                                <a:gd name="T32" fmla="*/ 256 w 512"/>
                                <a:gd name="T33" fmla="*/ 0 h 512"/>
                                <a:gd name="T34" fmla="*/ 256 w 512"/>
                                <a:gd name="T35" fmla="*/ 512 h 512"/>
                                <a:gd name="T36" fmla="*/ 256 w 512"/>
                                <a:gd name="T37" fmla="*/ 0 h 512"/>
                                <a:gd name="T38" fmla="*/ 288 w 512"/>
                                <a:gd name="T39" fmla="*/ 416 h 512"/>
                                <a:gd name="T40" fmla="*/ 128 w 512"/>
                                <a:gd name="T41" fmla="*/ 405 h 512"/>
                                <a:gd name="T42" fmla="*/ 138 w 512"/>
                                <a:gd name="T43" fmla="*/ 181 h 512"/>
                                <a:gd name="T44" fmla="*/ 298 w 512"/>
                                <a:gd name="T45" fmla="*/ 192 h 512"/>
                                <a:gd name="T46" fmla="*/ 341 w 512"/>
                                <a:gd name="T47" fmla="*/ 362 h 512"/>
                                <a:gd name="T48" fmla="*/ 320 w 512"/>
                                <a:gd name="T49" fmla="*/ 362 h 512"/>
                                <a:gd name="T50" fmla="*/ 181 w 512"/>
                                <a:gd name="T51" fmla="*/ 160 h 512"/>
                                <a:gd name="T52" fmla="*/ 181 w 512"/>
                                <a:gd name="T53" fmla="*/ 138 h 512"/>
                                <a:gd name="T54" fmla="*/ 341 w 512"/>
                                <a:gd name="T55" fmla="*/ 149 h 512"/>
                                <a:gd name="T56" fmla="*/ 384 w 512"/>
                                <a:gd name="T57" fmla="*/ 320 h 512"/>
                                <a:gd name="T58" fmla="*/ 362 w 512"/>
                                <a:gd name="T59" fmla="*/ 320 h 512"/>
                                <a:gd name="T60" fmla="*/ 224 w 512"/>
                                <a:gd name="T61" fmla="*/ 117 h 512"/>
                                <a:gd name="T62" fmla="*/ 224 w 512"/>
                                <a:gd name="T63" fmla="*/ 96 h 512"/>
                                <a:gd name="T64" fmla="*/ 384 w 512"/>
                                <a:gd name="T65" fmla="*/ 106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2" h="512">
                                  <a:moveTo>
                                    <a:pt x="149" y="394"/>
                                  </a:moveTo>
                                  <a:cubicBezTo>
                                    <a:pt x="277" y="394"/>
                                    <a:pt x="277" y="394"/>
                                    <a:pt x="277" y="394"/>
                                  </a:cubicBezTo>
                                  <a:cubicBezTo>
                                    <a:pt x="277" y="202"/>
                                    <a:pt x="277" y="202"/>
                                    <a:pt x="277" y="202"/>
                                  </a:cubicBezTo>
                                  <a:cubicBezTo>
                                    <a:pt x="149" y="202"/>
                                    <a:pt x="149" y="202"/>
                                    <a:pt x="149" y="202"/>
                                  </a:cubicBezTo>
                                  <a:lnTo>
                                    <a:pt x="149" y="394"/>
                                  </a:lnTo>
                                  <a:close/>
                                  <a:moveTo>
                                    <a:pt x="170" y="224"/>
                                  </a:moveTo>
                                  <a:cubicBezTo>
                                    <a:pt x="256" y="224"/>
                                    <a:pt x="256" y="224"/>
                                    <a:pt x="256" y="224"/>
                                  </a:cubicBezTo>
                                  <a:cubicBezTo>
                                    <a:pt x="262" y="224"/>
                                    <a:pt x="266" y="228"/>
                                    <a:pt x="266" y="234"/>
                                  </a:cubicBezTo>
                                  <a:cubicBezTo>
                                    <a:pt x="266" y="240"/>
                                    <a:pt x="262" y="245"/>
                                    <a:pt x="256" y="245"/>
                                  </a:cubicBezTo>
                                  <a:cubicBezTo>
                                    <a:pt x="170" y="245"/>
                                    <a:pt x="170" y="245"/>
                                    <a:pt x="170" y="245"/>
                                  </a:cubicBezTo>
                                  <a:cubicBezTo>
                                    <a:pt x="164" y="245"/>
                                    <a:pt x="160" y="240"/>
                                    <a:pt x="160" y="234"/>
                                  </a:cubicBezTo>
                                  <a:cubicBezTo>
                                    <a:pt x="160" y="228"/>
                                    <a:pt x="164" y="224"/>
                                    <a:pt x="170" y="224"/>
                                  </a:cubicBezTo>
                                  <a:close/>
                                  <a:moveTo>
                                    <a:pt x="170" y="266"/>
                                  </a:moveTo>
                                  <a:cubicBezTo>
                                    <a:pt x="256" y="266"/>
                                    <a:pt x="256" y="266"/>
                                    <a:pt x="256" y="266"/>
                                  </a:cubicBezTo>
                                  <a:cubicBezTo>
                                    <a:pt x="262" y="266"/>
                                    <a:pt x="266" y="271"/>
                                    <a:pt x="266" y="277"/>
                                  </a:cubicBezTo>
                                  <a:cubicBezTo>
                                    <a:pt x="266" y="283"/>
                                    <a:pt x="262" y="288"/>
                                    <a:pt x="256" y="288"/>
                                  </a:cubicBezTo>
                                  <a:cubicBezTo>
                                    <a:pt x="170" y="288"/>
                                    <a:pt x="170" y="288"/>
                                    <a:pt x="170" y="288"/>
                                  </a:cubicBezTo>
                                  <a:cubicBezTo>
                                    <a:pt x="164" y="288"/>
                                    <a:pt x="160" y="283"/>
                                    <a:pt x="160" y="277"/>
                                  </a:cubicBezTo>
                                  <a:cubicBezTo>
                                    <a:pt x="160" y="271"/>
                                    <a:pt x="164" y="266"/>
                                    <a:pt x="170" y="266"/>
                                  </a:cubicBezTo>
                                  <a:close/>
                                  <a:moveTo>
                                    <a:pt x="170" y="309"/>
                                  </a:moveTo>
                                  <a:cubicBezTo>
                                    <a:pt x="256" y="309"/>
                                    <a:pt x="256" y="309"/>
                                    <a:pt x="256" y="309"/>
                                  </a:cubicBezTo>
                                  <a:cubicBezTo>
                                    <a:pt x="262" y="309"/>
                                    <a:pt x="266" y="314"/>
                                    <a:pt x="266" y="320"/>
                                  </a:cubicBezTo>
                                  <a:cubicBezTo>
                                    <a:pt x="266" y="326"/>
                                    <a:pt x="262" y="330"/>
                                    <a:pt x="256" y="330"/>
                                  </a:cubicBezTo>
                                  <a:cubicBezTo>
                                    <a:pt x="170" y="330"/>
                                    <a:pt x="170" y="330"/>
                                    <a:pt x="170" y="330"/>
                                  </a:cubicBezTo>
                                  <a:cubicBezTo>
                                    <a:pt x="164" y="330"/>
                                    <a:pt x="160" y="326"/>
                                    <a:pt x="160" y="320"/>
                                  </a:cubicBezTo>
                                  <a:cubicBezTo>
                                    <a:pt x="160" y="314"/>
                                    <a:pt x="164" y="309"/>
                                    <a:pt x="170" y="309"/>
                                  </a:cubicBezTo>
                                  <a:close/>
                                  <a:moveTo>
                                    <a:pt x="170" y="352"/>
                                  </a:moveTo>
                                  <a:cubicBezTo>
                                    <a:pt x="256" y="352"/>
                                    <a:pt x="256" y="352"/>
                                    <a:pt x="256" y="352"/>
                                  </a:cubicBezTo>
                                  <a:cubicBezTo>
                                    <a:pt x="262" y="352"/>
                                    <a:pt x="266" y="356"/>
                                    <a:pt x="266" y="362"/>
                                  </a:cubicBezTo>
                                  <a:cubicBezTo>
                                    <a:pt x="266" y="368"/>
                                    <a:pt x="262" y="373"/>
                                    <a:pt x="256" y="373"/>
                                  </a:cubicBezTo>
                                  <a:cubicBezTo>
                                    <a:pt x="170" y="373"/>
                                    <a:pt x="170" y="373"/>
                                    <a:pt x="170" y="373"/>
                                  </a:cubicBezTo>
                                  <a:cubicBezTo>
                                    <a:pt x="164" y="373"/>
                                    <a:pt x="160" y="368"/>
                                    <a:pt x="160" y="362"/>
                                  </a:cubicBezTo>
                                  <a:cubicBezTo>
                                    <a:pt x="160" y="356"/>
                                    <a:pt x="164" y="352"/>
                                    <a:pt x="170" y="352"/>
                                  </a:cubicBezTo>
                                  <a:close/>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298" y="405"/>
                                  </a:moveTo>
                                  <a:cubicBezTo>
                                    <a:pt x="298" y="411"/>
                                    <a:pt x="294" y="416"/>
                                    <a:pt x="288" y="416"/>
                                  </a:cubicBezTo>
                                  <a:cubicBezTo>
                                    <a:pt x="138" y="416"/>
                                    <a:pt x="138" y="416"/>
                                    <a:pt x="138" y="416"/>
                                  </a:cubicBezTo>
                                  <a:cubicBezTo>
                                    <a:pt x="132" y="416"/>
                                    <a:pt x="128" y="411"/>
                                    <a:pt x="128" y="405"/>
                                  </a:cubicBezTo>
                                  <a:cubicBezTo>
                                    <a:pt x="128" y="192"/>
                                    <a:pt x="128" y="192"/>
                                    <a:pt x="128" y="192"/>
                                  </a:cubicBezTo>
                                  <a:cubicBezTo>
                                    <a:pt x="128" y="186"/>
                                    <a:pt x="132" y="181"/>
                                    <a:pt x="138" y="181"/>
                                  </a:cubicBezTo>
                                  <a:cubicBezTo>
                                    <a:pt x="288" y="181"/>
                                    <a:pt x="288" y="181"/>
                                    <a:pt x="288" y="181"/>
                                  </a:cubicBezTo>
                                  <a:cubicBezTo>
                                    <a:pt x="294" y="181"/>
                                    <a:pt x="298" y="186"/>
                                    <a:pt x="298" y="192"/>
                                  </a:cubicBezTo>
                                  <a:lnTo>
                                    <a:pt x="298" y="405"/>
                                  </a:lnTo>
                                  <a:close/>
                                  <a:moveTo>
                                    <a:pt x="341" y="362"/>
                                  </a:moveTo>
                                  <a:cubicBezTo>
                                    <a:pt x="341" y="368"/>
                                    <a:pt x="336" y="373"/>
                                    <a:pt x="330" y="373"/>
                                  </a:cubicBezTo>
                                  <a:cubicBezTo>
                                    <a:pt x="324" y="373"/>
                                    <a:pt x="320" y="368"/>
                                    <a:pt x="320" y="362"/>
                                  </a:cubicBezTo>
                                  <a:cubicBezTo>
                                    <a:pt x="320" y="160"/>
                                    <a:pt x="320" y="160"/>
                                    <a:pt x="320" y="160"/>
                                  </a:cubicBezTo>
                                  <a:cubicBezTo>
                                    <a:pt x="181" y="160"/>
                                    <a:pt x="181" y="160"/>
                                    <a:pt x="181" y="160"/>
                                  </a:cubicBezTo>
                                  <a:cubicBezTo>
                                    <a:pt x="175" y="160"/>
                                    <a:pt x="170" y="155"/>
                                    <a:pt x="170" y="149"/>
                                  </a:cubicBezTo>
                                  <a:cubicBezTo>
                                    <a:pt x="170" y="143"/>
                                    <a:pt x="175" y="138"/>
                                    <a:pt x="181" y="138"/>
                                  </a:cubicBezTo>
                                  <a:cubicBezTo>
                                    <a:pt x="330" y="138"/>
                                    <a:pt x="330" y="138"/>
                                    <a:pt x="330" y="138"/>
                                  </a:cubicBezTo>
                                  <a:cubicBezTo>
                                    <a:pt x="336" y="138"/>
                                    <a:pt x="341" y="143"/>
                                    <a:pt x="341" y="149"/>
                                  </a:cubicBezTo>
                                  <a:lnTo>
                                    <a:pt x="341" y="362"/>
                                  </a:lnTo>
                                  <a:close/>
                                  <a:moveTo>
                                    <a:pt x="384" y="320"/>
                                  </a:moveTo>
                                  <a:cubicBezTo>
                                    <a:pt x="384" y="326"/>
                                    <a:pt x="379" y="330"/>
                                    <a:pt x="373" y="330"/>
                                  </a:cubicBezTo>
                                  <a:cubicBezTo>
                                    <a:pt x="367" y="330"/>
                                    <a:pt x="362" y="326"/>
                                    <a:pt x="362" y="320"/>
                                  </a:cubicBezTo>
                                  <a:cubicBezTo>
                                    <a:pt x="362" y="117"/>
                                    <a:pt x="362" y="117"/>
                                    <a:pt x="362" y="117"/>
                                  </a:cubicBezTo>
                                  <a:cubicBezTo>
                                    <a:pt x="224" y="117"/>
                                    <a:pt x="224" y="117"/>
                                    <a:pt x="224" y="117"/>
                                  </a:cubicBezTo>
                                  <a:cubicBezTo>
                                    <a:pt x="218" y="117"/>
                                    <a:pt x="213" y="112"/>
                                    <a:pt x="213" y="106"/>
                                  </a:cubicBezTo>
                                  <a:cubicBezTo>
                                    <a:pt x="213" y="100"/>
                                    <a:pt x="218" y="96"/>
                                    <a:pt x="224" y="96"/>
                                  </a:cubicBezTo>
                                  <a:cubicBezTo>
                                    <a:pt x="373" y="96"/>
                                    <a:pt x="373" y="96"/>
                                    <a:pt x="373" y="96"/>
                                  </a:cubicBezTo>
                                  <a:cubicBezTo>
                                    <a:pt x="379" y="96"/>
                                    <a:pt x="384" y="100"/>
                                    <a:pt x="384" y="106"/>
                                  </a:cubicBezTo>
                                  <a:lnTo>
                                    <a:pt x="384" y="320"/>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109" name="Freeform 109">
                            <a:extLst>
                              <a:ext uri="{FF2B5EF4-FFF2-40B4-BE49-F238E27FC236}">
                                <a16:creationId xmlns:a16="http://schemas.microsoft.com/office/drawing/2014/main" id="{54CE375F-9F3A-4F22-93F7-E510491AFF22}"/>
                              </a:ext>
                            </a:extLst>
                          </wps:cNvPr>
                          <wps:cNvSpPr>
                            <a:spLocks noChangeAspect="1" noEditPoints="1"/>
                          </wps:cNvSpPr>
                          <wps:spPr bwMode="auto">
                            <a:xfrm>
                              <a:off x="2179292" y="4609509"/>
                              <a:ext cx="468000" cy="468000"/>
                            </a:xfrm>
                            <a:custGeom>
                              <a:avLst/>
                              <a:gdLst>
                                <a:gd name="T0" fmla="*/ 160 w 512"/>
                                <a:gd name="T1" fmla="*/ 245 h 512"/>
                                <a:gd name="T2" fmla="*/ 181 w 512"/>
                                <a:gd name="T3" fmla="*/ 224 h 512"/>
                                <a:gd name="T4" fmla="*/ 202 w 512"/>
                                <a:gd name="T5" fmla="*/ 245 h 512"/>
                                <a:gd name="T6" fmla="*/ 181 w 512"/>
                                <a:gd name="T7" fmla="*/ 266 h 512"/>
                                <a:gd name="T8" fmla="*/ 160 w 512"/>
                                <a:gd name="T9" fmla="*/ 245 h 512"/>
                                <a:gd name="T10" fmla="*/ 512 w 512"/>
                                <a:gd name="T11" fmla="*/ 256 h 512"/>
                                <a:gd name="T12" fmla="*/ 256 w 512"/>
                                <a:gd name="T13" fmla="*/ 512 h 512"/>
                                <a:gd name="T14" fmla="*/ 0 w 512"/>
                                <a:gd name="T15" fmla="*/ 256 h 512"/>
                                <a:gd name="T16" fmla="*/ 256 w 512"/>
                                <a:gd name="T17" fmla="*/ 0 h 512"/>
                                <a:gd name="T18" fmla="*/ 512 w 512"/>
                                <a:gd name="T19" fmla="*/ 256 h 512"/>
                                <a:gd name="T20" fmla="*/ 138 w 512"/>
                                <a:gd name="T21" fmla="*/ 245 h 512"/>
                                <a:gd name="T22" fmla="*/ 181 w 512"/>
                                <a:gd name="T23" fmla="*/ 288 h 512"/>
                                <a:gd name="T24" fmla="*/ 224 w 512"/>
                                <a:gd name="T25" fmla="*/ 245 h 512"/>
                                <a:gd name="T26" fmla="*/ 181 w 512"/>
                                <a:gd name="T27" fmla="*/ 202 h 512"/>
                                <a:gd name="T28" fmla="*/ 138 w 512"/>
                                <a:gd name="T29" fmla="*/ 245 h 512"/>
                                <a:gd name="T30" fmla="*/ 256 w 512"/>
                                <a:gd name="T31" fmla="*/ 320 h 512"/>
                                <a:gd name="T32" fmla="*/ 245 w 512"/>
                                <a:gd name="T33" fmla="*/ 309 h 512"/>
                                <a:gd name="T34" fmla="*/ 117 w 512"/>
                                <a:gd name="T35" fmla="*/ 309 h 512"/>
                                <a:gd name="T36" fmla="*/ 106 w 512"/>
                                <a:gd name="T37" fmla="*/ 320 h 512"/>
                                <a:gd name="T38" fmla="*/ 106 w 512"/>
                                <a:gd name="T39" fmla="*/ 352 h 512"/>
                                <a:gd name="T40" fmla="*/ 117 w 512"/>
                                <a:gd name="T41" fmla="*/ 362 h 512"/>
                                <a:gd name="T42" fmla="*/ 128 w 512"/>
                                <a:gd name="T43" fmla="*/ 352 h 512"/>
                                <a:gd name="T44" fmla="*/ 128 w 512"/>
                                <a:gd name="T45" fmla="*/ 330 h 512"/>
                                <a:gd name="T46" fmla="*/ 234 w 512"/>
                                <a:gd name="T47" fmla="*/ 330 h 512"/>
                                <a:gd name="T48" fmla="*/ 234 w 512"/>
                                <a:gd name="T49" fmla="*/ 352 h 512"/>
                                <a:gd name="T50" fmla="*/ 245 w 512"/>
                                <a:gd name="T51" fmla="*/ 362 h 512"/>
                                <a:gd name="T52" fmla="*/ 256 w 512"/>
                                <a:gd name="T53" fmla="*/ 352 h 512"/>
                                <a:gd name="T54" fmla="*/ 256 w 512"/>
                                <a:gd name="T55" fmla="*/ 320 h 512"/>
                                <a:gd name="T56" fmla="*/ 288 w 512"/>
                                <a:gd name="T57" fmla="*/ 244 h 512"/>
                                <a:gd name="T58" fmla="*/ 277 w 512"/>
                                <a:gd name="T59" fmla="*/ 215 h 512"/>
                                <a:gd name="T60" fmla="*/ 262 w 512"/>
                                <a:gd name="T61" fmla="*/ 215 h 512"/>
                                <a:gd name="T62" fmla="*/ 261 w 512"/>
                                <a:gd name="T63" fmla="*/ 230 h 512"/>
                                <a:gd name="T64" fmla="*/ 267 w 512"/>
                                <a:gd name="T65" fmla="*/ 244 h 512"/>
                                <a:gd name="T66" fmla="*/ 261 w 512"/>
                                <a:gd name="T67" fmla="*/ 258 h 512"/>
                                <a:gd name="T68" fmla="*/ 262 w 512"/>
                                <a:gd name="T69" fmla="*/ 274 h 512"/>
                                <a:gd name="T70" fmla="*/ 269 w 512"/>
                                <a:gd name="T71" fmla="*/ 276 h 512"/>
                                <a:gd name="T72" fmla="*/ 277 w 512"/>
                                <a:gd name="T73" fmla="*/ 273 h 512"/>
                                <a:gd name="T74" fmla="*/ 288 w 512"/>
                                <a:gd name="T75" fmla="*/ 244 h 512"/>
                                <a:gd name="T76" fmla="*/ 345 w 512"/>
                                <a:gd name="T77" fmla="*/ 244 h 512"/>
                                <a:gd name="T78" fmla="*/ 310 w 512"/>
                                <a:gd name="T79" fmla="*/ 172 h 512"/>
                                <a:gd name="T80" fmla="*/ 295 w 512"/>
                                <a:gd name="T81" fmla="*/ 173 h 512"/>
                                <a:gd name="T82" fmla="*/ 296 w 512"/>
                                <a:gd name="T83" fmla="*/ 188 h 512"/>
                                <a:gd name="T84" fmla="*/ 323 w 512"/>
                                <a:gd name="T85" fmla="*/ 244 h 512"/>
                                <a:gd name="T86" fmla="*/ 296 w 512"/>
                                <a:gd name="T87" fmla="*/ 301 h 512"/>
                                <a:gd name="T88" fmla="*/ 295 w 512"/>
                                <a:gd name="T89" fmla="*/ 316 h 512"/>
                                <a:gd name="T90" fmla="*/ 303 w 512"/>
                                <a:gd name="T91" fmla="*/ 319 h 512"/>
                                <a:gd name="T92" fmla="*/ 310 w 512"/>
                                <a:gd name="T93" fmla="*/ 317 h 512"/>
                                <a:gd name="T94" fmla="*/ 345 w 512"/>
                                <a:gd name="T95" fmla="*/ 244 h 512"/>
                                <a:gd name="T96" fmla="*/ 401 w 512"/>
                                <a:gd name="T97" fmla="*/ 244 h 512"/>
                                <a:gd name="T98" fmla="*/ 344 w 512"/>
                                <a:gd name="T99" fmla="*/ 128 h 512"/>
                                <a:gd name="T100" fmla="*/ 329 w 512"/>
                                <a:gd name="T101" fmla="*/ 130 h 512"/>
                                <a:gd name="T102" fmla="*/ 331 w 512"/>
                                <a:gd name="T103" fmla="*/ 145 h 512"/>
                                <a:gd name="T104" fmla="*/ 380 w 512"/>
                                <a:gd name="T105" fmla="*/ 244 h 512"/>
                                <a:gd name="T106" fmla="*/ 331 w 512"/>
                                <a:gd name="T107" fmla="*/ 343 h 512"/>
                                <a:gd name="T108" fmla="*/ 329 w 512"/>
                                <a:gd name="T109" fmla="*/ 358 h 512"/>
                                <a:gd name="T110" fmla="*/ 337 w 512"/>
                                <a:gd name="T111" fmla="*/ 362 h 512"/>
                                <a:gd name="T112" fmla="*/ 344 w 512"/>
                                <a:gd name="T113" fmla="*/ 360 h 512"/>
                                <a:gd name="T114" fmla="*/ 401 w 512"/>
                                <a:gd name="T115" fmla="*/ 244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12" h="512">
                                  <a:moveTo>
                                    <a:pt x="160" y="245"/>
                                  </a:moveTo>
                                  <a:cubicBezTo>
                                    <a:pt x="160" y="233"/>
                                    <a:pt x="169" y="224"/>
                                    <a:pt x="181" y="224"/>
                                  </a:cubicBezTo>
                                  <a:cubicBezTo>
                                    <a:pt x="193" y="224"/>
                                    <a:pt x="202" y="233"/>
                                    <a:pt x="202" y="245"/>
                                  </a:cubicBezTo>
                                  <a:cubicBezTo>
                                    <a:pt x="202" y="257"/>
                                    <a:pt x="193" y="266"/>
                                    <a:pt x="181" y="266"/>
                                  </a:cubicBezTo>
                                  <a:cubicBezTo>
                                    <a:pt x="169" y="266"/>
                                    <a:pt x="160" y="257"/>
                                    <a:pt x="160" y="245"/>
                                  </a:cubicBezTo>
                                  <a:close/>
                                  <a:moveTo>
                                    <a:pt x="512" y="256"/>
                                  </a:moveTo>
                                  <a:cubicBezTo>
                                    <a:pt x="512" y="397"/>
                                    <a:pt x="397" y="512"/>
                                    <a:pt x="256" y="512"/>
                                  </a:cubicBezTo>
                                  <a:cubicBezTo>
                                    <a:pt x="114" y="512"/>
                                    <a:pt x="0" y="397"/>
                                    <a:pt x="0" y="256"/>
                                  </a:cubicBezTo>
                                  <a:cubicBezTo>
                                    <a:pt x="0" y="114"/>
                                    <a:pt x="114" y="0"/>
                                    <a:pt x="256" y="0"/>
                                  </a:cubicBezTo>
                                  <a:cubicBezTo>
                                    <a:pt x="397" y="0"/>
                                    <a:pt x="512" y="114"/>
                                    <a:pt x="512" y="256"/>
                                  </a:cubicBezTo>
                                  <a:close/>
                                  <a:moveTo>
                                    <a:pt x="138" y="245"/>
                                  </a:moveTo>
                                  <a:cubicBezTo>
                                    <a:pt x="138" y="269"/>
                                    <a:pt x="157" y="288"/>
                                    <a:pt x="181" y="288"/>
                                  </a:cubicBezTo>
                                  <a:cubicBezTo>
                                    <a:pt x="205" y="288"/>
                                    <a:pt x="224" y="269"/>
                                    <a:pt x="224" y="245"/>
                                  </a:cubicBezTo>
                                  <a:cubicBezTo>
                                    <a:pt x="224" y="221"/>
                                    <a:pt x="205" y="202"/>
                                    <a:pt x="181" y="202"/>
                                  </a:cubicBezTo>
                                  <a:cubicBezTo>
                                    <a:pt x="157" y="202"/>
                                    <a:pt x="138" y="221"/>
                                    <a:pt x="138" y="245"/>
                                  </a:cubicBezTo>
                                  <a:close/>
                                  <a:moveTo>
                                    <a:pt x="256" y="320"/>
                                  </a:moveTo>
                                  <a:cubicBezTo>
                                    <a:pt x="256" y="314"/>
                                    <a:pt x="251" y="309"/>
                                    <a:pt x="245" y="309"/>
                                  </a:cubicBezTo>
                                  <a:cubicBezTo>
                                    <a:pt x="117" y="309"/>
                                    <a:pt x="117" y="309"/>
                                    <a:pt x="117" y="309"/>
                                  </a:cubicBezTo>
                                  <a:cubicBezTo>
                                    <a:pt x="111" y="309"/>
                                    <a:pt x="106" y="314"/>
                                    <a:pt x="106" y="320"/>
                                  </a:cubicBezTo>
                                  <a:cubicBezTo>
                                    <a:pt x="106" y="352"/>
                                    <a:pt x="106" y="352"/>
                                    <a:pt x="106" y="352"/>
                                  </a:cubicBezTo>
                                  <a:cubicBezTo>
                                    <a:pt x="106" y="358"/>
                                    <a:pt x="111" y="362"/>
                                    <a:pt x="117" y="362"/>
                                  </a:cubicBezTo>
                                  <a:cubicBezTo>
                                    <a:pt x="123" y="362"/>
                                    <a:pt x="128" y="358"/>
                                    <a:pt x="128" y="352"/>
                                  </a:cubicBezTo>
                                  <a:cubicBezTo>
                                    <a:pt x="128" y="330"/>
                                    <a:pt x="128" y="330"/>
                                    <a:pt x="128" y="330"/>
                                  </a:cubicBezTo>
                                  <a:cubicBezTo>
                                    <a:pt x="234" y="330"/>
                                    <a:pt x="234" y="330"/>
                                    <a:pt x="234" y="330"/>
                                  </a:cubicBezTo>
                                  <a:cubicBezTo>
                                    <a:pt x="234" y="352"/>
                                    <a:pt x="234" y="352"/>
                                    <a:pt x="234" y="352"/>
                                  </a:cubicBezTo>
                                  <a:cubicBezTo>
                                    <a:pt x="234" y="358"/>
                                    <a:pt x="239" y="362"/>
                                    <a:pt x="245" y="362"/>
                                  </a:cubicBezTo>
                                  <a:cubicBezTo>
                                    <a:pt x="251" y="362"/>
                                    <a:pt x="256" y="358"/>
                                    <a:pt x="256" y="352"/>
                                  </a:cubicBezTo>
                                  <a:lnTo>
                                    <a:pt x="256" y="320"/>
                                  </a:lnTo>
                                  <a:close/>
                                  <a:moveTo>
                                    <a:pt x="288" y="244"/>
                                  </a:moveTo>
                                  <a:cubicBezTo>
                                    <a:pt x="288" y="234"/>
                                    <a:pt x="284" y="223"/>
                                    <a:pt x="277" y="215"/>
                                  </a:cubicBezTo>
                                  <a:cubicBezTo>
                                    <a:pt x="273" y="211"/>
                                    <a:pt x="266" y="211"/>
                                    <a:pt x="262" y="215"/>
                                  </a:cubicBezTo>
                                  <a:cubicBezTo>
                                    <a:pt x="257" y="219"/>
                                    <a:pt x="257" y="226"/>
                                    <a:pt x="261" y="230"/>
                                  </a:cubicBezTo>
                                  <a:cubicBezTo>
                                    <a:pt x="265" y="234"/>
                                    <a:pt x="267" y="239"/>
                                    <a:pt x="267" y="244"/>
                                  </a:cubicBezTo>
                                  <a:cubicBezTo>
                                    <a:pt x="267" y="249"/>
                                    <a:pt x="265" y="255"/>
                                    <a:pt x="261" y="258"/>
                                  </a:cubicBezTo>
                                  <a:cubicBezTo>
                                    <a:pt x="257" y="263"/>
                                    <a:pt x="257" y="269"/>
                                    <a:pt x="262" y="274"/>
                                  </a:cubicBezTo>
                                  <a:cubicBezTo>
                                    <a:pt x="264" y="275"/>
                                    <a:pt x="266" y="276"/>
                                    <a:pt x="269" y="276"/>
                                  </a:cubicBezTo>
                                  <a:cubicBezTo>
                                    <a:pt x="272" y="276"/>
                                    <a:pt x="275" y="275"/>
                                    <a:pt x="277" y="273"/>
                                  </a:cubicBezTo>
                                  <a:cubicBezTo>
                                    <a:pt x="284" y="265"/>
                                    <a:pt x="288" y="255"/>
                                    <a:pt x="288" y="244"/>
                                  </a:cubicBezTo>
                                  <a:close/>
                                  <a:moveTo>
                                    <a:pt x="345" y="244"/>
                                  </a:moveTo>
                                  <a:cubicBezTo>
                                    <a:pt x="345" y="216"/>
                                    <a:pt x="332" y="190"/>
                                    <a:pt x="310" y="172"/>
                                  </a:cubicBezTo>
                                  <a:cubicBezTo>
                                    <a:pt x="306" y="168"/>
                                    <a:pt x="299" y="168"/>
                                    <a:pt x="295" y="173"/>
                                  </a:cubicBezTo>
                                  <a:cubicBezTo>
                                    <a:pt x="291" y="177"/>
                                    <a:pt x="292" y="184"/>
                                    <a:pt x="296" y="188"/>
                                  </a:cubicBezTo>
                                  <a:cubicBezTo>
                                    <a:pt x="313" y="202"/>
                                    <a:pt x="323" y="223"/>
                                    <a:pt x="323" y="244"/>
                                  </a:cubicBezTo>
                                  <a:cubicBezTo>
                                    <a:pt x="323" y="266"/>
                                    <a:pt x="313" y="286"/>
                                    <a:pt x="296" y="301"/>
                                  </a:cubicBezTo>
                                  <a:cubicBezTo>
                                    <a:pt x="292" y="304"/>
                                    <a:pt x="291" y="311"/>
                                    <a:pt x="295" y="316"/>
                                  </a:cubicBezTo>
                                  <a:cubicBezTo>
                                    <a:pt x="297" y="318"/>
                                    <a:pt x="300" y="319"/>
                                    <a:pt x="303" y="319"/>
                                  </a:cubicBezTo>
                                  <a:cubicBezTo>
                                    <a:pt x="306" y="319"/>
                                    <a:pt x="308" y="319"/>
                                    <a:pt x="310" y="317"/>
                                  </a:cubicBezTo>
                                  <a:cubicBezTo>
                                    <a:pt x="332" y="299"/>
                                    <a:pt x="345" y="272"/>
                                    <a:pt x="345" y="244"/>
                                  </a:cubicBezTo>
                                  <a:close/>
                                  <a:moveTo>
                                    <a:pt x="401" y="244"/>
                                  </a:moveTo>
                                  <a:cubicBezTo>
                                    <a:pt x="401" y="199"/>
                                    <a:pt x="380" y="157"/>
                                    <a:pt x="344" y="128"/>
                                  </a:cubicBezTo>
                                  <a:cubicBezTo>
                                    <a:pt x="339" y="125"/>
                                    <a:pt x="333" y="126"/>
                                    <a:pt x="329" y="130"/>
                                  </a:cubicBezTo>
                                  <a:cubicBezTo>
                                    <a:pt x="325" y="135"/>
                                    <a:pt x="326" y="142"/>
                                    <a:pt x="331" y="145"/>
                                  </a:cubicBezTo>
                                  <a:cubicBezTo>
                                    <a:pt x="362" y="170"/>
                                    <a:pt x="380" y="206"/>
                                    <a:pt x="380" y="244"/>
                                  </a:cubicBezTo>
                                  <a:cubicBezTo>
                                    <a:pt x="380" y="283"/>
                                    <a:pt x="362" y="319"/>
                                    <a:pt x="331" y="343"/>
                                  </a:cubicBezTo>
                                  <a:cubicBezTo>
                                    <a:pt x="326" y="347"/>
                                    <a:pt x="325" y="354"/>
                                    <a:pt x="329" y="358"/>
                                  </a:cubicBezTo>
                                  <a:cubicBezTo>
                                    <a:pt x="331" y="361"/>
                                    <a:pt x="334" y="362"/>
                                    <a:pt x="337" y="362"/>
                                  </a:cubicBezTo>
                                  <a:cubicBezTo>
                                    <a:pt x="340" y="362"/>
                                    <a:pt x="342" y="362"/>
                                    <a:pt x="344" y="360"/>
                                  </a:cubicBezTo>
                                  <a:cubicBezTo>
                                    <a:pt x="380" y="331"/>
                                    <a:pt x="401" y="289"/>
                                    <a:pt x="401" y="244"/>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wpg:grpSp>
                      <wps:wsp>
                        <wps:cNvPr id="110" name="Rectangle 110">
                          <a:extLst>
                            <a:ext uri="{FF2B5EF4-FFF2-40B4-BE49-F238E27FC236}">
                              <a16:creationId xmlns:a16="http://schemas.microsoft.com/office/drawing/2014/main" id="{FAD6A44D-652F-4379-ADA2-C444F4A15F61}"/>
                            </a:ext>
                          </a:extLst>
                        </wps:cNvPr>
                        <wps:cNvSpPr/>
                        <wps:spPr>
                          <a:xfrm>
                            <a:off x="7273284" y="5192035"/>
                            <a:ext cx="1305169" cy="955781"/>
                          </a:xfrm>
                          <a:prstGeom prst="rect">
                            <a:avLst/>
                          </a:prstGeom>
                        </wps:spPr>
                        <wps:txbx>
                          <w:txbxContent>
                            <w:p w:rsidR="006B624F" w:rsidRDefault="006B624F" w:rsidP="00EF3329">
                              <w:pPr>
                                <w:spacing w:before="0" w:after="0" w:line="160" w:lineRule="atLeast"/>
                                <w:rPr>
                                  <w:rFonts w:hAnsi="Calibri"/>
                                  <w:color w:val="E36C0A" w:themeColor="accent6" w:themeShade="BF"/>
                                  <w:kern w:val="24"/>
                                  <w:sz w:val="12"/>
                                  <w:szCs w:val="12"/>
                                </w:rPr>
                              </w:pPr>
                              <w:r>
                                <w:rPr>
                                  <w:rFonts w:hAnsi="Calibri"/>
                                  <w:b/>
                                  <w:bCs/>
                                  <w:color w:val="E36C0A" w:themeColor="accent6" w:themeShade="BF"/>
                                  <w:kern w:val="24"/>
                                  <w:sz w:val="12"/>
                                  <w:szCs w:val="12"/>
                                </w:rPr>
                                <w:t>Final SDA review report</w:t>
                              </w:r>
                              <w:r>
                                <w:rPr>
                                  <w:rFonts w:hAnsi="Calibri"/>
                                  <w:color w:val="E36C0A" w:themeColor="accent6" w:themeShade="BF"/>
                                  <w:kern w:val="24"/>
                                  <w:sz w:val="12"/>
                                  <w:szCs w:val="12"/>
                                </w:rPr>
                                <w:t xml:space="preserve"> </w:t>
                              </w:r>
                            </w:p>
                            <w:p w:rsidR="006B624F" w:rsidRDefault="006B624F" w:rsidP="00DE3862">
                              <w:pPr>
                                <w:spacing w:before="0" w:after="0" w:line="160" w:lineRule="atLeast"/>
                              </w:pPr>
                              <w:r>
                                <w:rPr>
                                  <w:rFonts w:hAnsi="Calibri"/>
                                  <w:color w:val="E36C0A" w:themeColor="accent6" w:themeShade="BF"/>
                                  <w:kern w:val="24"/>
                                  <w:sz w:val="12"/>
                                  <w:szCs w:val="12"/>
                                </w:rPr>
                                <w:t xml:space="preserve">Final findings are presented in this report and are based on the information provided in the 2018 SDA Pricing and Payments Framework review; the first and second round of submissions and consultation; and analysis of supply and construction activity data.  </w:t>
                              </w:r>
                            </w:p>
                          </w:txbxContent>
                        </wps:txbx>
                        <wps:bodyPr wrap="square" lIns="0" tIns="0" rIns="0" bIns="0">
                          <a:noAutofit/>
                        </wps:bodyPr>
                      </wps:wsp>
                      <wps:wsp>
                        <wps:cNvPr id="111" name="TextBox 13">
                          <a:extLst>
                            <a:ext uri="{FF2B5EF4-FFF2-40B4-BE49-F238E27FC236}">
                              <a16:creationId xmlns:a16="http://schemas.microsoft.com/office/drawing/2014/main" id="{FEAD46C0-DAF6-4BE4-88DC-56D2302C9081}"/>
                            </a:ext>
                          </a:extLst>
                        </wps:cNvPr>
                        <wps:cNvSpPr txBox="1"/>
                        <wps:spPr>
                          <a:xfrm>
                            <a:off x="7589151" y="4700594"/>
                            <a:ext cx="285922" cy="442035"/>
                          </a:xfrm>
                          <a:prstGeom prst="rect">
                            <a:avLst/>
                          </a:prstGeom>
                          <a:noFill/>
                        </wps:spPr>
                        <wps:txbx>
                          <w:txbxContent>
                            <w:p w:rsidR="006B624F" w:rsidRDefault="006B624F" w:rsidP="007C422F">
                              <w:pPr>
                                <w:spacing w:before="0" w:after="0"/>
                              </w:pPr>
                              <w:r>
                                <w:rPr>
                                  <w:rFonts w:hAnsi="Calibri"/>
                                  <w:b/>
                                  <w:bCs/>
                                  <w:color w:val="E36C0A" w:themeColor="accent6" w:themeShade="BF"/>
                                  <w:kern w:val="24"/>
                                  <w:sz w:val="48"/>
                                  <w:szCs w:val="48"/>
                                </w:rPr>
                                <w:t>4</w:t>
                              </w:r>
                            </w:p>
                          </w:txbxContent>
                        </wps:txbx>
                        <wps:bodyPr wrap="square" lIns="36000" tIns="36000" rIns="36000" bIns="36000" rtlCol="0">
                          <a:noAutofit/>
                        </wps:bodyPr>
                      </wps:wsp>
                      <wps:wsp>
                        <wps:cNvPr id="112" name="Diagonal Stripe 112">
                          <a:extLst>
                            <a:ext uri="{FF2B5EF4-FFF2-40B4-BE49-F238E27FC236}">
                              <a16:creationId xmlns:a16="http://schemas.microsoft.com/office/drawing/2014/main" id="{CE2C438C-81D1-4C58-A473-B16D18CB7C7F}"/>
                            </a:ext>
                          </a:extLst>
                        </wps:cNvPr>
                        <wps:cNvSpPr/>
                        <wps:spPr>
                          <a:xfrm>
                            <a:off x="6460674" y="4818427"/>
                            <a:ext cx="1120874" cy="1120874"/>
                          </a:xfrm>
                          <a:prstGeom prst="diagStripe">
                            <a:avLst/>
                          </a:prstGeom>
                          <a:solidFill>
                            <a:schemeClr val="accent6"/>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13" name="Diagonal Stripe 113">
                          <a:extLst>
                            <a:ext uri="{FF2B5EF4-FFF2-40B4-BE49-F238E27FC236}">
                              <a16:creationId xmlns:a16="http://schemas.microsoft.com/office/drawing/2014/main" id="{C3E085BE-6AEC-4557-B3FF-7271CFE9B6BB}"/>
                            </a:ext>
                          </a:extLst>
                        </wps:cNvPr>
                        <wps:cNvSpPr/>
                        <wps:spPr>
                          <a:xfrm flipV="1">
                            <a:off x="6460674" y="3647389"/>
                            <a:ext cx="1120874" cy="1120874"/>
                          </a:xfrm>
                          <a:prstGeom prst="diagStripe">
                            <a:avLst/>
                          </a:prstGeom>
                          <a:solidFill>
                            <a:schemeClr val="tx2"/>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114" name="Freeform 114">
                          <a:extLst>
                            <a:ext uri="{FF2B5EF4-FFF2-40B4-BE49-F238E27FC236}">
                              <a16:creationId xmlns:a16="http://schemas.microsoft.com/office/drawing/2014/main" id="{1116A1AA-BD68-4CF3-9FAE-9A02CA1B247D}"/>
                            </a:ext>
                          </a:extLst>
                        </wps:cNvPr>
                        <wps:cNvSpPr>
                          <a:spLocks noChangeAspect="1" noEditPoints="1"/>
                        </wps:cNvSpPr>
                        <wps:spPr bwMode="auto">
                          <a:xfrm>
                            <a:off x="4260292" y="4609509"/>
                            <a:ext cx="468000" cy="468000"/>
                          </a:xfrm>
                          <a:custGeom>
                            <a:avLst/>
                            <a:gdLst>
                              <a:gd name="T0" fmla="*/ 277 w 512"/>
                              <a:gd name="T1" fmla="*/ 394 h 512"/>
                              <a:gd name="T2" fmla="*/ 149 w 512"/>
                              <a:gd name="T3" fmla="*/ 202 h 512"/>
                              <a:gd name="T4" fmla="*/ 170 w 512"/>
                              <a:gd name="T5" fmla="*/ 224 h 512"/>
                              <a:gd name="T6" fmla="*/ 266 w 512"/>
                              <a:gd name="T7" fmla="*/ 234 h 512"/>
                              <a:gd name="T8" fmla="*/ 170 w 512"/>
                              <a:gd name="T9" fmla="*/ 245 h 512"/>
                              <a:gd name="T10" fmla="*/ 170 w 512"/>
                              <a:gd name="T11" fmla="*/ 224 h 512"/>
                              <a:gd name="T12" fmla="*/ 256 w 512"/>
                              <a:gd name="T13" fmla="*/ 266 h 512"/>
                              <a:gd name="T14" fmla="*/ 256 w 512"/>
                              <a:gd name="T15" fmla="*/ 288 h 512"/>
                              <a:gd name="T16" fmla="*/ 160 w 512"/>
                              <a:gd name="T17" fmla="*/ 277 h 512"/>
                              <a:gd name="T18" fmla="*/ 170 w 512"/>
                              <a:gd name="T19" fmla="*/ 309 h 512"/>
                              <a:gd name="T20" fmla="*/ 266 w 512"/>
                              <a:gd name="T21" fmla="*/ 320 h 512"/>
                              <a:gd name="T22" fmla="*/ 170 w 512"/>
                              <a:gd name="T23" fmla="*/ 330 h 512"/>
                              <a:gd name="T24" fmla="*/ 170 w 512"/>
                              <a:gd name="T25" fmla="*/ 309 h 512"/>
                              <a:gd name="T26" fmla="*/ 256 w 512"/>
                              <a:gd name="T27" fmla="*/ 352 h 512"/>
                              <a:gd name="T28" fmla="*/ 256 w 512"/>
                              <a:gd name="T29" fmla="*/ 373 h 512"/>
                              <a:gd name="T30" fmla="*/ 160 w 512"/>
                              <a:gd name="T31" fmla="*/ 362 h 512"/>
                              <a:gd name="T32" fmla="*/ 256 w 512"/>
                              <a:gd name="T33" fmla="*/ 0 h 512"/>
                              <a:gd name="T34" fmla="*/ 256 w 512"/>
                              <a:gd name="T35" fmla="*/ 512 h 512"/>
                              <a:gd name="T36" fmla="*/ 256 w 512"/>
                              <a:gd name="T37" fmla="*/ 0 h 512"/>
                              <a:gd name="T38" fmla="*/ 288 w 512"/>
                              <a:gd name="T39" fmla="*/ 416 h 512"/>
                              <a:gd name="T40" fmla="*/ 128 w 512"/>
                              <a:gd name="T41" fmla="*/ 405 h 512"/>
                              <a:gd name="T42" fmla="*/ 138 w 512"/>
                              <a:gd name="T43" fmla="*/ 181 h 512"/>
                              <a:gd name="T44" fmla="*/ 298 w 512"/>
                              <a:gd name="T45" fmla="*/ 192 h 512"/>
                              <a:gd name="T46" fmla="*/ 341 w 512"/>
                              <a:gd name="T47" fmla="*/ 362 h 512"/>
                              <a:gd name="T48" fmla="*/ 320 w 512"/>
                              <a:gd name="T49" fmla="*/ 362 h 512"/>
                              <a:gd name="T50" fmla="*/ 181 w 512"/>
                              <a:gd name="T51" fmla="*/ 160 h 512"/>
                              <a:gd name="T52" fmla="*/ 181 w 512"/>
                              <a:gd name="T53" fmla="*/ 138 h 512"/>
                              <a:gd name="T54" fmla="*/ 341 w 512"/>
                              <a:gd name="T55" fmla="*/ 149 h 512"/>
                              <a:gd name="T56" fmla="*/ 384 w 512"/>
                              <a:gd name="T57" fmla="*/ 320 h 512"/>
                              <a:gd name="T58" fmla="*/ 362 w 512"/>
                              <a:gd name="T59" fmla="*/ 320 h 512"/>
                              <a:gd name="T60" fmla="*/ 224 w 512"/>
                              <a:gd name="T61" fmla="*/ 117 h 512"/>
                              <a:gd name="T62" fmla="*/ 224 w 512"/>
                              <a:gd name="T63" fmla="*/ 96 h 512"/>
                              <a:gd name="T64" fmla="*/ 384 w 512"/>
                              <a:gd name="T65" fmla="*/ 106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2" h="512">
                                <a:moveTo>
                                  <a:pt x="149" y="394"/>
                                </a:moveTo>
                                <a:cubicBezTo>
                                  <a:pt x="277" y="394"/>
                                  <a:pt x="277" y="394"/>
                                  <a:pt x="277" y="394"/>
                                </a:cubicBezTo>
                                <a:cubicBezTo>
                                  <a:pt x="277" y="202"/>
                                  <a:pt x="277" y="202"/>
                                  <a:pt x="277" y="202"/>
                                </a:cubicBezTo>
                                <a:cubicBezTo>
                                  <a:pt x="149" y="202"/>
                                  <a:pt x="149" y="202"/>
                                  <a:pt x="149" y="202"/>
                                </a:cubicBezTo>
                                <a:lnTo>
                                  <a:pt x="149" y="394"/>
                                </a:lnTo>
                                <a:close/>
                                <a:moveTo>
                                  <a:pt x="170" y="224"/>
                                </a:moveTo>
                                <a:cubicBezTo>
                                  <a:pt x="256" y="224"/>
                                  <a:pt x="256" y="224"/>
                                  <a:pt x="256" y="224"/>
                                </a:cubicBezTo>
                                <a:cubicBezTo>
                                  <a:pt x="262" y="224"/>
                                  <a:pt x="266" y="228"/>
                                  <a:pt x="266" y="234"/>
                                </a:cubicBezTo>
                                <a:cubicBezTo>
                                  <a:pt x="266" y="240"/>
                                  <a:pt x="262" y="245"/>
                                  <a:pt x="256" y="245"/>
                                </a:cubicBezTo>
                                <a:cubicBezTo>
                                  <a:pt x="170" y="245"/>
                                  <a:pt x="170" y="245"/>
                                  <a:pt x="170" y="245"/>
                                </a:cubicBezTo>
                                <a:cubicBezTo>
                                  <a:pt x="164" y="245"/>
                                  <a:pt x="160" y="240"/>
                                  <a:pt x="160" y="234"/>
                                </a:cubicBezTo>
                                <a:cubicBezTo>
                                  <a:pt x="160" y="228"/>
                                  <a:pt x="164" y="224"/>
                                  <a:pt x="170" y="224"/>
                                </a:cubicBezTo>
                                <a:close/>
                                <a:moveTo>
                                  <a:pt x="170" y="266"/>
                                </a:moveTo>
                                <a:cubicBezTo>
                                  <a:pt x="256" y="266"/>
                                  <a:pt x="256" y="266"/>
                                  <a:pt x="256" y="266"/>
                                </a:cubicBezTo>
                                <a:cubicBezTo>
                                  <a:pt x="262" y="266"/>
                                  <a:pt x="266" y="271"/>
                                  <a:pt x="266" y="277"/>
                                </a:cubicBezTo>
                                <a:cubicBezTo>
                                  <a:pt x="266" y="283"/>
                                  <a:pt x="262" y="288"/>
                                  <a:pt x="256" y="288"/>
                                </a:cubicBezTo>
                                <a:cubicBezTo>
                                  <a:pt x="170" y="288"/>
                                  <a:pt x="170" y="288"/>
                                  <a:pt x="170" y="288"/>
                                </a:cubicBezTo>
                                <a:cubicBezTo>
                                  <a:pt x="164" y="288"/>
                                  <a:pt x="160" y="283"/>
                                  <a:pt x="160" y="277"/>
                                </a:cubicBezTo>
                                <a:cubicBezTo>
                                  <a:pt x="160" y="271"/>
                                  <a:pt x="164" y="266"/>
                                  <a:pt x="170" y="266"/>
                                </a:cubicBezTo>
                                <a:close/>
                                <a:moveTo>
                                  <a:pt x="170" y="309"/>
                                </a:moveTo>
                                <a:cubicBezTo>
                                  <a:pt x="256" y="309"/>
                                  <a:pt x="256" y="309"/>
                                  <a:pt x="256" y="309"/>
                                </a:cubicBezTo>
                                <a:cubicBezTo>
                                  <a:pt x="262" y="309"/>
                                  <a:pt x="266" y="314"/>
                                  <a:pt x="266" y="320"/>
                                </a:cubicBezTo>
                                <a:cubicBezTo>
                                  <a:pt x="266" y="326"/>
                                  <a:pt x="262" y="330"/>
                                  <a:pt x="256" y="330"/>
                                </a:cubicBezTo>
                                <a:cubicBezTo>
                                  <a:pt x="170" y="330"/>
                                  <a:pt x="170" y="330"/>
                                  <a:pt x="170" y="330"/>
                                </a:cubicBezTo>
                                <a:cubicBezTo>
                                  <a:pt x="164" y="330"/>
                                  <a:pt x="160" y="326"/>
                                  <a:pt x="160" y="320"/>
                                </a:cubicBezTo>
                                <a:cubicBezTo>
                                  <a:pt x="160" y="314"/>
                                  <a:pt x="164" y="309"/>
                                  <a:pt x="170" y="309"/>
                                </a:cubicBezTo>
                                <a:close/>
                                <a:moveTo>
                                  <a:pt x="170" y="352"/>
                                </a:moveTo>
                                <a:cubicBezTo>
                                  <a:pt x="256" y="352"/>
                                  <a:pt x="256" y="352"/>
                                  <a:pt x="256" y="352"/>
                                </a:cubicBezTo>
                                <a:cubicBezTo>
                                  <a:pt x="262" y="352"/>
                                  <a:pt x="266" y="356"/>
                                  <a:pt x="266" y="362"/>
                                </a:cubicBezTo>
                                <a:cubicBezTo>
                                  <a:pt x="266" y="368"/>
                                  <a:pt x="262" y="373"/>
                                  <a:pt x="256" y="373"/>
                                </a:cubicBezTo>
                                <a:cubicBezTo>
                                  <a:pt x="170" y="373"/>
                                  <a:pt x="170" y="373"/>
                                  <a:pt x="170" y="373"/>
                                </a:cubicBezTo>
                                <a:cubicBezTo>
                                  <a:pt x="164" y="373"/>
                                  <a:pt x="160" y="368"/>
                                  <a:pt x="160" y="362"/>
                                </a:cubicBezTo>
                                <a:cubicBezTo>
                                  <a:pt x="160" y="356"/>
                                  <a:pt x="164" y="352"/>
                                  <a:pt x="170" y="352"/>
                                </a:cubicBezTo>
                                <a:close/>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298" y="405"/>
                                </a:moveTo>
                                <a:cubicBezTo>
                                  <a:pt x="298" y="411"/>
                                  <a:pt x="294" y="416"/>
                                  <a:pt x="288" y="416"/>
                                </a:cubicBezTo>
                                <a:cubicBezTo>
                                  <a:pt x="138" y="416"/>
                                  <a:pt x="138" y="416"/>
                                  <a:pt x="138" y="416"/>
                                </a:cubicBezTo>
                                <a:cubicBezTo>
                                  <a:pt x="132" y="416"/>
                                  <a:pt x="128" y="411"/>
                                  <a:pt x="128" y="405"/>
                                </a:cubicBezTo>
                                <a:cubicBezTo>
                                  <a:pt x="128" y="192"/>
                                  <a:pt x="128" y="192"/>
                                  <a:pt x="128" y="192"/>
                                </a:cubicBezTo>
                                <a:cubicBezTo>
                                  <a:pt x="128" y="186"/>
                                  <a:pt x="132" y="181"/>
                                  <a:pt x="138" y="181"/>
                                </a:cubicBezTo>
                                <a:cubicBezTo>
                                  <a:pt x="288" y="181"/>
                                  <a:pt x="288" y="181"/>
                                  <a:pt x="288" y="181"/>
                                </a:cubicBezTo>
                                <a:cubicBezTo>
                                  <a:pt x="294" y="181"/>
                                  <a:pt x="298" y="186"/>
                                  <a:pt x="298" y="192"/>
                                </a:cubicBezTo>
                                <a:lnTo>
                                  <a:pt x="298" y="405"/>
                                </a:lnTo>
                                <a:close/>
                                <a:moveTo>
                                  <a:pt x="341" y="362"/>
                                </a:moveTo>
                                <a:cubicBezTo>
                                  <a:pt x="341" y="368"/>
                                  <a:pt x="336" y="373"/>
                                  <a:pt x="330" y="373"/>
                                </a:cubicBezTo>
                                <a:cubicBezTo>
                                  <a:pt x="324" y="373"/>
                                  <a:pt x="320" y="368"/>
                                  <a:pt x="320" y="362"/>
                                </a:cubicBezTo>
                                <a:cubicBezTo>
                                  <a:pt x="320" y="160"/>
                                  <a:pt x="320" y="160"/>
                                  <a:pt x="320" y="160"/>
                                </a:cubicBezTo>
                                <a:cubicBezTo>
                                  <a:pt x="181" y="160"/>
                                  <a:pt x="181" y="160"/>
                                  <a:pt x="181" y="160"/>
                                </a:cubicBezTo>
                                <a:cubicBezTo>
                                  <a:pt x="175" y="160"/>
                                  <a:pt x="170" y="155"/>
                                  <a:pt x="170" y="149"/>
                                </a:cubicBezTo>
                                <a:cubicBezTo>
                                  <a:pt x="170" y="143"/>
                                  <a:pt x="175" y="138"/>
                                  <a:pt x="181" y="138"/>
                                </a:cubicBezTo>
                                <a:cubicBezTo>
                                  <a:pt x="330" y="138"/>
                                  <a:pt x="330" y="138"/>
                                  <a:pt x="330" y="138"/>
                                </a:cubicBezTo>
                                <a:cubicBezTo>
                                  <a:pt x="336" y="138"/>
                                  <a:pt x="341" y="143"/>
                                  <a:pt x="341" y="149"/>
                                </a:cubicBezTo>
                                <a:lnTo>
                                  <a:pt x="341" y="362"/>
                                </a:lnTo>
                                <a:close/>
                                <a:moveTo>
                                  <a:pt x="384" y="320"/>
                                </a:moveTo>
                                <a:cubicBezTo>
                                  <a:pt x="384" y="326"/>
                                  <a:pt x="379" y="330"/>
                                  <a:pt x="373" y="330"/>
                                </a:cubicBezTo>
                                <a:cubicBezTo>
                                  <a:pt x="367" y="330"/>
                                  <a:pt x="362" y="326"/>
                                  <a:pt x="362" y="320"/>
                                </a:cubicBezTo>
                                <a:cubicBezTo>
                                  <a:pt x="362" y="117"/>
                                  <a:pt x="362" y="117"/>
                                  <a:pt x="362" y="117"/>
                                </a:cubicBezTo>
                                <a:cubicBezTo>
                                  <a:pt x="224" y="117"/>
                                  <a:pt x="224" y="117"/>
                                  <a:pt x="224" y="117"/>
                                </a:cubicBezTo>
                                <a:cubicBezTo>
                                  <a:pt x="218" y="117"/>
                                  <a:pt x="213" y="112"/>
                                  <a:pt x="213" y="106"/>
                                </a:cubicBezTo>
                                <a:cubicBezTo>
                                  <a:pt x="213" y="100"/>
                                  <a:pt x="218" y="96"/>
                                  <a:pt x="224" y="96"/>
                                </a:cubicBezTo>
                                <a:cubicBezTo>
                                  <a:pt x="373" y="96"/>
                                  <a:pt x="373" y="96"/>
                                  <a:pt x="373" y="96"/>
                                </a:cubicBezTo>
                                <a:cubicBezTo>
                                  <a:pt x="379" y="96"/>
                                  <a:pt x="384" y="100"/>
                                  <a:pt x="384" y="106"/>
                                </a:cubicBezTo>
                                <a:lnTo>
                                  <a:pt x="384" y="320"/>
                                </a:lnTo>
                                <a:close/>
                              </a:path>
                            </a:pathLst>
                          </a:custGeom>
                          <a:solidFill>
                            <a:schemeClr val="accent5"/>
                          </a:solidFill>
                          <a:ln>
                            <a:noFill/>
                          </a:ln>
                        </wps:spPr>
                        <wps:bodyPr vert="horz" wrap="square" lIns="91440" tIns="45720" rIns="91440" bIns="45720" numCol="1" anchor="t" anchorCtr="0" compatLnSpc="1">
                          <a:prstTxWarp prst="textNoShape">
                            <a:avLst/>
                          </a:prstTxWarp>
                        </wps:bodyPr>
                      </wps:wsp>
                      <wps:wsp>
                        <wps:cNvPr id="115" name="Freeform 115">
                          <a:extLst>
                            <a:ext uri="{FF2B5EF4-FFF2-40B4-BE49-F238E27FC236}">
                              <a16:creationId xmlns:a16="http://schemas.microsoft.com/office/drawing/2014/main" id="{B1580230-D28A-46FF-908A-5F2697395783}"/>
                            </a:ext>
                          </a:extLst>
                        </wps:cNvPr>
                        <wps:cNvSpPr>
                          <a:spLocks noChangeAspect="1" noEditPoints="1"/>
                        </wps:cNvSpPr>
                        <wps:spPr bwMode="auto">
                          <a:xfrm>
                            <a:off x="6402690" y="4559345"/>
                            <a:ext cx="468000" cy="468000"/>
                          </a:xfrm>
                          <a:custGeom>
                            <a:avLst/>
                            <a:gdLst>
                              <a:gd name="T0" fmla="*/ 176 w 512"/>
                              <a:gd name="T1" fmla="*/ 170 h 512"/>
                              <a:gd name="T2" fmla="*/ 352 w 512"/>
                              <a:gd name="T3" fmla="*/ 170 h 512"/>
                              <a:gd name="T4" fmla="*/ 352 w 512"/>
                              <a:gd name="T5" fmla="*/ 394 h 512"/>
                              <a:gd name="T6" fmla="*/ 176 w 512"/>
                              <a:gd name="T7" fmla="*/ 394 h 512"/>
                              <a:gd name="T8" fmla="*/ 160 w 512"/>
                              <a:gd name="T9" fmla="*/ 378 h 512"/>
                              <a:gd name="T10" fmla="*/ 160 w 512"/>
                              <a:gd name="T11" fmla="*/ 167 h 512"/>
                              <a:gd name="T12" fmla="*/ 176 w 512"/>
                              <a:gd name="T13" fmla="*/ 170 h 512"/>
                              <a:gd name="T14" fmla="*/ 176 w 512"/>
                              <a:gd name="T15" fmla="*/ 149 h 512"/>
                              <a:gd name="T16" fmla="*/ 323 w 512"/>
                              <a:gd name="T17" fmla="*/ 149 h 512"/>
                              <a:gd name="T18" fmla="*/ 320 w 512"/>
                              <a:gd name="T19" fmla="*/ 133 h 512"/>
                              <a:gd name="T20" fmla="*/ 323 w 512"/>
                              <a:gd name="T21" fmla="*/ 117 h 512"/>
                              <a:gd name="T22" fmla="*/ 176 w 512"/>
                              <a:gd name="T23" fmla="*/ 117 h 512"/>
                              <a:gd name="T24" fmla="*/ 160 w 512"/>
                              <a:gd name="T25" fmla="*/ 133 h 512"/>
                              <a:gd name="T26" fmla="*/ 176 w 512"/>
                              <a:gd name="T27" fmla="*/ 149 h 512"/>
                              <a:gd name="T28" fmla="*/ 512 w 512"/>
                              <a:gd name="T29" fmla="*/ 256 h 512"/>
                              <a:gd name="T30" fmla="*/ 256 w 512"/>
                              <a:gd name="T31" fmla="*/ 512 h 512"/>
                              <a:gd name="T32" fmla="*/ 0 w 512"/>
                              <a:gd name="T33" fmla="*/ 256 h 512"/>
                              <a:gd name="T34" fmla="*/ 256 w 512"/>
                              <a:gd name="T35" fmla="*/ 0 h 512"/>
                              <a:gd name="T36" fmla="*/ 512 w 512"/>
                              <a:gd name="T37" fmla="*/ 256 h 512"/>
                              <a:gd name="T38" fmla="*/ 341 w 512"/>
                              <a:gd name="T39" fmla="*/ 133 h 512"/>
                              <a:gd name="T40" fmla="*/ 346 w 512"/>
                              <a:gd name="T41" fmla="*/ 117 h 512"/>
                              <a:gd name="T42" fmla="*/ 364 w 512"/>
                              <a:gd name="T43" fmla="*/ 117 h 512"/>
                              <a:gd name="T44" fmla="*/ 373 w 512"/>
                              <a:gd name="T45" fmla="*/ 106 h 512"/>
                              <a:gd name="T46" fmla="*/ 364 w 512"/>
                              <a:gd name="T47" fmla="*/ 96 h 512"/>
                              <a:gd name="T48" fmla="*/ 176 w 512"/>
                              <a:gd name="T49" fmla="*/ 96 h 512"/>
                              <a:gd name="T50" fmla="*/ 138 w 512"/>
                              <a:gd name="T51" fmla="*/ 133 h 512"/>
                              <a:gd name="T52" fmla="*/ 138 w 512"/>
                              <a:gd name="T53" fmla="*/ 378 h 512"/>
                              <a:gd name="T54" fmla="*/ 176 w 512"/>
                              <a:gd name="T55" fmla="*/ 416 h 512"/>
                              <a:gd name="T56" fmla="*/ 362 w 512"/>
                              <a:gd name="T57" fmla="*/ 416 h 512"/>
                              <a:gd name="T58" fmla="*/ 373 w 512"/>
                              <a:gd name="T59" fmla="*/ 405 h 512"/>
                              <a:gd name="T60" fmla="*/ 373 w 512"/>
                              <a:gd name="T61" fmla="*/ 160 h 512"/>
                              <a:gd name="T62" fmla="*/ 362 w 512"/>
                              <a:gd name="T63" fmla="*/ 149 h 512"/>
                              <a:gd name="T64" fmla="*/ 346 w 512"/>
                              <a:gd name="T65" fmla="*/ 149 h 512"/>
                              <a:gd name="T66" fmla="*/ 341 w 512"/>
                              <a:gd name="T67" fmla="*/ 133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2" h="512">
                                <a:moveTo>
                                  <a:pt x="176" y="170"/>
                                </a:moveTo>
                                <a:cubicBezTo>
                                  <a:pt x="178" y="170"/>
                                  <a:pt x="352" y="170"/>
                                  <a:pt x="352" y="170"/>
                                </a:cubicBezTo>
                                <a:cubicBezTo>
                                  <a:pt x="352" y="394"/>
                                  <a:pt x="352" y="394"/>
                                  <a:pt x="352" y="394"/>
                                </a:cubicBezTo>
                                <a:cubicBezTo>
                                  <a:pt x="176" y="394"/>
                                  <a:pt x="176" y="394"/>
                                  <a:pt x="176" y="394"/>
                                </a:cubicBezTo>
                                <a:cubicBezTo>
                                  <a:pt x="167" y="394"/>
                                  <a:pt x="160" y="387"/>
                                  <a:pt x="160" y="378"/>
                                </a:cubicBezTo>
                                <a:cubicBezTo>
                                  <a:pt x="160" y="167"/>
                                  <a:pt x="160" y="167"/>
                                  <a:pt x="160" y="167"/>
                                </a:cubicBezTo>
                                <a:cubicBezTo>
                                  <a:pt x="165" y="169"/>
                                  <a:pt x="170" y="170"/>
                                  <a:pt x="176" y="170"/>
                                </a:cubicBezTo>
                                <a:close/>
                                <a:moveTo>
                                  <a:pt x="176" y="149"/>
                                </a:moveTo>
                                <a:cubicBezTo>
                                  <a:pt x="177" y="149"/>
                                  <a:pt x="268" y="149"/>
                                  <a:pt x="323" y="149"/>
                                </a:cubicBezTo>
                                <a:cubicBezTo>
                                  <a:pt x="321" y="144"/>
                                  <a:pt x="320" y="139"/>
                                  <a:pt x="320" y="133"/>
                                </a:cubicBezTo>
                                <a:cubicBezTo>
                                  <a:pt x="320" y="127"/>
                                  <a:pt x="321" y="122"/>
                                  <a:pt x="323" y="117"/>
                                </a:cubicBezTo>
                                <a:cubicBezTo>
                                  <a:pt x="176" y="117"/>
                                  <a:pt x="176" y="117"/>
                                  <a:pt x="176" y="117"/>
                                </a:cubicBezTo>
                                <a:cubicBezTo>
                                  <a:pt x="167" y="117"/>
                                  <a:pt x="160" y="124"/>
                                  <a:pt x="160" y="133"/>
                                </a:cubicBezTo>
                                <a:cubicBezTo>
                                  <a:pt x="160" y="142"/>
                                  <a:pt x="167" y="149"/>
                                  <a:pt x="176" y="149"/>
                                </a:cubicBezTo>
                                <a:close/>
                                <a:moveTo>
                                  <a:pt x="512" y="256"/>
                                </a:moveTo>
                                <a:cubicBezTo>
                                  <a:pt x="512" y="397"/>
                                  <a:pt x="397" y="512"/>
                                  <a:pt x="256" y="512"/>
                                </a:cubicBezTo>
                                <a:cubicBezTo>
                                  <a:pt x="114" y="512"/>
                                  <a:pt x="0" y="397"/>
                                  <a:pt x="0" y="256"/>
                                </a:cubicBezTo>
                                <a:cubicBezTo>
                                  <a:pt x="0" y="114"/>
                                  <a:pt x="114" y="0"/>
                                  <a:pt x="256" y="0"/>
                                </a:cubicBezTo>
                                <a:cubicBezTo>
                                  <a:pt x="397" y="0"/>
                                  <a:pt x="512" y="114"/>
                                  <a:pt x="512" y="256"/>
                                </a:cubicBezTo>
                                <a:close/>
                                <a:moveTo>
                                  <a:pt x="341" y="133"/>
                                </a:moveTo>
                                <a:cubicBezTo>
                                  <a:pt x="341" y="127"/>
                                  <a:pt x="343" y="122"/>
                                  <a:pt x="346" y="117"/>
                                </a:cubicBezTo>
                                <a:cubicBezTo>
                                  <a:pt x="364" y="117"/>
                                  <a:pt x="364" y="117"/>
                                  <a:pt x="364" y="117"/>
                                </a:cubicBezTo>
                                <a:cubicBezTo>
                                  <a:pt x="369" y="117"/>
                                  <a:pt x="373" y="112"/>
                                  <a:pt x="373" y="106"/>
                                </a:cubicBezTo>
                                <a:cubicBezTo>
                                  <a:pt x="373" y="100"/>
                                  <a:pt x="369" y="96"/>
                                  <a:pt x="364" y="96"/>
                                </a:cubicBezTo>
                                <a:cubicBezTo>
                                  <a:pt x="176" y="96"/>
                                  <a:pt x="176" y="96"/>
                                  <a:pt x="176" y="96"/>
                                </a:cubicBezTo>
                                <a:cubicBezTo>
                                  <a:pt x="155" y="96"/>
                                  <a:pt x="138" y="112"/>
                                  <a:pt x="138" y="133"/>
                                </a:cubicBezTo>
                                <a:cubicBezTo>
                                  <a:pt x="138" y="378"/>
                                  <a:pt x="138" y="378"/>
                                  <a:pt x="138" y="378"/>
                                </a:cubicBezTo>
                                <a:cubicBezTo>
                                  <a:pt x="138" y="399"/>
                                  <a:pt x="155" y="416"/>
                                  <a:pt x="176" y="416"/>
                                </a:cubicBezTo>
                                <a:cubicBezTo>
                                  <a:pt x="362" y="416"/>
                                  <a:pt x="362" y="416"/>
                                  <a:pt x="362" y="416"/>
                                </a:cubicBezTo>
                                <a:cubicBezTo>
                                  <a:pt x="368" y="416"/>
                                  <a:pt x="373" y="411"/>
                                  <a:pt x="373" y="405"/>
                                </a:cubicBezTo>
                                <a:cubicBezTo>
                                  <a:pt x="373" y="160"/>
                                  <a:pt x="373" y="160"/>
                                  <a:pt x="373" y="160"/>
                                </a:cubicBezTo>
                                <a:cubicBezTo>
                                  <a:pt x="373" y="154"/>
                                  <a:pt x="368" y="149"/>
                                  <a:pt x="362" y="149"/>
                                </a:cubicBezTo>
                                <a:cubicBezTo>
                                  <a:pt x="362" y="149"/>
                                  <a:pt x="356" y="149"/>
                                  <a:pt x="346" y="149"/>
                                </a:cubicBezTo>
                                <a:cubicBezTo>
                                  <a:pt x="343" y="144"/>
                                  <a:pt x="341" y="139"/>
                                  <a:pt x="341" y="133"/>
                                </a:cubicBezTo>
                                <a:close/>
                              </a:path>
                            </a:pathLst>
                          </a:custGeom>
                          <a:solidFill>
                            <a:schemeClr val="tx2"/>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35617AB1" id="Group 10" o:spid="_x0000_s1026" alt="Figure 1: Consultation process&#10;This figure shows the four steps that are involved in the consultation process.&#10;The first step is the initial submission. The second step is stakeholder consultation. The third step is the second round of submissions.&#10;The fourth step is the Final SDA Review Report." style="width:476.3pt;height:291.15pt;mso-position-horizontal-relative:char;mso-position-vertical-relative:line" coordorigin="820,36473" coordsize="84964,2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">
                <v:group id="Group 94" o:spid="_x0000_s1027" style="position:absolute;left:820;top:36975;width:62961;height:24672" coordorigin="820,36975" coordsize="62961,2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5" o:spid="_x0000_s1028" style="position:absolute;left:1699;top:36975;width:62082;height:24672" coordorigin="1699,36975" coordsize="83754,3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029" style="position:absolute;left:12696;top:57819;width:16454;height:1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6B624F" w:rsidRDefault="006B624F" w:rsidP="00EF3329">
                            <w:pPr>
                              <w:spacing w:before="0" w:after="0" w:line="160" w:lineRule="atLeast"/>
                            </w:pPr>
                            <w:r>
                              <w:rPr>
                                <w:rFonts w:hAnsi="Calibri"/>
                                <w:b/>
                                <w:bCs/>
                                <w:color w:val="6B2976" w:themeColor="accent4"/>
                                <w:kern w:val="24"/>
                                <w:sz w:val="12"/>
                                <w:szCs w:val="12"/>
                              </w:rPr>
                              <w:t>Initial submissions</w:t>
                            </w:r>
                          </w:p>
                          <w:p w:rsidR="006B624F" w:rsidRDefault="006B624F" w:rsidP="00EF3329">
                            <w:pPr>
                              <w:spacing w:before="0" w:after="0" w:line="160" w:lineRule="atLeast"/>
                              <w:rPr>
                                <w:rFonts w:hAnsi="Calibri"/>
                                <w:color w:val="6B2976" w:themeColor="accent4"/>
                                <w:kern w:val="24"/>
                                <w:sz w:val="12"/>
                                <w:szCs w:val="12"/>
                              </w:rPr>
                            </w:pPr>
                            <w:r>
                              <w:rPr>
                                <w:rFonts w:hAnsi="Calibri"/>
                                <w:color w:val="6B2976" w:themeColor="accent4"/>
                                <w:kern w:val="24"/>
                                <w:sz w:val="12"/>
                                <w:szCs w:val="12"/>
                              </w:rPr>
                              <w:t>Initial submissions to the SDA Limited Cost Assumptions Review closed at 5:00pm AEST on Friday 16 May 2019.</w:t>
                            </w:r>
                          </w:p>
                          <w:p w:rsidR="006B624F" w:rsidRDefault="006B624F" w:rsidP="00EF3329">
                            <w:pPr>
                              <w:spacing w:before="0" w:after="0" w:line="160" w:lineRule="atLeast"/>
                            </w:pPr>
                          </w:p>
                        </w:txbxContent>
                      </v:textbox>
                    </v:rect>
                    <v:shapetype id="_x0000_t202" coordsize="21600,21600" o:spt="202" path="m,l,21600r21600,l21600,xe">
                      <v:stroke joinstyle="miter"/>
                      <v:path gradientshapeok="t" o:connecttype="rect"/>
                    </v:shapetype>
                    <v:shape id="TextBox 22" o:spid="_x0000_s1030" type="#_x0000_t202" style="position:absolute;left:16820;top:51184;width:385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" filled="f" stroked="f">
                      <v:textbox inset="1mm,1mm,1mm,1mm">
                        <w:txbxContent>
                          <w:p w:rsidR="006B624F" w:rsidRDefault="006B624F" w:rsidP="007C422F">
                            <w:pPr>
                              <w:spacing w:before="0" w:after="0"/>
                            </w:pPr>
                            <w:r>
                              <w:rPr>
                                <w:rFonts w:hAnsi="Calibri"/>
                                <w:b/>
                                <w:bCs/>
                                <w:color w:val="6B2976" w:themeColor="accent4"/>
                                <w:kern w:val="24"/>
                                <w:sz w:val="48"/>
                                <w:szCs w:val="48"/>
                              </w:rPr>
                              <w:t>1</w:t>
                            </w:r>
                          </w:p>
                        </w:txbxContent>
                      </v:textbox>
                    </v:shape>
                    <v:rect id="Rectangle 98" o:spid="_x0000_s1031" style="position:absolute;left:40593;top:57816;width:16738;height:1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6B624F" w:rsidRDefault="006B624F" w:rsidP="00EF3329">
                            <w:pPr>
                              <w:spacing w:before="0" w:after="0" w:line="160" w:lineRule="atLeast"/>
                            </w:pPr>
                            <w:r>
                              <w:rPr>
                                <w:rFonts w:hAnsi="Calibri"/>
                                <w:b/>
                                <w:bCs/>
                                <w:color w:val="C0504D" w:themeColor="accent2"/>
                                <w:kern w:val="24"/>
                                <w:sz w:val="12"/>
                                <w:szCs w:val="12"/>
                              </w:rPr>
                              <w:t>Stakeholder consultations</w:t>
                            </w:r>
                          </w:p>
                          <w:p w:rsidR="006B624F" w:rsidRDefault="006B624F" w:rsidP="00EF3329">
                            <w:pPr>
                              <w:spacing w:before="0" w:after="0" w:line="160" w:lineRule="atLeast"/>
                              <w:rPr>
                                <w:rFonts w:hAnsi="Calibri"/>
                                <w:color w:val="C0504D" w:themeColor="accent2"/>
                                <w:kern w:val="24"/>
                                <w:sz w:val="12"/>
                                <w:szCs w:val="12"/>
                              </w:rPr>
                            </w:pPr>
                            <w:r>
                              <w:rPr>
                                <w:rFonts w:hAnsi="Calibri"/>
                                <w:color w:val="C0504D" w:themeColor="accent2"/>
                                <w:kern w:val="24"/>
                                <w:sz w:val="12"/>
                                <w:szCs w:val="12"/>
                              </w:rPr>
                              <w:t>Follow-up consultation with industry stakeholders from submitted responses were held.</w:t>
                            </w:r>
                          </w:p>
                          <w:p w:rsidR="006B624F" w:rsidRDefault="006B624F" w:rsidP="00EF3329">
                            <w:pPr>
                              <w:spacing w:before="0" w:after="0" w:line="160" w:lineRule="atLeast"/>
                            </w:pPr>
                          </w:p>
                        </w:txbxContent>
                      </v:textbox>
                    </v:rect>
                    <v:rect id="Rectangle 99" o:spid="_x0000_s1032" style="position:absolute;left:68503;top:57813;width:16950;height:1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6B624F" w:rsidRDefault="006B624F" w:rsidP="00EF3329">
                            <w:pPr>
                              <w:spacing w:before="0" w:after="0" w:line="160" w:lineRule="atLeast"/>
                            </w:pPr>
                            <w:r>
                              <w:rPr>
                                <w:rFonts w:hAnsi="Calibri"/>
                                <w:b/>
                                <w:bCs/>
                                <w:color w:val="4BACC6" w:themeColor="accent5"/>
                                <w:kern w:val="24"/>
                                <w:sz w:val="12"/>
                                <w:szCs w:val="12"/>
                              </w:rPr>
                              <w:t>Second round of submissions</w:t>
                            </w:r>
                          </w:p>
                          <w:p w:rsidR="006B624F" w:rsidRDefault="006B624F" w:rsidP="00EF3329">
                            <w:pPr>
                              <w:spacing w:before="0" w:after="0" w:line="160" w:lineRule="atLeast"/>
                            </w:pPr>
                            <w:r>
                              <w:rPr>
                                <w:rFonts w:hAnsi="Calibri"/>
                                <w:color w:val="4BACC6" w:themeColor="accent5"/>
                                <w:kern w:val="24"/>
                                <w:sz w:val="12"/>
                                <w:szCs w:val="12"/>
                              </w:rPr>
                              <w:t>The second round of submissions was open to new and previous stakeholders.</w:t>
                            </w:r>
                          </w:p>
                          <w:p w:rsidR="006B624F" w:rsidRDefault="006B624F" w:rsidP="00EF3329">
                            <w:pPr>
                              <w:spacing w:before="0" w:after="0" w:line="160" w:lineRule="atLeast"/>
                            </w:pPr>
                            <w:r>
                              <w:rPr>
                                <w:rFonts w:hAnsi="Calibri"/>
                                <w:color w:val="4BACC6" w:themeColor="accent5"/>
                                <w:kern w:val="24"/>
                                <w:sz w:val="12"/>
                                <w:szCs w:val="12"/>
                              </w:rPr>
                              <w:t>Conversations between the NDIA and stakeholders were also held.</w:t>
                            </w:r>
                          </w:p>
                        </w:txbxContent>
                      </v:textbox>
                    </v:rect>
                    <v:shape id="TextBox 25" o:spid="_x0000_s1033" type="#_x0000_t202" style="position:absolute;left:44904;top:51184;width:385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" filled="f" stroked="f">
                      <v:textbox inset="1mm,1mm,1mm,1mm">
                        <w:txbxContent>
                          <w:p w:rsidR="006B624F" w:rsidRDefault="006B624F" w:rsidP="007C422F">
                            <w:pPr>
                              <w:spacing w:before="0" w:after="0"/>
                            </w:pPr>
                            <w:r>
                              <w:rPr>
                                <w:rFonts w:hAnsi="Calibri"/>
                                <w:b/>
                                <w:bCs/>
                                <w:color w:val="C0504D" w:themeColor="accent2"/>
                                <w:kern w:val="24"/>
                                <w:sz w:val="48"/>
                                <w:szCs w:val="48"/>
                              </w:rPr>
                              <w:t>2</w:t>
                            </w:r>
                          </w:p>
                        </w:txbxContent>
                      </v:textbox>
                    </v:shape>
                    <v:shape id="TextBox 26" o:spid="_x0000_s1034" type="#_x0000_t202" style="position:absolute;left:72771;top:51184;width:3857;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" filled="f" stroked="f">
                      <v:textbox inset="1mm,1mm,1mm,1mm">
                        <w:txbxContent>
                          <w:p w:rsidR="006B624F" w:rsidRDefault="006B624F" w:rsidP="007C422F">
                            <w:pPr>
                              <w:spacing w:before="0" w:after="0"/>
                            </w:pPr>
                            <w:r>
                              <w:rPr>
                                <w:rFonts w:hAnsi="Calibri"/>
                                <w:b/>
                                <w:bCs/>
                                <w:color w:val="4BACC6" w:themeColor="accent5"/>
                                <w:kern w:val="24"/>
                                <w:sz w:val="48"/>
                                <w:szCs w:val="48"/>
                              </w:rPr>
                              <w:t>3</w:t>
                            </w:r>
                          </w:p>
                        </w:txbxContent>
                      </v:textbox>
                    </v:shape>
                    <v:shape id="Diagonal Stripe 102" o:spid="_x0000_s1035" style="position:absolute;left:1699;top:52773;width:15121;height:15122;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" path="m,756084l756084,r756084,l,1512168,,756084xe" fillcolor="#9bbb59 [3206]" stroked="f" strokeweight="1pt">
                      <v:stroke joinstyle="miter"/>
                      <v:path arrowok="t" o:connecttype="custom" o:connectlocs="0,756084;756084,0;1512168,0;0,1512168;0,756084" o:connectangles="0,0,0,0,0"/>
                    </v:shape>
                    <v:shape id="Diagonal Stripe 103" o:spid="_x0000_s1036" style="position:absolute;left:1699;top:36975;width:15121;height:15122;flip:y;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" path="m,756084l756084,r756084,l,1512168,,756084xe" fillcolor="#6b2976 [3207]" stroked="f" strokeweight="1pt">
                      <v:stroke joinstyle="miter"/>
                      <v:path arrowok="t" o:connecttype="custom" o:connectlocs="0,756084;756084,0;1512168,0;0,1512168;0,756084" o:connectangles="0,0,0,0,0"/>
                    </v:shape>
                    <v:shape id="Diagonal Stripe 104" o:spid="_x0000_s1037" style="position:absolute;left:57547;top:52773;width:15121;height:15122;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" path="m,756084l756084,r756084,l,1512168,,756084xe" fillcolor="#92cddc [1944]" stroked="f" strokeweight="1pt">
                      <v:stroke joinstyle="miter"/>
                      <v:path arrowok="t" o:connecttype="custom" o:connectlocs="0,756084;756084,0;1512168,0;0,1512168;0,756084" o:connectangles="0,0,0,0,0"/>
                    </v:shape>
                    <v:shape id="Diagonal Stripe 105" o:spid="_x0000_s1038" style="position:absolute;left:57547;top:36975;width:15121;height:15122;flip:y;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" path="m,756084l756084,r756084,l,1512168,,756084xe" fillcolor="#4bacc6 [3208]" stroked="f" strokeweight="1pt">
                      <v:stroke joinstyle="miter"/>
                      <v:path arrowok="t" o:connecttype="custom" o:connectlocs="0,756084;756084,0;1512168,0;0,1512168;0,756084" o:connectangles="0,0,0,0,0"/>
                    </v:shape>
                    <v:shape id="Diagonal Stripe 106" o:spid="_x0000_s1039" style="position:absolute;left:29623;top:52773;width:15121;height:15122;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" path="m,756084l756084,r756084,l,1512168,,756084xe" fillcolor="#4f81bd [3204]" stroked="f" strokeweight="1pt">
                      <v:stroke joinstyle="miter"/>
                      <v:path arrowok="t" o:connecttype="custom" o:connectlocs="0,756084;756084,0;1512168,0;0,1512168;0,756084" o:connectangles="0,0,0,0,0"/>
                    </v:shape>
                    <v:shape id="Diagonal Stripe 107" o:spid="_x0000_s1040" style="position:absolute;left:29623;top:36975;width:15121;height:15122;flip:y;visibility:visible;mso-wrap-style:square;v-text-anchor:middle" coordsize="1512168,15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" path="m,756084l756084,r756084,l,1512168,,756084xe" fillcolor="#c0504d [3205]" stroked="f" strokeweight="1pt">
                      <v:stroke joinstyle="miter"/>
                      <v:path arrowok="t" o:connecttype="custom" o:connectlocs="0,756084;756084,0;1512168,0;0,1512168;0,756084" o:connectangles="0,0,0,0,0"/>
                    </v:shape>
                  </v:group>
                  <v:shape id="Freeform 108" o:spid="_x0000_s1041" style="position:absolute;left:820;top:46029;width:4680;height:4680;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" path="m149,394v128,,128,,128,c277,202,277,202,277,202v-128,,-128,,-128,l149,394xm170,224v86,,86,,86,c262,224,266,228,266,234v,6,-4,11,-10,11c170,245,170,245,170,245v-6,,-10,-5,-10,-11c160,228,164,224,170,224xm170,266v86,,86,,86,c262,266,266,271,266,277v,6,-4,11,-10,11c170,288,170,288,170,288v-6,,-10,-5,-10,-11c160,271,164,266,170,266xm170,309v86,,86,,86,c262,309,266,314,266,320v,6,-4,10,-10,10c170,330,170,330,170,330v-6,,-10,-4,-10,-10c160,314,164,309,170,309xm170,352v86,,86,,86,c262,352,266,356,266,362v,6,-4,11,-10,11c170,373,170,373,170,373v-6,,-10,-5,-10,-11c160,356,164,352,170,352xm256,c114,,,114,,256,,397,114,512,256,512v141,,256,-115,256,-256c512,114,397,,256,xm298,405v,6,-4,11,-10,11c138,416,138,416,138,416v-6,,-10,-5,-10,-11c128,192,128,192,128,192v,-6,4,-11,10,-11c288,181,288,181,288,181v6,,10,5,10,11l298,405xm341,362v,6,-5,11,-11,11c324,373,320,368,320,362v,-202,,-202,,-202c181,160,181,160,181,160v-6,,-11,-5,-11,-11c170,143,175,138,181,138v149,,149,,149,c336,138,341,143,341,149r,213xm384,320v,6,-5,10,-11,10c367,330,362,326,362,320v,-203,,-203,,-203c224,117,224,117,224,117v-6,,-11,-5,-11,-11c213,100,218,96,224,96v149,,149,,149,c379,96,384,100,384,106r,214xe" fillcolor="#6b2976 [3207]" stroked="f">
                    <v:path arrowok="t" o:connecttype="custom" o:connectlocs="253195,360141;136195,184641;155391,204750;243141,213891;155391,223945;155391,204750;234000,243141;234000,263250;146250,253195;155391,282445;243141,292500;155391,301641;155391,282445;234000,321750;234000,340945;146250,330891;234000,0;234000,468000;234000,0;263250,380250;117000,370195;126141,165445;272391,175500;311695,330891;292500,330891;165445,146250;165445,126141;311695,136195;351000,292500;330891,292500;204750,106945;204750,87750;351000,96891" o:connectangles="0,0,0,0,0,0,0,0,0,0,0,0,0,0,0,0,0,0,0,0,0,0,0,0,0,0,0,0,0,0,0,0,0"/>
                    <o:lock v:ext="edit" aspectratio="t" verticies="t"/>
                  </v:shape>
                  <v:shape id="Freeform 109" o:spid="_x0000_s1042" style="position:absolute;left:21792;top:46095;width:4680;height:4680;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" path="m160,245v,-12,9,-21,21,-21c193,224,202,233,202,245v,12,-9,21,-21,21c169,266,160,257,160,245xm512,256v,141,-115,256,-256,256c114,512,,397,,256,,114,114,,256,,397,,512,114,512,256xm138,245v,24,19,43,43,43c205,288,224,269,224,245v,-24,-19,-43,-43,-43c157,202,138,221,138,245xm256,320v,-6,-5,-11,-11,-11c117,309,117,309,117,309v-6,,-11,5,-11,11c106,352,106,352,106,352v,6,5,10,11,10c123,362,128,358,128,352v,-22,,-22,,-22c234,330,234,330,234,330v,22,,22,,22c234,358,239,362,245,362v6,,11,-4,11,-10l256,320xm288,244v,-10,-4,-21,-11,-29c273,211,266,211,262,215v-5,4,-5,11,-1,15c265,234,267,239,267,244v,5,-2,11,-6,14c257,263,257,269,262,274v2,1,4,2,7,2c272,276,275,275,277,273v7,-8,11,-18,11,-29xm345,244v,-28,-13,-54,-35,-72c306,168,299,168,295,173v-4,4,-3,11,1,15c313,202,323,223,323,244v,22,-10,42,-27,57c292,304,291,311,295,316v2,2,5,3,8,3c306,319,308,319,310,317v22,-18,35,-45,35,-73xm401,244v,-45,-21,-87,-57,-116c339,125,333,126,329,130v-4,5,-3,12,2,15c362,170,380,206,380,244v,39,-18,75,-49,99c326,347,325,354,329,358v2,3,5,4,8,4c340,362,342,362,344,360v36,-29,57,-71,57,-116xe" fillcolor="#c0504d [3205]" stroked="f">
                    <v:path arrowok="t" o:connecttype="custom" o:connectlocs="146250,223945;165445,204750;184641,223945;165445,243141;146250,223945;468000,234000;234000,468000;0,234000;234000,0;468000,234000;126141,223945;165445,263250;204750,223945;165445,184641;126141,223945;234000,292500;223945,282445;106945,282445;96891,292500;96891,321750;106945,330891;117000,321750;117000,301641;213891,301641;213891,321750;223945,330891;234000,321750;234000,292500;263250,223031;253195,196523;239484,196523;238570,210234;244055,223031;238570,235828;239484,250453;245883,252281;253195,249539;263250,223031;315352,223031;283359,157219;269648,158133;270563,171844;295242,223031;270563,275133;269648,288844;276961,291586;283359,289758;315352,223031;366539,223031;314438,117000;300727,118828;302555,132539;347344,223031;302555,313523;300727,327234;308039,330891;314438,329063;366539,223031" o:connectangles="0,0,0,0,0,0,0,0,0,0,0,0,0,0,0,0,0,0,0,0,0,0,0,0,0,0,0,0,0,0,0,0,0,0,0,0,0,0,0,0,0,0,0,0,0,0,0,0,0,0,0,0,0,0,0,0,0,0"/>
                    <o:lock v:ext="edit" aspectratio="t" verticies="t"/>
                  </v:shape>
                </v:group>
                <v:rect id="Rectangle 110" o:spid="_x0000_s1043" style="position:absolute;left:72732;top:51920;width:13052;height:9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6B624F" w:rsidRDefault="006B624F" w:rsidP="00EF3329">
                        <w:pPr>
                          <w:spacing w:before="0" w:after="0" w:line="160" w:lineRule="atLeast"/>
                          <w:rPr>
                            <w:rFonts w:hAnsi="Calibri"/>
                            <w:color w:val="E36C0A" w:themeColor="accent6" w:themeShade="BF"/>
                            <w:kern w:val="24"/>
                            <w:sz w:val="12"/>
                            <w:szCs w:val="12"/>
                          </w:rPr>
                        </w:pPr>
                        <w:r>
                          <w:rPr>
                            <w:rFonts w:hAnsi="Calibri"/>
                            <w:b/>
                            <w:bCs/>
                            <w:color w:val="E36C0A" w:themeColor="accent6" w:themeShade="BF"/>
                            <w:kern w:val="24"/>
                            <w:sz w:val="12"/>
                            <w:szCs w:val="12"/>
                          </w:rPr>
                          <w:t>Final SDA review report</w:t>
                        </w:r>
                        <w:r>
                          <w:rPr>
                            <w:rFonts w:hAnsi="Calibri"/>
                            <w:color w:val="E36C0A" w:themeColor="accent6" w:themeShade="BF"/>
                            <w:kern w:val="24"/>
                            <w:sz w:val="12"/>
                            <w:szCs w:val="12"/>
                          </w:rPr>
                          <w:t xml:space="preserve"> </w:t>
                        </w:r>
                      </w:p>
                      <w:p w:rsidR="006B624F" w:rsidRDefault="006B624F" w:rsidP="00DE3862">
                        <w:pPr>
                          <w:spacing w:before="0" w:after="0" w:line="160" w:lineRule="atLeast"/>
                        </w:pPr>
                        <w:r>
                          <w:rPr>
                            <w:rFonts w:hAnsi="Calibri"/>
                            <w:color w:val="E36C0A" w:themeColor="accent6" w:themeShade="BF"/>
                            <w:kern w:val="24"/>
                            <w:sz w:val="12"/>
                            <w:szCs w:val="12"/>
                          </w:rPr>
                          <w:t xml:space="preserve">Final findings are presented in this report and are based on the information provided in the 2018 SDA Pricing and Payments Framework review; the first and second round of submissions and consultation; and analysis of supply and construction activity data.  </w:t>
                        </w:r>
                      </w:p>
                    </w:txbxContent>
                  </v:textbox>
                </v:rect>
                <v:shape id="TextBox 13" o:spid="_x0000_s1044" type="#_x0000_t202" style="position:absolute;left:75891;top:47005;width:2859;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" filled="f" stroked="f">
                  <v:textbox inset="1mm,1mm,1mm,1mm">
                    <w:txbxContent>
                      <w:p w:rsidR="006B624F" w:rsidRDefault="006B624F" w:rsidP="007C422F">
                        <w:pPr>
                          <w:spacing w:before="0" w:after="0"/>
                        </w:pPr>
                        <w:r>
                          <w:rPr>
                            <w:rFonts w:hAnsi="Calibri"/>
                            <w:b/>
                            <w:bCs/>
                            <w:color w:val="E36C0A" w:themeColor="accent6" w:themeShade="BF"/>
                            <w:kern w:val="24"/>
                            <w:sz w:val="48"/>
                            <w:szCs w:val="48"/>
                          </w:rPr>
                          <w:t>4</w:t>
                        </w:r>
                      </w:p>
                    </w:txbxContent>
                  </v:textbox>
                </v:shape>
                <v:shape id="Diagonal Stripe 112" o:spid="_x0000_s1045" style="position:absolute;left:64606;top:48184;width:11209;height:11209;visibility:visible;mso-wrap-style:square;v-text-anchor:middle" coordsize="1120874,112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" path="m,560437l560437,r560437,l,1120874,,560437xe" fillcolor="#f79646 [3209]" stroked="f" strokeweight="1pt">
                  <v:stroke joinstyle="miter"/>
                  <v:path arrowok="t" o:connecttype="custom" o:connectlocs="0,560437;560437,0;1120874,0;0,1120874;0,560437" o:connectangles="0,0,0,0,0"/>
                </v:shape>
                <v:shape id="Diagonal Stripe 113" o:spid="_x0000_s1046" style="position:absolute;left:64606;top:36473;width:11209;height:11209;flip:y;visibility:visible;mso-wrap-style:square;v-text-anchor:middle" coordsize="1120874,112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" path="m,560437l560437,r560437,l,1120874,,560437xe" fillcolor="#1f497d [3215]" stroked="f" strokeweight="1pt">
                  <v:stroke joinstyle="miter"/>
                  <v:path arrowok="t" o:connecttype="custom" o:connectlocs="0,560437;560437,0;1120874,0;0,1120874;0,560437" o:connectangles="0,0,0,0,0"/>
                </v:shape>
                <v:shape id="Freeform 114" o:spid="_x0000_s1047" style="position:absolute;left:42602;top:46095;width:4680;height:4680;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" path="m149,394v128,,128,,128,c277,202,277,202,277,202v-128,,-128,,-128,l149,394xm170,224v86,,86,,86,c262,224,266,228,266,234v,6,-4,11,-10,11c170,245,170,245,170,245v-6,,-10,-5,-10,-11c160,228,164,224,170,224xm170,266v86,,86,,86,c262,266,266,271,266,277v,6,-4,11,-10,11c170,288,170,288,170,288v-6,,-10,-5,-10,-11c160,271,164,266,170,266xm170,309v86,,86,,86,c262,309,266,314,266,320v,6,-4,10,-10,10c170,330,170,330,170,330v-6,,-10,-4,-10,-10c160,314,164,309,170,309xm170,352v86,,86,,86,c262,352,266,356,266,362v,6,-4,11,-10,11c170,373,170,373,170,373v-6,,-10,-5,-10,-11c160,356,164,352,170,352xm256,c114,,,114,,256,,397,114,512,256,512v141,,256,-115,256,-256c512,114,397,,256,xm298,405v,6,-4,11,-10,11c138,416,138,416,138,416v-6,,-10,-5,-10,-11c128,192,128,192,128,192v,-6,4,-11,10,-11c288,181,288,181,288,181v6,,10,5,10,11l298,405xm341,362v,6,-5,11,-11,11c324,373,320,368,320,362v,-202,,-202,,-202c181,160,181,160,181,160v-6,,-11,-5,-11,-11c170,143,175,138,181,138v149,,149,,149,c336,138,341,143,341,149r,213xm384,320v,6,-5,10,-11,10c367,330,362,326,362,320v,-203,,-203,,-203c224,117,224,117,224,117v-6,,-11,-5,-11,-11c213,100,218,96,224,96v149,,149,,149,c379,96,384,100,384,106r,214xe" fillcolor="#4bacc6 [3208]" stroked="f">
                  <v:path arrowok="t" o:connecttype="custom" o:connectlocs="253195,360141;136195,184641;155391,204750;243141,213891;155391,223945;155391,204750;234000,243141;234000,263250;146250,253195;155391,282445;243141,292500;155391,301641;155391,282445;234000,321750;234000,340945;146250,330891;234000,0;234000,468000;234000,0;263250,380250;117000,370195;126141,165445;272391,175500;311695,330891;292500,330891;165445,146250;165445,126141;311695,136195;351000,292500;330891,292500;204750,106945;204750,87750;351000,96891" o:connectangles="0,0,0,0,0,0,0,0,0,0,0,0,0,0,0,0,0,0,0,0,0,0,0,0,0,0,0,0,0,0,0,0,0"/>
                  <o:lock v:ext="edit" aspectratio="t" verticies="t"/>
                </v:shape>
                <v:shape id="Freeform 115" o:spid="_x0000_s1048" style="position:absolute;left:64026;top:45593;width:4680;height:4680;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" path="m176,170v2,,176,,176,c352,394,352,394,352,394v-176,,-176,,-176,c167,394,160,387,160,378v,-211,,-211,,-211c165,169,170,170,176,170xm176,149v1,,92,,147,c321,144,320,139,320,133v,-6,1,-11,3,-16c176,117,176,117,176,117v-9,,-16,7,-16,16c160,142,167,149,176,149xm512,256v,141,-115,256,-256,256c114,512,,397,,256,,114,114,,256,,397,,512,114,512,256xm341,133v,-6,2,-11,5,-16c364,117,364,117,364,117v5,,9,-5,9,-11c373,100,369,96,364,96v-188,,-188,,-188,c155,96,138,112,138,133v,245,,245,,245c138,399,155,416,176,416v186,,186,,186,c368,416,373,411,373,405v,-245,,-245,,-245c373,154,368,149,362,149v,,-6,,-16,c343,144,341,139,341,133xe" fillcolor="#1f497d [3215]" stroked="f">
                  <v:path arrowok="t" o:connecttype="custom" o:connectlocs="160875,155391;321750,155391;321750,360141;160875,360141;146250,345516;146250,152648;160875,155391;160875,136195;295242,136195;292500,121570;295242,106945;160875,106945;146250,121570;160875,136195;468000,234000;234000,468000;0,234000;234000,0;468000,234000;311695,121570;316266,106945;332719,106945;340945,96891;332719,87750;160875,87750;126141,121570;126141,345516;160875,380250;330891,380250;340945,370195;340945,146250;330891,136195;316266,136195;311695,121570" o:connectangles="0,0,0,0,0,0,0,0,0,0,0,0,0,0,0,0,0,0,0,0,0,0,0,0,0,0,0,0,0,0,0,0,0,0"/>
                  <o:lock v:ext="edit" aspectratio="t" verticies="t"/>
                </v:shape>
                <w10:anchorlock/>
              </v:group>
            </w:pict>
          </mc:Fallback>
        </mc:AlternateContent>
      </w:r>
    </w:p>
    <w:p w:rsidR="007C422F" w:rsidRPr="00F64913" w:rsidRDefault="007C422F" w:rsidP="007C422F">
      <w:pPr>
        <w:spacing w:before="120" w:after="120"/>
        <w:rPr>
          <w:lang w:val="en-AU"/>
        </w:rPr>
      </w:pPr>
      <w:r>
        <w:rPr>
          <w:rFonts w:ascii="Arial" w:hAnsi="Arial" w:cs="Arial"/>
          <w:lang w:val="en-AU"/>
        </w:rPr>
        <w:t>T</w:t>
      </w:r>
      <w:r w:rsidR="00FD4484" w:rsidRPr="00F64913">
        <w:rPr>
          <w:rFonts w:ascii="Arial" w:hAnsi="Arial" w:cs="Arial"/>
          <w:lang w:val="en-AU"/>
        </w:rPr>
        <w:t xml:space="preserve">he first round of </w:t>
      </w:r>
      <w:r w:rsidR="00A11ACA">
        <w:rPr>
          <w:rFonts w:ascii="Arial" w:hAnsi="Arial" w:cs="Arial"/>
          <w:lang w:val="en-AU"/>
        </w:rPr>
        <w:t xml:space="preserve">public </w:t>
      </w:r>
      <w:r w:rsidR="00FD4484" w:rsidRPr="00F64913">
        <w:rPr>
          <w:rFonts w:ascii="Arial" w:hAnsi="Arial" w:cs="Arial"/>
          <w:lang w:val="en-AU"/>
        </w:rPr>
        <w:t>submissions closed on Friday 17 May 2019 and provided the initial focus for the assump</w:t>
      </w:r>
      <w:r>
        <w:rPr>
          <w:rFonts w:ascii="Arial" w:hAnsi="Arial" w:cs="Arial"/>
          <w:lang w:val="en-AU"/>
        </w:rPr>
        <w:t>tions to be considered in the R</w:t>
      </w:r>
      <w:r w:rsidR="00FD4484" w:rsidRPr="00F64913">
        <w:rPr>
          <w:rFonts w:ascii="Arial" w:hAnsi="Arial" w:cs="Arial"/>
          <w:lang w:val="en-AU"/>
        </w:rPr>
        <w:t xml:space="preserve">eview. </w:t>
      </w:r>
      <w:r w:rsidRPr="00F64913">
        <w:rPr>
          <w:lang w:val="en-AU"/>
        </w:rPr>
        <w:t xml:space="preserve">The following organisations provided submissions during the </w:t>
      </w:r>
      <w:r w:rsidR="00475D83">
        <w:rPr>
          <w:lang w:val="en-AU"/>
        </w:rPr>
        <w:t>first submission phase</w:t>
      </w:r>
      <w:r w:rsidRPr="00F64913">
        <w:rPr>
          <w:lang w:val="en-AU"/>
        </w:rPr>
        <w:t>:</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Summer Housing</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Summer Foundation</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Blue CHP</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SDA Alliance</w:t>
      </w:r>
      <w:r w:rsidR="00780334">
        <w:rPr>
          <w:lang w:val="en-AU"/>
        </w:rPr>
        <w:t xml:space="preserve"> (including a combined submission and further individual contributions from a number of members)</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Hume Community Housing</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Illowra Projects</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Macquarie Bank (Macquarie Infrastructure Real Assets)</w:t>
      </w:r>
    </w:p>
    <w:p w:rsidR="007C422F" w:rsidRPr="00F64913" w:rsidRDefault="007C422F" w:rsidP="00752550">
      <w:pPr>
        <w:numPr>
          <w:ilvl w:val="0"/>
          <w:numId w:val="1"/>
        </w:numPr>
        <w:rPr>
          <w:rFonts w:cs="ArialMT"/>
          <w:color w:val="6B2976"/>
          <w:sz w:val="36"/>
          <w:szCs w:val="36"/>
          <w:lang w:val="en-AU"/>
        </w:rPr>
      </w:pPr>
      <w:r w:rsidRPr="00F64913">
        <w:rPr>
          <w:lang w:val="en-AU"/>
        </w:rPr>
        <w:t>Australian Dual Diagnosis Recovery Network</w:t>
      </w:r>
    </w:p>
    <w:p w:rsidR="00780334" w:rsidRDefault="00780334" w:rsidP="007C422F">
      <w:pPr>
        <w:rPr>
          <w:rFonts w:ascii="Arial" w:hAnsi="Arial" w:cs="Arial"/>
          <w:lang w:val="en-AU"/>
        </w:rPr>
      </w:pPr>
      <w:r>
        <w:rPr>
          <w:rFonts w:ascii="Arial" w:hAnsi="Arial" w:cs="Arial"/>
          <w:lang w:val="en-AU"/>
        </w:rPr>
        <w:t xml:space="preserve">Several </w:t>
      </w:r>
      <w:r w:rsidR="005732EF">
        <w:rPr>
          <w:rFonts w:ascii="Arial" w:hAnsi="Arial" w:cs="Arial"/>
          <w:lang w:val="en-AU"/>
        </w:rPr>
        <w:t xml:space="preserve">other </w:t>
      </w:r>
      <w:r>
        <w:rPr>
          <w:rFonts w:ascii="Arial" w:hAnsi="Arial" w:cs="Arial"/>
          <w:lang w:val="en-AU"/>
        </w:rPr>
        <w:t>individuals also made submissions in their personal capacities to the Review.</w:t>
      </w:r>
    </w:p>
    <w:p w:rsidR="007C422F" w:rsidRDefault="007C422F" w:rsidP="007C422F">
      <w:pPr>
        <w:rPr>
          <w:rFonts w:ascii="Arial" w:hAnsi="Arial" w:cs="Arial"/>
          <w:lang w:val="en-AU"/>
        </w:rPr>
      </w:pPr>
      <w:r w:rsidRPr="00F64913">
        <w:rPr>
          <w:rFonts w:ascii="Arial" w:hAnsi="Arial" w:cs="Arial"/>
          <w:lang w:val="en-AU"/>
        </w:rPr>
        <w:t xml:space="preserve">Follow-up consultations occurred with some of the industry stakeholders who submitted responses. The follow-up consultations </w:t>
      </w:r>
      <w:r>
        <w:rPr>
          <w:rFonts w:ascii="Arial" w:hAnsi="Arial" w:cs="Arial"/>
          <w:lang w:val="en-AU"/>
        </w:rPr>
        <w:t>sought</w:t>
      </w:r>
      <w:r w:rsidRPr="00F64913">
        <w:rPr>
          <w:rFonts w:ascii="Arial" w:hAnsi="Arial" w:cs="Arial"/>
          <w:lang w:val="en-AU"/>
        </w:rPr>
        <w:t xml:space="preserve"> additional and supporting evidence regarding construction and other costs to support written submissions. These initial submissions and consultations provided the </w:t>
      </w:r>
      <w:r>
        <w:rPr>
          <w:rFonts w:ascii="Arial" w:hAnsi="Arial" w:cs="Arial"/>
          <w:lang w:val="en-AU"/>
        </w:rPr>
        <w:t xml:space="preserve">foundation for the Interim Report of the SDA </w:t>
      </w:r>
      <w:r w:rsidR="000A58A3">
        <w:rPr>
          <w:rFonts w:ascii="Arial" w:hAnsi="Arial" w:cs="Arial"/>
          <w:lang w:val="en-AU"/>
        </w:rPr>
        <w:t>Limited Cost Assumptions</w:t>
      </w:r>
      <w:r>
        <w:rPr>
          <w:rFonts w:ascii="Arial" w:hAnsi="Arial" w:cs="Arial"/>
          <w:lang w:val="en-AU"/>
        </w:rPr>
        <w:t xml:space="preserve"> Review, which </w:t>
      </w:r>
      <w:r w:rsidRPr="00F64913">
        <w:rPr>
          <w:rFonts w:ascii="Arial" w:hAnsi="Arial" w:cs="Arial"/>
          <w:lang w:val="en-AU"/>
        </w:rPr>
        <w:t xml:space="preserve">was submitted to the SDA Reference Group for comment. </w:t>
      </w:r>
    </w:p>
    <w:p w:rsidR="007C422F" w:rsidRPr="00F64913" w:rsidRDefault="007C422F" w:rsidP="007C422F">
      <w:pPr>
        <w:rPr>
          <w:lang w:val="en-AU"/>
        </w:rPr>
      </w:pPr>
      <w:r>
        <w:rPr>
          <w:rFonts w:ascii="Arial" w:hAnsi="Arial" w:cs="Arial"/>
          <w:lang w:val="en-AU"/>
        </w:rPr>
        <w:t>Following consideration of the I</w:t>
      </w:r>
      <w:r w:rsidR="00FD4484" w:rsidRPr="00F64913">
        <w:rPr>
          <w:rFonts w:ascii="Arial" w:hAnsi="Arial" w:cs="Arial"/>
          <w:lang w:val="en-AU"/>
        </w:rPr>
        <w:t xml:space="preserve">nterim </w:t>
      </w:r>
      <w:r>
        <w:rPr>
          <w:rFonts w:ascii="Arial" w:hAnsi="Arial" w:cs="Arial"/>
          <w:lang w:val="en-AU"/>
        </w:rPr>
        <w:t>R</w:t>
      </w:r>
      <w:r w:rsidR="00FD4484" w:rsidRPr="00F64913">
        <w:rPr>
          <w:rFonts w:ascii="Arial" w:hAnsi="Arial" w:cs="Arial"/>
          <w:lang w:val="en-AU"/>
        </w:rPr>
        <w:t xml:space="preserve">eport, the NDIA agreed to receive additional input from a second round of submissions. The purpose of these submissions was to gather additional evidence including more precise estimates of construction costs for </w:t>
      </w:r>
      <w:r w:rsidR="00FD4484" w:rsidRPr="00F64913">
        <w:rPr>
          <w:rFonts w:ascii="Arial" w:hAnsi="Arial" w:cs="Arial"/>
          <w:iCs/>
          <w:lang w:val="en-AU"/>
        </w:rPr>
        <w:t>Improved Liveability</w:t>
      </w:r>
      <w:r w:rsidR="00FD4484" w:rsidRPr="00F64913">
        <w:rPr>
          <w:rFonts w:ascii="Arial" w:hAnsi="Arial" w:cs="Arial"/>
          <w:i/>
          <w:iCs/>
          <w:lang w:val="en-AU"/>
        </w:rPr>
        <w:t xml:space="preserve"> </w:t>
      </w:r>
      <w:r w:rsidR="00FD4484" w:rsidRPr="00F64913">
        <w:rPr>
          <w:rFonts w:ascii="Arial" w:hAnsi="Arial" w:cs="Arial"/>
          <w:lang w:val="en-AU"/>
        </w:rPr>
        <w:t xml:space="preserve">design, </w:t>
      </w:r>
      <w:r w:rsidR="00FD4484" w:rsidRPr="00F64913">
        <w:rPr>
          <w:rFonts w:ascii="Arial" w:hAnsi="Arial" w:cs="Arial"/>
          <w:iCs/>
          <w:lang w:val="en-AU"/>
        </w:rPr>
        <w:t>Robust,</w:t>
      </w:r>
      <w:r w:rsidR="00FD4484" w:rsidRPr="00F64913">
        <w:rPr>
          <w:rFonts w:ascii="Arial" w:hAnsi="Arial" w:cs="Arial"/>
          <w:lang w:val="en-AU"/>
        </w:rPr>
        <w:t xml:space="preserve"> and </w:t>
      </w:r>
      <w:r w:rsidR="00FD4484" w:rsidRPr="00F64913">
        <w:rPr>
          <w:rFonts w:ascii="Arial" w:hAnsi="Arial" w:cs="Arial"/>
          <w:iCs/>
          <w:lang w:val="en-AU"/>
        </w:rPr>
        <w:t>Fully Accessible</w:t>
      </w:r>
      <w:r w:rsidR="00FD4484" w:rsidRPr="00F64913">
        <w:rPr>
          <w:rFonts w:ascii="Arial" w:hAnsi="Arial" w:cs="Arial"/>
          <w:i/>
          <w:iCs/>
          <w:lang w:val="en-AU"/>
        </w:rPr>
        <w:t xml:space="preserve"> </w:t>
      </w:r>
      <w:r w:rsidR="00FD4484" w:rsidRPr="00F64913">
        <w:rPr>
          <w:rFonts w:ascii="Arial" w:hAnsi="Arial" w:cs="Arial"/>
          <w:lang w:val="en-AU"/>
        </w:rPr>
        <w:t xml:space="preserve">design categories. The second round of submissions, which closed on 2 July 2019, was open to both those stakeholders who had already submitted submissions and new </w:t>
      </w:r>
      <w:r w:rsidR="00A11ACA">
        <w:rPr>
          <w:rFonts w:ascii="Arial" w:hAnsi="Arial" w:cs="Arial"/>
          <w:lang w:val="en-AU"/>
        </w:rPr>
        <w:t xml:space="preserve">public </w:t>
      </w:r>
      <w:r w:rsidR="00FD4484" w:rsidRPr="00F64913">
        <w:rPr>
          <w:rFonts w:ascii="Arial" w:hAnsi="Arial" w:cs="Arial"/>
          <w:lang w:val="en-AU"/>
        </w:rPr>
        <w:t>submissions.</w:t>
      </w:r>
      <w:r w:rsidR="00CB2088">
        <w:rPr>
          <w:rFonts w:ascii="Arial" w:hAnsi="Arial" w:cs="Arial"/>
          <w:lang w:val="en-AU"/>
        </w:rPr>
        <w:t xml:space="preserve"> Notice was circulated in the same way as the first round of submissions.</w:t>
      </w:r>
      <w:r w:rsidR="00FD4484" w:rsidRPr="00F64913">
        <w:rPr>
          <w:rFonts w:ascii="Arial" w:hAnsi="Arial" w:cs="Arial"/>
          <w:lang w:val="en-AU"/>
        </w:rPr>
        <w:t xml:space="preserve"> These responses were considered in conjunction with the interim report and first round of submissions. </w:t>
      </w:r>
      <w:r w:rsidRPr="00F64913">
        <w:rPr>
          <w:lang w:val="en-AU"/>
        </w:rPr>
        <w:t>The following organisations provided follow-up submissions:</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Macquarie Bank (Macquarie Infrastructure Real Assets)</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SDA Alliance</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Summer Housing</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Illowra Projects</w:t>
      </w:r>
    </w:p>
    <w:p w:rsidR="007C422F" w:rsidRPr="00F64913" w:rsidRDefault="007C422F" w:rsidP="00752550">
      <w:pPr>
        <w:numPr>
          <w:ilvl w:val="0"/>
          <w:numId w:val="1"/>
        </w:numPr>
        <w:ind w:left="777" w:hanging="357"/>
        <w:contextualSpacing/>
        <w:rPr>
          <w:rFonts w:cs="ArialMT"/>
          <w:color w:val="6B2976"/>
          <w:sz w:val="36"/>
          <w:szCs w:val="36"/>
          <w:lang w:val="en-AU"/>
        </w:rPr>
      </w:pPr>
      <w:r w:rsidRPr="00F64913">
        <w:rPr>
          <w:lang w:val="en-AU"/>
        </w:rPr>
        <w:t>Guardian Living</w:t>
      </w:r>
    </w:p>
    <w:p w:rsidR="007C422F" w:rsidRPr="00F64913" w:rsidRDefault="007C422F" w:rsidP="00752550">
      <w:pPr>
        <w:numPr>
          <w:ilvl w:val="0"/>
          <w:numId w:val="1"/>
        </w:numPr>
        <w:rPr>
          <w:rFonts w:cs="ArialMT"/>
          <w:color w:val="6B2976"/>
          <w:sz w:val="36"/>
          <w:szCs w:val="36"/>
          <w:lang w:val="en-AU"/>
        </w:rPr>
      </w:pPr>
      <w:r w:rsidRPr="00F64913">
        <w:rPr>
          <w:lang w:val="en-AU"/>
        </w:rPr>
        <w:t>Youngcare</w:t>
      </w:r>
    </w:p>
    <w:p w:rsidR="00FD4484" w:rsidRPr="00F64913" w:rsidRDefault="00FD4484" w:rsidP="007C422F">
      <w:pPr>
        <w:rPr>
          <w:rFonts w:cs="Arial"/>
          <w:lang w:val="en-AU"/>
        </w:rPr>
      </w:pPr>
      <w:r w:rsidRPr="00F64913">
        <w:rPr>
          <w:rFonts w:ascii="Arial" w:hAnsi="Arial" w:cs="Arial"/>
          <w:lang w:val="en-AU"/>
        </w:rPr>
        <w:t>T</w:t>
      </w:r>
      <w:r w:rsidR="007C422F">
        <w:rPr>
          <w:rFonts w:ascii="Arial" w:hAnsi="Arial" w:cs="Arial"/>
          <w:lang w:val="en-AU"/>
        </w:rPr>
        <w:t>he findings presented in this Final R</w:t>
      </w:r>
      <w:r w:rsidRPr="00F64913">
        <w:rPr>
          <w:rFonts w:ascii="Arial" w:hAnsi="Arial" w:cs="Arial"/>
          <w:lang w:val="en-AU"/>
        </w:rPr>
        <w:t xml:space="preserve">eport are based on the information from the first and second round of submissions and consultations as part of </w:t>
      </w:r>
      <w:r w:rsidR="007C422F">
        <w:rPr>
          <w:rFonts w:ascii="Arial" w:hAnsi="Arial" w:cs="Arial"/>
          <w:lang w:val="en-AU"/>
        </w:rPr>
        <w:t>the Review</w:t>
      </w:r>
      <w:r w:rsidRPr="00F64913">
        <w:rPr>
          <w:rFonts w:ascii="Arial" w:hAnsi="Arial" w:cs="Arial"/>
          <w:lang w:val="en-AU"/>
        </w:rPr>
        <w:t>, as well as analysis performed by the NDIA</w:t>
      </w:r>
      <w:r w:rsidR="00A72632">
        <w:rPr>
          <w:rFonts w:ascii="Arial" w:hAnsi="Arial" w:cs="Arial"/>
          <w:lang w:val="en-AU"/>
        </w:rPr>
        <w:t xml:space="preserve"> which included review of dwelling enrolment data, actuarial information and SDA demand modelling</w:t>
      </w:r>
      <w:r w:rsidRPr="00F64913">
        <w:rPr>
          <w:rFonts w:ascii="Arial" w:hAnsi="Arial" w:cs="Arial"/>
          <w:lang w:val="en-AU"/>
        </w:rPr>
        <w:t>.</w:t>
      </w:r>
      <w:r w:rsidRPr="00F64913">
        <w:rPr>
          <w:rFonts w:cs="Arial"/>
          <w:lang w:val="en-AU"/>
        </w:rPr>
        <w:t xml:space="preserve"> </w:t>
      </w:r>
    </w:p>
    <w:p w:rsidR="00FD4484" w:rsidRPr="00F64913" w:rsidRDefault="00FD4484" w:rsidP="002241F5">
      <w:pPr>
        <w:shd w:val="clear" w:color="auto" w:fill="FFFFFF" w:themeFill="background1"/>
        <w:spacing w:after="180"/>
        <w:rPr>
          <w:rFonts w:ascii="Arial" w:hAnsi="Arial" w:cs="Arial"/>
          <w:lang w:val="en-AU"/>
        </w:rPr>
      </w:pPr>
    </w:p>
    <w:p w:rsidR="009C2220" w:rsidRDefault="009C2220" w:rsidP="002241F5">
      <w:pPr>
        <w:pStyle w:val="Heading1"/>
        <w:shd w:val="clear" w:color="auto" w:fill="FFFFFF" w:themeFill="background1"/>
        <w:rPr>
          <w:lang w:val="en-AU"/>
        </w:rPr>
      </w:pPr>
      <w:bookmarkStart w:id="15" w:name="_Toc23156374"/>
      <w:r w:rsidRPr="00F64913">
        <w:rPr>
          <w:lang w:val="en-AU"/>
        </w:rPr>
        <w:t>Background</w:t>
      </w:r>
      <w:bookmarkEnd w:id="15"/>
    </w:p>
    <w:p w:rsidR="002140D1" w:rsidRDefault="002140D1" w:rsidP="002140D1">
      <w:pPr>
        <w:pStyle w:val="Heading2"/>
      </w:pPr>
      <w:bookmarkStart w:id="16" w:name="_Toc23156375"/>
      <w:r>
        <w:t>Statistics</w:t>
      </w:r>
      <w:bookmarkEnd w:id="16"/>
    </w:p>
    <w:p w:rsidR="0098062D" w:rsidRDefault="0098062D" w:rsidP="0098062D">
      <w:pPr>
        <w:shd w:val="clear" w:color="auto" w:fill="FFFFFF" w:themeFill="background1"/>
        <w:spacing w:after="180"/>
        <w:rPr>
          <w:vertAlign w:val="superscript"/>
          <w:lang w:val="en-AU"/>
        </w:rPr>
      </w:pPr>
      <w:r w:rsidRPr="00F64913">
        <w:rPr>
          <w:rFonts w:cs="Arial"/>
          <w:lang w:val="en-AU"/>
        </w:rPr>
        <w:t xml:space="preserve">On </w:t>
      </w:r>
      <w:r w:rsidR="00234223">
        <w:rPr>
          <w:rFonts w:cs="Arial"/>
          <w:lang w:val="en-AU"/>
        </w:rPr>
        <w:t>30 June</w:t>
      </w:r>
      <w:r w:rsidRPr="00F64913">
        <w:rPr>
          <w:rFonts w:cs="Arial"/>
          <w:lang w:val="en-AU"/>
        </w:rPr>
        <w:t xml:space="preserve"> 2019, some </w:t>
      </w:r>
      <w:r w:rsidR="00234223">
        <w:rPr>
          <w:lang w:val="en-AU"/>
        </w:rPr>
        <w:t>13,309</w:t>
      </w:r>
      <w:r w:rsidRPr="00F64913">
        <w:rPr>
          <w:lang w:val="en-AU"/>
        </w:rPr>
        <w:t xml:space="preserve"> participants (</w:t>
      </w:r>
      <w:r w:rsidRPr="00CA5F0A">
        <w:rPr>
          <w:lang w:val="en-AU"/>
        </w:rPr>
        <w:t>4.</w:t>
      </w:r>
      <w:r w:rsidR="00CA5F0A">
        <w:rPr>
          <w:lang w:val="en-AU"/>
        </w:rPr>
        <w:t>5</w:t>
      </w:r>
      <w:r w:rsidRPr="00F64913">
        <w:rPr>
          <w:lang w:val="en-AU"/>
        </w:rPr>
        <w:t xml:space="preserve"> per cent of all participants) had SDA supports in their </w:t>
      </w:r>
      <w:r w:rsidRPr="00A34676">
        <w:rPr>
          <w:lang w:val="en-AU"/>
        </w:rPr>
        <w:t xml:space="preserve">plans, with the number of participants with SDA supports in their plans increasing </w:t>
      </w:r>
      <w:r w:rsidRPr="00A34676">
        <w:rPr>
          <w:shd w:val="clear" w:color="auto" w:fill="FFFFFF" w:themeFill="background1"/>
          <w:lang w:val="en-AU"/>
        </w:rPr>
        <w:t xml:space="preserve">by </w:t>
      </w:r>
      <w:r w:rsidR="00234223" w:rsidRPr="00A34676">
        <w:rPr>
          <w:shd w:val="clear" w:color="auto" w:fill="FFFFFF" w:themeFill="background1"/>
          <w:lang w:val="en-AU"/>
        </w:rPr>
        <w:t>7.7</w:t>
      </w:r>
      <w:r w:rsidRPr="00A34676">
        <w:rPr>
          <w:shd w:val="clear" w:color="auto" w:fill="FFFFFF" w:themeFill="background1"/>
          <w:lang w:val="en-AU"/>
        </w:rPr>
        <w:t xml:space="preserve"> per cent in the previous quarter and</w:t>
      </w:r>
      <w:r w:rsidRPr="00F64913">
        <w:rPr>
          <w:shd w:val="clear" w:color="auto" w:fill="FFFFFF" w:themeFill="background1"/>
          <w:lang w:val="en-AU"/>
        </w:rPr>
        <w:t xml:space="preserve"> </w:t>
      </w:r>
      <w:r w:rsidR="00234223">
        <w:rPr>
          <w:shd w:val="clear" w:color="auto" w:fill="FFFFFF" w:themeFill="background1"/>
          <w:lang w:val="en-AU"/>
        </w:rPr>
        <w:t>50.3</w:t>
      </w:r>
      <w:r w:rsidRPr="00F64913">
        <w:rPr>
          <w:shd w:val="clear" w:color="auto" w:fill="FFFFFF" w:themeFill="background1"/>
          <w:lang w:val="en-AU"/>
        </w:rPr>
        <w:t xml:space="preserve"> per cent </w:t>
      </w:r>
      <w:r w:rsidRPr="00F64913">
        <w:rPr>
          <w:lang w:val="en-AU"/>
        </w:rPr>
        <w:t>in the previous year.</w:t>
      </w:r>
      <w:r w:rsidR="00234223">
        <w:rPr>
          <w:lang w:val="en-AU"/>
        </w:rPr>
        <w:t xml:space="preserve"> </w:t>
      </w:r>
      <w:r w:rsidR="00234223">
        <w:rPr>
          <w:lang w:val="en-AU"/>
        </w:rPr>
        <w:fldChar w:fldCharType="begin"/>
      </w:r>
      <w:r w:rsidR="00234223">
        <w:rPr>
          <w:lang w:val="en-AU"/>
        </w:rPr>
        <w:instrText xml:space="preserve"> REF _Ref16538405 \h </w:instrText>
      </w:r>
      <w:r w:rsidR="00234223">
        <w:rPr>
          <w:lang w:val="en-AU"/>
        </w:rPr>
      </w:r>
      <w:r w:rsidR="00234223">
        <w:rPr>
          <w:lang w:val="en-AU"/>
        </w:rPr>
        <w:fldChar w:fldCharType="separate"/>
      </w:r>
      <w:r w:rsidR="00A3319D" w:rsidRPr="00F64913">
        <w:rPr>
          <w:lang w:val="en-AU"/>
        </w:rPr>
        <w:t xml:space="preserve">Figure </w:t>
      </w:r>
      <w:r w:rsidR="00A3319D">
        <w:rPr>
          <w:noProof/>
          <w:lang w:val="en-AU"/>
        </w:rPr>
        <w:t>2</w:t>
      </w:r>
      <w:r w:rsidR="00234223">
        <w:rPr>
          <w:lang w:val="en-AU"/>
        </w:rPr>
        <w:fldChar w:fldCharType="end"/>
      </w:r>
      <w:r w:rsidR="00234223">
        <w:rPr>
          <w:lang w:val="en-AU"/>
        </w:rPr>
        <w:t xml:space="preserve"> below shows how the number of participants with SDA supports in their plan</w:t>
      </w:r>
      <w:r w:rsidR="00306CBB">
        <w:rPr>
          <w:lang w:val="en-AU"/>
        </w:rPr>
        <w:t xml:space="preserve">s has increased since June 2017. </w:t>
      </w:r>
      <w:r w:rsidR="0079026D">
        <w:rPr>
          <w:lang w:val="en-AU"/>
        </w:rPr>
        <w:t xml:space="preserve">Statistics in this Section are drawn from the NDIA. (2019). </w:t>
      </w:r>
      <w:hyperlink r:id="rId24" w:history="1">
        <w:r w:rsidR="0079026D" w:rsidRPr="00FF7471">
          <w:rPr>
            <w:rStyle w:val="Hyperlink"/>
            <w:lang w:val="en-AU"/>
          </w:rPr>
          <w:t>Report to the COAG Disability Reform Council for Q4 OF Y6</w:t>
        </w:r>
      </w:hyperlink>
      <w:r w:rsidR="0079026D">
        <w:rPr>
          <w:lang w:val="en-AU"/>
        </w:rPr>
        <w:t xml:space="preserve"> as well as unpublished dwelling enrolment data held by the NDIA.</w:t>
      </w:r>
    </w:p>
    <w:p w:rsidR="0098062D" w:rsidRPr="00234223" w:rsidRDefault="00234223" w:rsidP="00234223">
      <w:pPr>
        <w:pStyle w:val="Caption"/>
        <w:rPr>
          <w:lang w:val="en-AU"/>
        </w:rPr>
      </w:pPr>
      <w:bookmarkStart w:id="17" w:name="_Ref16538405"/>
      <w:r w:rsidRPr="00F64913">
        <w:rPr>
          <w:lang w:val="en-AU"/>
        </w:rPr>
        <w:t xml:space="preserve">Figure </w:t>
      </w:r>
      <w:r w:rsidRPr="00F64913">
        <w:rPr>
          <w:lang w:val="en-AU"/>
        </w:rPr>
        <w:fldChar w:fldCharType="begin"/>
      </w:r>
      <w:r w:rsidRPr="00F64913">
        <w:rPr>
          <w:lang w:val="en-AU"/>
        </w:rPr>
        <w:instrText xml:space="preserve"> SEQ Figure \* ARABIC </w:instrText>
      </w:r>
      <w:r w:rsidRPr="00F64913">
        <w:rPr>
          <w:lang w:val="en-AU"/>
        </w:rPr>
        <w:fldChar w:fldCharType="separate"/>
      </w:r>
      <w:r w:rsidR="00A3319D">
        <w:rPr>
          <w:noProof/>
          <w:lang w:val="en-AU"/>
        </w:rPr>
        <w:t>2</w:t>
      </w:r>
      <w:r w:rsidRPr="00F64913">
        <w:rPr>
          <w:noProof/>
          <w:lang w:val="en-AU"/>
        </w:rPr>
        <w:fldChar w:fldCharType="end"/>
      </w:r>
      <w:bookmarkEnd w:id="17"/>
      <w:r w:rsidRPr="00F64913">
        <w:rPr>
          <w:lang w:val="en-AU"/>
        </w:rPr>
        <w:t xml:space="preserve">: </w:t>
      </w:r>
      <w:r w:rsidRPr="00234223">
        <w:rPr>
          <w:lang w:val="en-AU"/>
        </w:rPr>
        <w:t xml:space="preserve">Active </w:t>
      </w:r>
      <w:r>
        <w:rPr>
          <w:lang w:val="en-AU"/>
        </w:rPr>
        <w:t>participants</w:t>
      </w:r>
      <w:r w:rsidRPr="00234223">
        <w:rPr>
          <w:lang w:val="en-AU"/>
        </w:rPr>
        <w:t xml:space="preserve"> with SDA supports</w:t>
      </w:r>
      <w:r>
        <w:rPr>
          <w:lang w:val="en-AU"/>
        </w:rPr>
        <w:t xml:space="preserve"> in their plans</w:t>
      </w:r>
    </w:p>
    <w:p w:rsidR="00234223" w:rsidRPr="00F64913" w:rsidRDefault="00234223" w:rsidP="002140D1">
      <w:pPr>
        <w:shd w:val="clear" w:color="auto" w:fill="FFFFFF" w:themeFill="background1"/>
        <w:spacing w:after="180"/>
        <w:jc w:val="center"/>
        <w:rPr>
          <w:lang w:val="en-AU"/>
        </w:rPr>
      </w:pPr>
      <w:r>
        <w:rPr>
          <w:noProof/>
          <w:lang w:val="en-AU" w:eastAsia="en-AU"/>
        </w:rPr>
        <w:drawing>
          <wp:inline distT="0" distB="0" distL="0" distR="0" wp14:anchorId="343E4327" wp14:editId="33490EA4">
            <wp:extent cx="5400000" cy="2905200"/>
            <wp:effectExtent l="0" t="0" r="0" b="0"/>
            <wp:docPr id="117" name="Picture 117" descr="Figure 2: Active participants with SDA supports in their plans&#10;Figure 2 below shows how the number of participants with SDA supports in their plans has increased since June 2017. There is a fairly linear upd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00" cy="2905200"/>
                    </a:xfrm>
                    <a:prstGeom prst="rect">
                      <a:avLst/>
                    </a:prstGeom>
                    <a:noFill/>
                  </pic:spPr>
                </pic:pic>
              </a:graphicData>
            </a:graphic>
          </wp:inline>
        </w:drawing>
      </w:r>
    </w:p>
    <w:p w:rsidR="0098062D" w:rsidRPr="00D42044" w:rsidRDefault="0098062D" w:rsidP="0098062D">
      <w:pPr>
        <w:shd w:val="clear" w:color="auto" w:fill="FFFFFF" w:themeFill="background1"/>
        <w:spacing w:after="180"/>
        <w:rPr>
          <w:lang w:val="en-AU"/>
        </w:rPr>
      </w:pPr>
      <w:r w:rsidRPr="002140D1">
        <w:rPr>
          <w:lang w:val="en-AU"/>
        </w:rPr>
        <w:t xml:space="preserve">Some </w:t>
      </w:r>
      <w:r w:rsidR="002140D1" w:rsidRPr="002140D1">
        <w:rPr>
          <w:lang w:val="en-AU"/>
        </w:rPr>
        <w:t>977</w:t>
      </w:r>
      <w:r w:rsidRPr="002140D1">
        <w:rPr>
          <w:lang w:val="en-AU"/>
        </w:rPr>
        <w:t xml:space="preserve"> providers were registered to pro</w:t>
      </w:r>
      <w:r w:rsidR="002140D1" w:rsidRPr="002140D1">
        <w:rPr>
          <w:lang w:val="en-AU"/>
        </w:rPr>
        <w:t>vide SDA across Australia on 30 June</w:t>
      </w:r>
      <w:r w:rsidRPr="002140D1">
        <w:rPr>
          <w:lang w:val="en-AU"/>
        </w:rPr>
        <w:t xml:space="preserve"> 2019. That </w:t>
      </w:r>
      <w:r w:rsidRPr="003E7119">
        <w:rPr>
          <w:lang w:val="en-AU"/>
        </w:rPr>
        <w:t xml:space="preserve">number had increased by </w:t>
      </w:r>
      <w:r w:rsidR="002140D1" w:rsidRPr="003E7119">
        <w:rPr>
          <w:lang w:val="en-AU"/>
        </w:rPr>
        <w:t xml:space="preserve">9.5 </w:t>
      </w:r>
      <w:r w:rsidRPr="003E7119">
        <w:rPr>
          <w:lang w:val="en-AU"/>
        </w:rPr>
        <w:t xml:space="preserve">per cent over the previous quarter and </w:t>
      </w:r>
      <w:r w:rsidR="002140D1" w:rsidRPr="003E7119">
        <w:rPr>
          <w:lang w:val="en-AU"/>
        </w:rPr>
        <w:t>41.2 </w:t>
      </w:r>
      <w:r w:rsidRPr="003E7119">
        <w:rPr>
          <w:lang w:val="en-AU"/>
        </w:rPr>
        <w:t xml:space="preserve">per cent in the previous </w:t>
      </w:r>
      <w:r w:rsidRPr="00D42044">
        <w:rPr>
          <w:lang w:val="en-AU"/>
        </w:rPr>
        <w:t>year. The number of active SDA providers increased from 118 to 140</w:t>
      </w:r>
      <w:r w:rsidR="003E7119" w:rsidRPr="00D42044">
        <w:rPr>
          <w:lang w:val="en-AU"/>
        </w:rPr>
        <w:t xml:space="preserve"> over the three months to 31 March 2019</w:t>
      </w:r>
      <w:r w:rsidRPr="00D42044">
        <w:rPr>
          <w:lang w:val="en-AU"/>
        </w:rPr>
        <w:t xml:space="preserve"> – and increase of </w:t>
      </w:r>
      <w:r w:rsidR="003E7119" w:rsidRPr="00D42044">
        <w:rPr>
          <w:lang w:val="en-AU"/>
        </w:rPr>
        <w:t>18.6</w:t>
      </w:r>
      <w:r w:rsidRPr="00D42044">
        <w:rPr>
          <w:lang w:val="en-AU"/>
        </w:rPr>
        <w:t xml:space="preserve"> per cent in the previous quarter </w:t>
      </w:r>
      <w:r w:rsidR="003E7119" w:rsidRPr="00D42044">
        <w:rPr>
          <w:lang w:val="en-AU"/>
        </w:rPr>
        <w:t>and</w:t>
      </w:r>
      <w:r w:rsidRPr="00D42044">
        <w:rPr>
          <w:lang w:val="en-AU"/>
        </w:rPr>
        <w:t xml:space="preserve"> </w:t>
      </w:r>
      <w:r w:rsidR="003E7119" w:rsidRPr="00D42044">
        <w:rPr>
          <w:lang w:val="en-AU"/>
        </w:rPr>
        <w:t>164.2</w:t>
      </w:r>
      <w:r w:rsidRPr="00D42044">
        <w:rPr>
          <w:lang w:val="en-AU"/>
        </w:rPr>
        <w:t xml:space="preserve"> percent in the previous year.</w:t>
      </w:r>
      <w:r w:rsidR="002140D1" w:rsidRPr="00D42044">
        <w:rPr>
          <w:lang w:val="en-AU"/>
        </w:rPr>
        <w:t xml:space="preserve"> </w:t>
      </w:r>
    </w:p>
    <w:p w:rsidR="0098062D" w:rsidRPr="00F64913" w:rsidRDefault="0098062D" w:rsidP="0098062D">
      <w:pPr>
        <w:shd w:val="clear" w:color="auto" w:fill="FFFFFF" w:themeFill="background1"/>
        <w:spacing w:after="180"/>
        <w:rPr>
          <w:vertAlign w:val="superscript"/>
          <w:lang w:val="en-AU"/>
        </w:rPr>
      </w:pPr>
      <w:r w:rsidRPr="00DE3862">
        <w:rPr>
          <w:lang w:val="en-AU"/>
        </w:rPr>
        <w:t>A total of 10,320 SDA places, in 3,115 dwellings, were enrolled for the delivery of SDA supports as at 31 March 2019. Those numbers had increased by 5.8 per cent (485 places) and 4.9 per cent (172 dwellings) respectively over the previous quarter</w:t>
      </w:r>
      <w:r w:rsidRPr="00590CB5">
        <w:rPr>
          <w:lang w:val="en-AU"/>
        </w:rPr>
        <w:t xml:space="preserve"> and 45.6 per cent (3</w:t>
      </w:r>
      <w:r w:rsidR="002140D1" w:rsidRPr="00590CB5">
        <w:rPr>
          <w:lang w:val="en-AU"/>
        </w:rPr>
        <w:t>,</w:t>
      </w:r>
      <w:r w:rsidRPr="00590CB5">
        <w:rPr>
          <w:lang w:val="en-AU"/>
        </w:rPr>
        <w:t>227 places) and 59.7 per cent (1</w:t>
      </w:r>
      <w:r w:rsidR="002140D1" w:rsidRPr="00590CB5">
        <w:rPr>
          <w:lang w:val="en-AU"/>
        </w:rPr>
        <w:t>,</w:t>
      </w:r>
      <w:r w:rsidRPr="00590CB5">
        <w:rPr>
          <w:lang w:val="en-AU"/>
        </w:rPr>
        <w:t>164 dwellings) resp</w:t>
      </w:r>
      <w:r w:rsidR="00590CB5">
        <w:rPr>
          <w:lang w:val="en-AU"/>
        </w:rPr>
        <w:t xml:space="preserve">ectively over the previous year. </w:t>
      </w:r>
      <w:r w:rsidR="00590CB5">
        <w:rPr>
          <w:lang w:val="en-AU"/>
        </w:rPr>
        <w:fldChar w:fldCharType="begin"/>
      </w:r>
      <w:r w:rsidR="00590CB5">
        <w:rPr>
          <w:lang w:val="en-AU"/>
        </w:rPr>
        <w:instrText xml:space="preserve"> REF _Ref16541705 \h </w:instrText>
      </w:r>
      <w:r w:rsidR="00590CB5">
        <w:rPr>
          <w:lang w:val="en-AU"/>
        </w:rPr>
      </w:r>
      <w:r w:rsidR="00590CB5">
        <w:rPr>
          <w:lang w:val="en-AU"/>
        </w:rPr>
        <w:fldChar w:fldCharType="separate"/>
      </w:r>
      <w:r w:rsidR="00A3319D" w:rsidRPr="00E7692D">
        <w:t xml:space="preserve">Figure </w:t>
      </w:r>
      <w:r w:rsidR="00A3319D">
        <w:rPr>
          <w:noProof/>
        </w:rPr>
        <w:t>3</w:t>
      </w:r>
      <w:r w:rsidR="00590CB5">
        <w:rPr>
          <w:lang w:val="en-AU"/>
        </w:rPr>
        <w:fldChar w:fldCharType="end"/>
      </w:r>
      <w:r w:rsidR="00590CB5">
        <w:rPr>
          <w:lang w:val="en-AU"/>
        </w:rPr>
        <w:t xml:space="preserve"> below shows how the number of available SDA dwellings and bedrooms has increased since March 2018.</w:t>
      </w:r>
    </w:p>
    <w:p w:rsidR="0098062D" w:rsidRPr="00E7692D" w:rsidRDefault="0098062D" w:rsidP="00E7692D">
      <w:pPr>
        <w:pStyle w:val="Caption"/>
      </w:pPr>
      <w:bookmarkStart w:id="18" w:name="_Ref16541705"/>
      <w:r w:rsidRPr="00E7692D">
        <w:t xml:space="preserve">Figure </w:t>
      </w:r>
      <w:r w:rsidRPr="00E7692D">
        <w:fldChar w:fldCharType="begin"/>
      </w:r>
      <w:r w:rsidRPr="00E7692D">
        <w:instrText xml:space="preserve"> SEQ Figure \* ARABIC </w:instrText>
      </w:r>
      <w:r w:rsidRPr="00E7692D">
        <w:fldChar w:fldCharType="separate"/>
      </w:r>
      <w:r w:rsidR="00A3319D">
        <w:rPr>
          <w:noProof/>
        </w:rPr>
        <w:t>3</w:t>
      </w:r>
      <w:r w:rsidRPr="00E7692D">
        <w:fldChar w:fldCharType="end"/>
      </w:r>
      <w:bookmarkEnd w:id="18"/>
      <w:r w:rsidRPr="00E7692D">
        <w:t xml:space="preserve">: SDA dwellings and </w:t>
      </w:r>
      <w:r w:rsidR="00590CB5" w:rsidRPr="00E7692D">
        <w:t>bedrooms</w:t>
      </w:r>
      <w:r w:rsidR="009079D2">
        <w:t>/places</w:t>
      </w:r>
    </w:p>
    <w:p w:rsidR="0098062D" w:rsidRPr="00F64913" w:rsidRDefault="00E7692D" w:rsidP="00AE5BFF">
      <w:pPr>
        <w:jc w:val="center"/>
        <w:rPr>
          <w:lang w:val="en-AU"/>
        </w:rPr>
      </w:pPr>
      <w:r w:rsidRPr="00E7692D">
        <w:rPr>
          <w:noProof/>
          <w:lang w:val="en-AU" w:eastAsia="en-AU"/>
        </w:rPr>
        <w:drawing>
          <wp:inline distT="0" distB="0" distL="0" distR="0" wp14:anchorId="2E19805E" wp14:editId="578E7371">
            <wp:extent cx="5400000" cy="3362400"/>
            <wp:effectExtent l="0" t="0" r="0" b="0"/>
            <wp:docPr id="13" name="Picture 13" descr="Figure 3: SDA dwellings and bedrooms/ places&#10;Figure 3 shows a bar chart of annualised data since March 2018. Dwelling numbers have increased every quarter from around 2000 in March 2018  to over 3000 in June 2019. &#10;Places have also gone up since March 2018 except for a flat period between September 2018 and December 2018. In March 2018 there were over 7000 places, and as of June 2019 there are around 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00" cy="3362400"/>
                    </a:xfrm>
                    <a:prstGeom prst="rect">
                      <a:avLst/>
                    </a:prstGeom>
                    <a:noFill/>
                    <a:ln>
                      <a:noFill/>
                    </a:ln>
                  </pic:spPr>
                </pic:pic>
              </a:graphicData>
            </a:graphic>
          </wp:inline>
        </w:drawing>
      </w:r>
    </w:p>
    <w:p w:rsidR="0098062D" w:rsidRPr="00F64913" w:rsidRDefault="00590CB5" w:rsidP="00E7692D">
      <w:pPr>
        <w:rPr>
          <w:lang w:val="en-AU"/>
        </w:rPr>
      </w:pPr>
      <w:r>
        <w:rPr>
          <w:lang w:val="en-AU"/>
        </w:rPr>
        <w:t xml:space="preserve">On 30 June 2019, the annualised value of SDA supports in participant plans was $144 million. </w:t>
      </w:r>
      <w:r w:rsidR="0098062D" w:rsidRPr="00F64913">
        <w:rPr>
          <w:lang w:val="en-AU"/>
        </w:rPr>
        <w:t>This represented a 13.</w:t>
      </w:r>
      <w:r>
        <w:rPr>
          <w:lang w:val="en-AU"/>
        </w:rPr>
        <w:t>7</w:t>
      </w:r>
      <w:r w:rsidR="0098062D" w:rsidRPr="00F64913">
        <w:rPr>
          <w:lang w:val="en-AU"/>
        </w:rPr>
        <w:t xml:space="preserve"> per cent increa</w:t>
      </w:r>
      <w:r>
        <w:rPr>
          <w:lang w:val="en-AU"/>
        </w:rPr>
        <w:t xml:space="preserve">se on the previous quarter, and </w:t>
      </w:r>
      <w:r w:rsidR="0098062D" w:rsidRPr="00F64913">
        <w:rPr>
          <w:lang w:val="en-AU"/>
        </w:rPr>
        <w:t>a 67.</w:t>
      </w:r>
      <w:r>
        <w:rPr>
          <w:lang w:val="en-AU"/>
        </w:rPr>
        <w:t>2</w:t>
      </w:r>
      <w:r w:rsidR="0098062D" w:rsidRPr="00F64913">
        <w:rPr>
          <w:lang w:val="en-AU"/>
        </w:rPr>
        <w:t xml:space="preserve"> per cent increase on the previous year</w:t>
      </w:r>
      <w:r w:rsidR="00AE5BFF">
        <w:rPr>
          <w:lang w:val="en-AU"/>
        </w:rPr>
        <w:t xml:space="preserve"> (see </w:t>
      </w:r>
      <w:r w:rsidR="00AE5BFF">
        <w:rPr>
          <w:lang w:val="en-AU"/>
        </w:rPr>
        <w:fldChar w:fldCharType="begin"/>
      </w:r>
      <w:r w:rsidR="00AE5BFF">
        <w:rPr>
          <w:lang w:val="en-AU"/>
        </w:rPr>
        <w:instrText xml:space="preserve"> REF _Ref17975155 \h </w:instrText>
      </w:r>
      <w:r w:rsidR="00AE5BFF">
        <w:rPr>
          <w:lang w:val="en-AU"/>
        </w:rPr>
      </w:r>
      <w:r w:rsidR="00AE5BFF">
        <w:rPr>
          <w:lang w:val="en-AU"/>
        </w:rPr>
        <w:fldChar w:fldCharType="separate"/>
      </w:r>
      <w:r w:rsidR="00A3319D" w:rsidRPr="00F64913">
        <w:rPr>
          <w:lang w:val="en-AU"/>
        </w:rPr>
        <w:t xml:space="preserve">Figure </w:t>
      </w:r>
      <w:r w:rsidR="00A3319D">
        <w:rPr>
          <w:noProof/>
          <w:lang w:val="en-AU"/>
        </w:rPr>
        <w:t>4</w:t>
      </w:r>
      <w:r w:rsidR="00AE5BFF">
        <w:rPr>
          <w:lang w:val="en-AU"/>
        </w:rPr>
        <w:fldChar w:fldCharType="end"/>
      </w:r>
      <w:r w:rsidR="00AE5BFF">
        <w:rPr>
          <w:lang w:val="en-AU"/>
        </w:rPr>
        <w:t xml:space="preserve"> below)</w:t>
      </w:r>
      <w:r w:rsidR="0098062D" w:rsidRPr="00F64913">
        <w:rPr>
          <w:lang w:val="en-AU"/>
        </w:rPr>
        <w:t>.</w:t>
      </w:r>
    </w:p>
    <w:p w:rsidR="0098062D" w:rsidRPr="00F64913" w:rsidRDefault="0098062D" w:rsidP="0098062D">
      <w:pPr>
        <w:pStyle w:val="Caption"/>
        <w:spacing w:after="0"/>
        <w:rPr>
          <w:lang w:val="en-AU"/>
        </w:rPr>
      </w:pPr>
      <w:bookmarkStart w:id="19" w:name="_Ref17975155"/>
      <w:r w:rsidRPr="00F64913">
        <w:rPr>
          <w:lang w:val="en-AU"/>
        </w:rPr>
        <w:t xml:space="preserve">Figure </w:t>
      </w:r>
      <w:r w:rsidRPr="00F64913">
        <w:rPr>
          <w:lang w:val="en-AU"/>
        </w:rPr>
        <w:fldChar w:fldCharType="begin"/>
      </w:r>
      <w:r w:rsidRPr="00F64913">
        <w:rPr>
          <w:lang w:val="en-AU"/>
        </w:rPr>
        <w:instrText xml:space="preserve"> SEQ Figure \* ARABIC </w:instrText>
      </w:r>
      <w:r w:rsidRPr="00F64913">
        <w:rPr>
          <w:lang w:val="en-AU"/>
        </w:rPr>
        <w:fldChar w:fldCharType="separate"/>
      </w:r>
      <w:r w:rsidR="00A3319D">
        <w:rPr>
          <w:noProof/>
          <w:lang w:val="en-AU"/>
        </w:rPr>
        <w:t>4</w:t>
      </w:r>
      <w:r w:rsidRPr="00F64913">
        <w:rPr>
          <w:noProof/>
          <w:lang w:val="en-AU"/>
        </w:rPr>
        <w:fldChar w:fldCharType="end"/>
      </w:r>
      <w:bookmarkEnd w:id="19"/>
      <w:r w:rsidRPr="00F64913">
        <w:rPr>
          <w:lang w:val="en-AU"/>
        </w:rPr>
        <w:t xml:space="preserve">: Annualised SDA supports in active plans ($m) </w:t>
      </w:r>
    </w:p>
    <w:p w:rsidR="0098062D" w:rsidRPr="00F64913" w:rsidRDefault="0098062D" w:rsidP="00AE5BFF">
      <w:pPr>
        <w:jc w:val="center"/>
        <w:rPr>
          <w:lang w:val="en-AU"/>
        </w:rPr>
      </w:pPr>
      <w:r w:rsidRPr="00F64913">
        <w:rPr>
          <w:noProof/>
          <w:lang w:val="en-AU" w:eastAsia="en-AU"/>
        </w:rPr>
        <w:drawing>
          <wp:inline distT="0" distB="0" distL="0" distR="0" wp14:anchorId="7945CB37" wp14:editId="3440429A">
            <wp:extent cx="5400000" cy="3218400"/>
            <wp:effectExtent l="0" t="0" r="0" b="1270"/>
            <wp:docPr id="33" name="Picture 33" descr="Figure 4: Annualised SDA supports in active plans ($m)&#10;Figure 4 shows a bar chart of annualised SDA supports in active plans from 30 June 2017 to 30 June 2019; shown as a quarterly breakdown.&#10;The 30th June 2017 had an amount of 34 million dollars and the 30th June 2019 had an anmount of 144 million doll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00" cy="3218400"/>
                    </a:xfrm>
                    <a:prstGeom prst="rect">
                      <a:avLst/>
                    </a:prstGeom>
                    <a:noFill/>
                    <a:ln>
                      <a:noFill/>
                    </a:ln>
                  </pic:spPr>
                </pic:pic>
              </a:graphicData>
            </a:graphic>
          </wp:inline>
        </w:drawing>
      </w:r>
    </w:p>
    <w:p w:rsidR="0098062D" w:rsidRDefault="00234223" w:rsidP="00234223">
      <w:pPr>
        <w:pStyle w:val="Heading2"/>
      </w:pPr>
      <w:bookmarkStart w:id="20" w:name="_Toc23156376"/>
      <w:r>
        <w:t>Price controls</w:t>
      </w:r>
      <w:bookmarkEnd w:id="20"/>
    </w:p>
    <w:p w:rsidR="00E86F88" w:rsidRDefault="00F64913" w:rsidP="00590CB5">
      <w:pPr>
        <w:rPr>
          <w:rFonts w:cs="Arial"/>
          <w:lang w:val="en-AU"/>
        </w:rPr>
      </w:pPr>
      <w:r w:rsidRPr="00F64913">
        <w:rPr>
          <w:rFonts w:cs="Arial"/>
          <w:lang w:val="en-AU"/>
        </w:rPr>
        <w:t xml:space="preserve">The prices that providers can charge participants for SDA are regulated by the NDIS through the </w:t>
      </w:r>
      <w:hyperlink r:id="rId28" w:history="1">
        <w:r w:rsidRPr="002F4511">
          <w:rPr>
            <w:rStyle w:val="Hyperlink"/>
            <w:rFonts w:cs="Arial"/>
            <w:i/>
            <w:lang w:val="en-AU"/>
          </w:rPr>
          <w:t>SDA Price Guide</w:t>
        </w:r>
      </w:hyperlink>
      <w:r w:rsidRPr="00F64913">
        <w:rPr>
          <w:rFonts w:cs="Arial"/>
          <w:lang w:val="en-AU"/>
        </w:rPr>
        <w:t>.</w:t>
      </w:r>
      <w:bookmarkStart w:id="21" w:name="_Ref525920728"/>
    </w:p>
    <w:p w:rsidR="0064594E" w:rsidRPr="00F64913" w:rsidRDefault="0064594E" w:rsidP="00AE5BFF">
      <w:pPr>
        <w:rPr>
          <w:lang w:val="en-AU"/>
        </w:rPr>
      </w:pPr>
      <w:r w:rsidRPr="00F64913">
        <w:rPr>
          <w:lang w:val="en-AU"/>
        </w:rPr>
        <w:t xml:space="preserve">The annual SDA </w:t>
      </w:r>
      <w:r w:rsidR="006773BA">
        <w:rPr>
          <w:lang w:val="en-AU"/>
        </w:rPr>
        <w:t>price cap</w:t>
      </w:r>
      <w:r w:rsidRPr="00F64913">
        <w:rPr>
          <w:lang w:val="en-AU"/>
        </w:rPr>
        <w:t xml:space="preserve"> for a dwelling</w:t>
      </w:r>
      <w:bookmarkEnd w:id="21"/>
      <w:r w:rsidRPr="00F64913">
        <w:rPr>
          <w:lang w:val="en-AU"/>
        </w:rPr>
        <w:t xml:space="preserve"> is based on a number of factors</w:t>
      </w:r>
      <w:r w:rsidR="00AE5BFF">
        <w:rPr>
          <w:lang w:val="en-AU"/>
        </w:rPr>
        <w:t xml:space="preserve"> and </w:t>
      </w:r>
      <w:r w:rsidRPr="00F64913">
        <w:rPr>
          <w:lang w:val="en-AU"/>
        </w:rPr>
        <w:t>can be di</w:t>
      </w:r>
      <w:r w:rsidR="00E86F88">
        <w:rPr>
          <w:lang w:val="en-AU"/>
        </w:rPr>
        <w:t>vided into a number of steps</w:t>
      </w:r>
      <w:r w:rsidRPr="00F64913">
        <w:rPr>
          <w:lang w:val="en-AU"/>
        </w:rPr>
        <w:t>:</w:t>
      </w:r>
    </w:p>
    <w:p w:rsidR="0064594E" w:rsidRPr="00F64913" w:rsidRDefault="0064594E" w:rsidP="00752550">
      <w:pPr>
        <w:numPr>
          <w:ilvl w:val="0"/>
          <w:numId w:val="7"/>
        </w:numPr>
        <w:shd w:val="clear" w:color="auto" w:fill="FFFFFF" w:themeFill="background1"/>
        <w:spacing w:after="180"/>
        <w:contextualSpacing/>
        <w:rPr>
          <w:lang w:val="en-AU"/>
        </w:rPr>
      </w:pPr>
      <w:r w:rsidRPr="00F64913">
        <w:rPr>
          <w:lang w:val="en-AU"/>
        </w:rPr>
        <w:t xml:space="preserve">Step 1: </w:t>
      </w:r>
      <w:r w:rsidR="00E86F88">
        <w:rPr>
          <w:lang w:val="en-AU"/>
        </w:rPr>
        <w:t xml:space="preserve">Is the dwelling </w:t>
      </w:r>
      <w:r w:rsidRPr="00F64913">
        <w:rPr>
          <w:lang w:val="en-AU"/>
        </w:rPr>
        <w:t>a New Build, Existing Stock or Legacy Stock</w:t>
      </w:r>
      <w:r w:rsidR="00E86F88">
        <w:rPr>
          <w:lang w:val="en-AU"/>
        </w:rPr>
        <w:t>?</w:t>
      </w:r>
    </w:p>
    <w:p w:rsidR="0064594E" w:rsidRPr="00F64913" w:rsidRDefault="0064594E" w:rsidP="00752550">
      <w:pPr>
        <w:numPr>
          <w:ilvl w:val="0"/>
          <w:numId w:val="7"/>
        </w:numPr>
        <w:shd w:val="clear" w:color="auto" w:fill="FFFFFF" w:themeFill="background1"/>
        <w:spacing w:after="180"/>
        <w:contextualSpacing/>
        <w:rPr>
          <w:lang w:val="en-AU"/>
        </w:rPr>
      </w:pPr>
      <w:r w:rsidRPr="00F64913">
        <w:rPr>
          <w:lang w:val="en-AU"/>
        </w:rPr>
        <w:t>Step 2: Determine the Base Price</w:t>
      </w:r>
      <w:r w:rsidR="00BD7D2C">
        <w:rPr>
          <w:lang w:val="en-AU"/>
        </w:rPr>
        <w:t xml:space="preserve"> Cap</w:t>
      </w:r>
      <w:r w:rsidRPr="00F64913">
        <w:rPr>
          <w:lang w:val="en-AU"/>
        </w:rPr>
        <w:t>:</w:t>
      </w:r>
    </w:p>
    <w:p w:rsidR="0064594E" w:rsidRPr="00F64913" w:rsidRDefault="0064594E" w:rsidP="00752550">
      <w:pPr>
        <w:numPr>
          <w:ilvl w:val="0"/>
          <w:numId w:val="8"/>
        </w:numPr>
        <w:shd w:val="clear" w:color="auto" w:fill="FFFFFF" w:themeFill="background1"/>
        <w:spacing w:after="180"/>
        <w:contextualSpacing/>
        <w:rPr>
          <w:lang w:val="en-AU"/>
        </w:rPr>
      </w:pPr>
      <w:r w:rsidRPr="00F64913">
        <w:rPr>
          <w:lang w:val="en-AU"/>
        </w:rPr>
        <w:t>Step 2A - Identify the Building Type</w:t>
      </w:r>
    </w:p>
    <w:p w:rsidR="0064594E" w:rsidRPr="00F64913" w:rsidRDefault="0064594E" w:rsidP="00752550">
      <w:pPr>
        <w:numPr>
          <w:ilvl w:val="0"/>
          <w:numId w:val="8"/>
        </w:numPr>
        <w:shd w:val="clear" w:color="auto" w:fill="FFFFFF" w:themeFill="background1"/>
        <w:spacing w:after="180"/>
        <w:contextualSpacing/>
        <w:rPr>
          <w:lang w:val="en-AU"/>
        </w:rPr>
      </w:pPr>
      <w:r w:rsidRPr="00F64913">
        <w:rPr>
          <w:lang w:val="en-AU"/>
        </w:rPr>
        <w:t>Step 2B - Identify the Design Category</w:t>
      </w:r>
    </w:p>
    <w:p w:rsidR="0064594E" w:rsidRPr="00F64913" w:rsidRDefault="0064594E" w:rsidP="00752550">
      <w:pPr>
        <w:numPr>
          <w:ilvl w:val="0"/>
          <w:numId w:val="8"/>
        </w:numPr>
        <w:shd w:val="clear" w:color="auto" w:fill="FFFFFF" w:themeFill="background1"/>
        <w:spacing w:after="180"/>
        <w:contextualSpacing/>
        <w:rPr>
          <w:lang w:val="en-AU"/>
        </w:rPr>
      </w:pPr>
      <w:r w:rsidRPr="00F64913">
        <w:rPr>
          <w:lang w:val="en-AU"/>
        </w:rPr>
        <w:t>Step 2C - Identify if there is a room for On-Site Overnight Assistance</w:t>
      </w:r>
    </w:p>
    <w:p w:rsidR="0064594E" w:rsidRPr="00F64913" w:rsidRDefault="0064594E" w:rsidP="00752550">
      <w:pPr>
        <w:numPr>
          <w:ilvl w:val="0"/>
          <w:numId w:val="8"/>
        </w:numPr>
        <w:shd w:val="clear" w:color="auto" w:fill="FFFFFF" w:themeFill="background1"/>
        <w:spacing w:after="180"/>
        <w:contextualSpacing/>
        <w:rPr>
          <w:lang w:val="en-AU"/>
        </w:rPr>
      </w:pPr>
      <w:r w:rsidRPr="00F64913">
        <w:rPr>
          <w:lang w:val="en-AU"/>
        </w:rPr>
        <w:t>Step 2D – Determine the Base Price</w:t>
      </w:r>
      <w:r w:rsidR="00BD7D2C">
        <w:rPr>
          <w:lang w:val="en-AU"/>
        </w:rPr>
        <w:t xml:space="preserve"> Cap</w:t>
      </w:r>
    </w:p>
    <w:p w:rsidR="0064594E" w:rsidRPr="00F64913" w:rsidRDefault="0064594E" w:rsidP="00752550">
      <w:pPr>
        <w:numPr>
          <w:ilvl w:val="0"/>
          <w:numId w:val="7"/>
        </w:numPr>
        <w:shd w:val="clear" w:color="auto" w:fill="FFFFFF" w:themeFill="background1"/>
        <w:spacing w:after="180"/>
        <w:contextualSpacing/>
        <w:rPr>
          <w:lang w:val="en-AU"/>
        </w:rPr>
      </w:pPr>
      <w:r w:rsidRPr="00F64913">
        <w:rPr>
          <w:lang w:val="en-AU"/>
        </w:rPr>
        <w:t>Step 3: Identify if there is an additional breakout room</w:t>
      </w:r>
    </w:p>
    <w:p w:rsidR="0064594E" w:rsidRPr="00F64913" w:rsidRDefault="0064594E" w:rsidP="00752550">
      <w:pPr>
        <w:numPr>
          <w:ilvl w:val="0"/>
          <w:numId w:val="7"/>
        </w:numPr>
        <w:shd w:val="clear" w:color="auto" w:fill="FFFFFF" w:themeFill="background1"/>
        <w:spacing w:after="180"/>
        <w:contextualSpacing/>
        <w:rPr>
          <w:lang w:val="en-AU"/>
        </w:rPr>
      </w:pPr>
      <w:r w:rsidRPr="00F64913">
        <w:rPr>
          <w:lang w:val="en-AU"/>
        </w:rPr>
        <w:t>Step 4: Identify the Location Factor</w:t>
      </w:r>
    </w:p>
    <w:p w:rsidR="0064594E" w:rsidRPr="00F64913" w:rsidRDefault="0064594E" w:rsidP="00752550">
      <w:pPr>
        <w:numPr>
          <w:ilvl w:val="0"/>
          <w:numId w:val="7"/>
        </w:numPr>
        <w:shd w:val="clear" w:color="auto" w:fill="FFFFFF" w:themeFill="background1"/>
        <w:spacing w:after="180"/>
        <w:contextualSpacing/>
        <w:rPr>
          <w:lang w:val="en-AU"/>
        </w:rPr>
      </w:pPr>
      <w:r w:rsidRPr="00F64913">
        <w:rPr>
          <w:lang w:val="en-AU"/>
        </w:rPr>
        <w:t>Step 5: Identify the Fire Sprinkler allowance (if applicable)</w:t>
      </w:r>
    </w:p>
    <w:p w:rsidR="00AE5BFF" w:rsidRDefault="0064594E" w:rsidP="00AE5BFF">
      <w:pPr>
        <w:numPr>
          <w:ilvl w:val="0"/>
          <w:numId w:val="7"/>
        </w:numPr>
        <w:shd w:val="clear" w:color="auto" w:fill="FFFFFF" w:themeFill="background1"/>
        <w:spacing w:after="180"/>
        <w:contextualSpacing/>
        <w:rPr>
          <w:lang w:val="en-AU"/>
        </w:rPr>
      </w:pPr>
      <w:r w:rsidRPr="00F64913">
        <w:rPr>
          <w:lang w:val="en-AU"/>
        </w:rPr>
        <w:t>Step 6: Ap</w:t>
      </w:r>
      <w:bookmarkStart w:id="22" w:name="_Toc534203506"/>
      <w:bookmarkStart w:id="23" w:name="_Toc524092253"/>
      <w:r w:rsidRPr="00F64913">
        <w:rPr>
          <w:lang w:val="en-AU"/>
        </w:rPr>
        <w:t xml:space="preserve">ply the formula in </w:t>
      </w:r>
      <w:r w:rsidR="00AE5BFF">
        <w:rPr>
          <w:lang w:val="en-AU"/>
        </w:rPr>
        <w:t>the box above</w:t>
      </w:r>
    </w:p>
    <w:p w:rsidR="00AE5BFF" w:rsidRPr="00AE5BFF" w:rsidRDefault="00AE5BFF" w:rsidP="00AE5BFF">
      <w:pPr>
        <w:shd w:val="clear" w:color="auto" w:fill="FFFFFF" w:themeFill="background1"/>
        <w:spacing w:after="180"/>
        <w:ind w:left="720"/>
        <w:contextualSpacing/>
        <w:rPr>
          <w:lang w:val="en-AU"/>
        </w:rPr>
      </w:pPr>
    </w:p>
    <w:tbl>
      <w:tblPr>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AE5BFF" w:rsidRPr="00F64913" w:rsidTr="00C80B86">
        <w:trPr>
          <w:tblHeader/>
          <w:jc w:val="center"/>
        </w:trPr>
        <w:tc>
          <w:tcPr>
            <w:tcW w:w="5000" w:type="pct"/>
            <w:tcBorders>
              <w:top w:val="single" w:sz="4" w:space="0" w:color="auto"/>
              <w:left w:val="single" w:sz="4" w:space="0" w:color="auto"/>
              <w:bottom w:val="single" w:sz="4" w:space="0" w:color="auto"/>
              <w:right w:val="single" w:sz="4" w:space="0" w:color="auto"/>
            </w:tcBorders>
            <w:hideMark/>
          </w:tcPr>
          <w:p w:rsidR="00AE5BFF" w:rsidRPr="00F64913" w:rsidRDefault="00AE5BFF" w:rsidP="00C80B86">
            <w:pPr>
              <w:keepNext/>
              <w:keepLines/>
              <w:shd w:val="clear" w:color="auto" w:fill="FFFFFF" w:themeFill="background1"/>
              <w:tabs>
                <w:tab w:val="left" w:pos="1105"/>
                <w:tab w:val="left" w:pos="1717"/>
              </w:tabs>
              <w:jc w:val="right"/>
              <w:rPr>
                <w:rFonts w:cstheme="minorHAnsi"/>
                <w:i/>
                <w:sz w:val="18"/>
                <w:szCs w:val="18"/>
                <w:lang w:val="en-AU"/>
              </w:rPr>
            </w:pPr>
            <w:r w:rsidRPr="00F64913">
              <w:rPr>
                <w:rFonts w:cstheme="minorHAnsi"/>
                <w:i/>
                <w:sz w:val="18"/>
                <w:szCs w:val="18"/>
                <w:lang w:val="en-AU"/>
              </w:rPr>
              <w:t xml:space="preserve">SDA </w:t>
            </w:r>
            <w:r>
              <w:rPr>
                <w:rFonts w:cstheme="minorHAnsi"/>
                <w:i/>
                <w:sz w:val="18"/>
                <w:szCs w:val="18"/>
                <w:lang w:val="en-AU"/>
              </w:rPr>
              <w:t>price cap</w:t>
            </w:r>
            <w:r w:rsidRPr="00F64913">
              <w:rPr>
                <w:rFonts w:cstheme="minorHAnsi"/>
                <w:i/>
                <w:sz w:val="18"/>
                <w:szCs w:val="18"/>
                <w:lang w:val="en-AU"/>
              </w:rPr>
              <w:t xml:space="preserve"> </w:t>
            </w:r>
            <w:r w:rsidRPr="00F64913">
              <w:rPr>
                <w:rFonts w:cstheme="minorHAnsi"/>
                <w:i/>
                <w:sz w:val="18"/>
                <w:szCs w:val="18"/>
                <w:lang w:val="en-AU"/>
              </w:rPr>
              <w:tab/>
              <w:t xml:space="preserve"> = </w:t>
            </w:r>
            <w:r w:rsidRPr="00F64913">
              <w:rPr>
                <w:rFonts w:cstheme="minorHAnsi"/>
                <w:i/>
                <w:sz w:val="18"/>
                <w:szCs w:val="18"/>
                <w:lang w:val="en-AU"/>
              </w:rPr>
              <w:tab/>
              <w:t>(Base Price</w:t>
            </w:r>
            <w:r>
              <w:rPr>
                <w:rFonts w:cstheme="minorHAnsi"/>
                <w:i/>
                <w:sz w:val="18"/>
                <w:szCs w:val="18"/>
                <w:lang w:val="en-AU"/>
              </w:rPr>
              <w:t xml:space="preserve"> Cap</w:t>
            </w:r>
            <w:r w:rsidRPr="00F64913">
              <w:rPr>
                <w:rFonts w:cstheme="minorHAnsi"/>
                <w:i/>
                <w:sz w:val="18"/>
                <w:szCs w:val="18"/>
                <w:lang w:val="en-AU"/>
              </w:rPr>
              <w:t xml:space="preserve"> + Breakout Room Price</w:t>
            </w:r>
            <w:r>
              <w:rPr>
                <w:rFonts w:cstheme="minorHAnsi"/>
                <w:i/>
                <w:sz w:val="18"/>
                <w:szCs w:val="18"/>
                <w:lang w:val="en-AU"/>
              </w:rPr>
              <w:t xml:space="preserve"> Cap</w:t>
            </w:r>
            <w:r w:rsidRPr="00F64913">
              <w:rPr>
                <w:rFonts w:cstheme="minorHAnsi"/>
                <w:i/>
                <w:sz w:val="18"/>
                <w:szCs w:val="18"/>
                <w:lang w:val="en-AU"/>
              </w:rPr>
              <w:t xml:space="preserve"> (if applicable))</w:t>
            </w:r>
          </w:p>
          <w:p w:rsidR="00AE5BFF" w:rsidRPr="00F64913" w:rsidRDefault="00AE5BFF" w:rsidP="00C80B86">
            <w:pPr>
              <w:keepNext/>
              <w:keepLines/>
              <w:shd w:val="clear" w:color="auto" w:fill="FFFFFF" w:themeFill="background1"/>
              <w:tabs>
                <w:tab w:val="left" w:pos="1717"/>
              </w:tabs>
              <w:jc w:val="right"/>
              <w:rPr>
                <w:rFonts w:cstheme="minorHAnsi"/>
                <w:i/>
                <w:sz w:val="18"/>
                <w:szCs w:val="18"/>
                <w:lang w:val="en-AU"/>
              </w:rPr>
            </w:pPr>
            <w:r w:rsidRPr="00F64913">
              <w:rPr>
                <w:rFonts w:cstheme="minorHAnsi"/>
                <w:i/>
                <w:sz w:val="18"/>
                <w:szCs w:val="18"/>
                <w:lang w:val="en-AU"/>
              </w:rPr>
              <w:tab/>
              <w:t xml:space="preserve">Multiplied by Location Factor </w:t>
            </w:r>
          </w:p>
          <w:p w:rsidR="00AE5BFF" w:rsidRPr="00F64913" w:rsidRDefault="00AE5BFF" w:rsidP="00C80B86">
            <w:pPr>
              <w:keepNext/>
              <w:keepLines/>
              <w:shd w:val="clear" w:color="auto" w:fill="FFFFFF" w:themeFill="background1"/>
              <w:tabs>
                <w:tab w:val="left" w:pos="1717"/>
              </w:tabs>
              <w:jc w:val="right"/>
              <w:rPr>
                <w:rFonts w:cstheme="minorHAnsi"/>
                <w:i/>
                <w:sz w:val="18"/>
                <w:szCs w:val="18"/>
                <w:lang w:val="en-AU"/>
              </w:rPr>
            </w:pPr>
            <w:r w:rsidRPr="00F64913">
              <w:rPr>
                <w:rFonts w:cstheme="minorHAnsi"/>
                <w:i/>
                <w:sz w:val="18"/>
                <w:szCs w:val="18"/>
                <w:lang w:val="en-AU"/>
              </w:rPr>
              <w:tab/>
              <w:t xml:space="preserve">Multiplied by (1 + Fire Sprinkler Allowance) (if applicable) </w:t>
            </w:r>
          </w:p>
        </w:tc>
      </w:tr>
    </w:tbl>
    <w:p w:rsidR="0064594E" w:rsidRPr="00F64913" w:rsidRDefault="0064594E" w:rsidP="00BF27E8">
      <w:pPr>
        <w:pStyle w:val="Heading3"/>
        <w:rPr>
          <w:sz w:val="32"/>
          <w:szCs w:val="32"/>
        </w:rPr>
      </w:pPr>
      <w:r w:rsidRPr="00F64913">
        <w:t>Step 1: New Build, Existing Stock or Legacy Stock</w:t>
      </w:r>
      <w:bookmarkEnd w:id="22"/>
      <w:bookmarkEnd w:id="23"/>
    </w:p>
    <w:p w:rsidR="0064594E" w:rsidRPr="00F64913" w:rsidRDefault="0064594E" w:rsidP="002241F5">
      <w:pPr>
        <w:shd w:val="clear" w:color="auto" w:fill="FFFFFF" w:themeFill="background1"/>
        <w:spacing w:after="180"/>
        <w:rPr>
          <w:lang w:val="en-AU"/>
        </w:rPr>
      </w:pPr>
      <w:r w:rsidRPr="00F64913">
        <w:rPr>
          <w:lang w:val="en-AU"/>
        </w:rPr>
        <w:t xml:space="preserve">Different SDA </w:t>
      </w:r>
      <w:r w:rsidR="006773BA">
        <w:rPr>
          <w:lang w:val="en-AU"/>
        </w:rPr>
        <w:t>price cap</w:t>
      </w:r>
      <w:r w:rsidRPr="00F64913">
        <w:rPr>
          <w:lang w:val="en-AU"/>
        </w:rPr>
        <w:t xml:space="preserve">s are paid depending on whether the dwelling used to provide SDA is classified as a New Build, Existing Stock or Legacy Stock. The definitions for New Build, Existing Stock and Legacy Stock are set out in the SDA Rules and the SDA NDIS Q&amp;SC Rule. They are </w:t>
      </w:r>
      <w:r w:rsidRPr="00E86F88">
        <w:rPr>
          <w:lang w:val="en-AU"/>
        </w:rPr>
        <w:t xml:space="preserve">summarised in </w:t>
      </w:r>
      <w:r w:rsidRPr="00E86F88">
        <w:rPr>
          <w:lang w:val="en-AU"/>
        </w:rPr>
        <w:fldChar w:fldCharType="begin"/>
      </w:r>
      <w:r w:rsidRPr="00E86F88">
        <w:rPr>
          <w:lang w:val="en-AU"/>
        </w:rPr>
        <w:instrText xml:space="preserve"> REF _Ref525910298 \h  \* MERGEFORMAT </w:instrText>
      </w:r>
      <w:r w:rsidRPr="00E86F88">
        <w:rPr>
          <w:lang w:val="en-AU"/>
        </w:rPr>
      </w:r>
      <w:r w:rsidRPr="00E86F88">
        <w:rPr>
          <w:lang w:val="en-AU"/>
        </w:rPr>
        <w:fldChar w:fldCharType="separate"/>
      </w:r>
      <w:r w:rsidR="00A3319D" w:rsidRPr="00F64913">
        <w:rPr>
          <w:lang w:val="en-AU"/>
        </w:rPr>
        <w:t xml:space="preserve">Table </w:t>
      </w:r>
      <w:r w:rsidR="00A3319D">
        <w:rPr>
          <w:lang w:val="en-AU"/>
        </w:rPr>
        <w:t>1</w:t>
      </w:r>
      <w:r w:rsidRPr="00E86F88">
        <w:rPr>
          <w:lang w:val="en-AU"/>
        </w:rPr>
        <w:fldChar w:fldCharType="end"/>
      </w:r>
      <w:r w:rsidRPr="00E86F88">
        <w:rPr>
          <w:lang w:val="en-AU"/>
        </w:rPr>
        <w:t xml:space="preserve"> below</w:t>
      </w:r>
      <w:r w:rsidRPr="00F64913">
        <w:rPr>
          <w:lang w:val="en-AU"/>
        </w:rPr>
        <w:t>.</w:t>
      </w:r>
    </w:p>
    <w:p w:rsidR="0064594E" w:rsidRPr="00F64913" w:rsidRDefault="0064594E" w:rsidP="001229C3">
      <w:pPr>
        <w:pStyle w:val="Caption"/>
        <w:rPr>
          <w:lang w:val="en-AU"/>
        </w:rPr>
      </w:pPr>
      <w:bookmarkStart w:id="24" w:name="_Ref525910298"/>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1</w:t>
      </w:r>
      <w:r w:rsidRPr="00F64913">
        <w:rPr>
          <w:lang w:val="en-AU"/>
        </w:rPr>
        <w:fldChar w:fldCharType="end"/>
      </w:r>
      <w:bookmarkEnd w:id="24"/>
      <w:r w:rsidRPr="00F64913">
        <w:rPr>
          <w:lang w:val="en-AU"/>
        </w:rPr>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88"/>
        <w:gridCol w:w="8028"/>
      </w:tblGrid>
      <w:tr w:rsidR="0064594E" w:rsidRPr="00F64913" w:rsidTr="00590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hideMark/>
          </w:tcPr>
          <w:p w:rsidR="0064594E" w:rsidRPr="00F64913" w:rsidRDefault="0064594E" w:rsidP="001229C3">
            <w:pPr>
              <w:keepNext/>
              <w:rPr>
                <w:szCs w:val="18"/>
                <w:lang w:val="en-AU"/>
              </w:rPr>
            </w:pPr>
            <w:r w:rsidRPr="00F64913">
              <w:rPr>
                <w:szCs w:val="18"/>
                <w:lang w:val="en-AU"/>
              </w:rPr>
              <w:t>Type of SDA</w:t>
            </w:r>
          </w:p>
        </w:tc>
        <w:tc>
          <w:tcPr>
            <w:tcW w:w="8028" w:type="dxa"/>
            <w:hideMark/>
          </w:tcPr>
          <w:p w:rsidR="0064594E" w:rsidRPr="00F64913" w:rsidRDefault="0064594E" w:rsidP="001229C3">
            <w:pPr>
              <w:keepNext/>
              <w:cnfStyle w:val="100000000000" w:firstRow="1" w:lastRow="0" w:firstColumn="0" w:lastColumn="0" w:oddVBand="0" w:evenVBand="0" w:oddHBand="0" w:evenHBand="0" w:firstRowFirstColumn="0" w:firstRowLastColumn="0" w:lastRowFirstColumn="0" w:lastRowLastColumn="0"/>
              <w:rPr>
                <w:szCs w:val="18"/>
                <w:lang w:val="en-AU"/>
              </w:rPr>
            </w:pPr>
            <w:r w:rsidRPr="00F64913">
              <w:rPr>
                <w:szCs w:val="18"/>
                <w:lang w:val="en-AU"/>
              </w:rPr>
              <w:t>Definition</w:t>
            </w:r>
          </w:p>
        </w:tc>
      </w:tr>
      <w:tr w:rsidR="0064594E" w:rsidRPr="00F64913" w:rsidTr="0022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0064594E" w:rsidRPr="00F64913" w:rsidRDefault="0064594E" w:rsidP="00884404">
            <w:pPr>
              <w:rPr>
                <w:szCs w:val="18"/>
                <w:lang w:val="en-AU"/>
              </w:rPr>
            </w:pPr>
            <w:r w:rsidRPr="00F64913">
              <w:rPr>
                <w:szCs w:val="18"/>
                <w:lang w:val="en-AU"/>
              </w:rPr>
              <w:t>New Build</w:t>
            </w:r>
          </w:p>
        </w:tc>
        <w:tc>
          <w:tcPr>
            <w:tcW w:w="8028" w:type="dxa"/>
            <w:hideMark/>
          </w:tcPr>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szCs w:val="18"/>
                <w:lang w:val="en-AU"/>
              </w:rPr>
            </w:pPr>
            <w:bookmarkStart w:id="25" w:name="_Ref459754144"/>
            <w:r w:rsidRPr="00F64913">
              <w:rPr>
                <w:szCs w:val="18"/>
                <w:lang w:val="en-AU"/>
              </w:rPr>
              <w:t>A dwelling is a New Build if it meets all of the following five conditions:</w:t>
            </w:r>
            <w:bookmarkEnd w:id="25"/>
          </w:p>
          <w:p w:rsidR="0064594E" w:rsidRPr="00F64913" w:rsidRDefault="0064594E" w:rsidP="00752550">
            <w:pPr>
              <w:pStyle w:val="ListParagraph"/>
              <w:numPr>
                <w:ilvl w:val="0"/>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bookmarkStart w:id="26" w:name="_Ref466363665"/>
            <w:r w:rsidRPr="00F64913">
              <w:rPr>
                <w:szCs w:val="18"/>
                <w:lang w:val="en-AU"/>
              </w:rPr>
              <w:t xml:space="preserve">either: </w:t>
            </w:r>
          </w:p>
          <w:p w:rsidR="0064594E" w:rsidRPr="00F64913" w:rsidRDefault="0064594E" w:rsidP="00752550">
            <w:pPr>
              <w:pStyle w:val="ListParagraph"/>
              <w:numPr>
                <w:ilvl w:val="1"/>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 xml:space="preserve">it was issued its first certificate of occupancy (or equivalent) on or after 1 April 2016; or </w:t>
            </w:r>
            <w:bookmarkEnd w:id="26"/>
          </w:p>
          <w:p w:rsidR="0064594E" w:rsidRPr="00F64913" w:rsidRDefault="0064594E" w:rsidP="00752550">
            <w:pPr>
              <w:pStyle w:val="ListParagraph"/>
              <w:numPr>
                <w:ilvl w:val="1"/>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it has been renovated or refurbished and issued with a certificate of occupancy (or equivalent) after 1 April 2016, and:</w:t>
            </w:r>
          </w:p>
          <w:p w:rsidR="0064594E" w:rsidRPr="00F64913" w:rsidRDefault="0064594E" w:rsidP="00752550">
            <w:pPr>
              <w:pStyle w:val="ListParagraph"/>
              <w:numPr>
                <w:ilvl w:val="2"/>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because of the renovation or refurbishment the dwelling meets the Minimum Requirements for a Design Category other than Basic design set out at Step 2B below; and</w:t>
            </w:r>
          </w:p>
          <w:p w:rsidR="0064594E" w:rsidRPr="00F64913" w:rsidRDefault="0064594E" w:rsidP="00752550">
            <w:pPr>
              <w:pStyle w:val="ListParagraph"/>
              <w:numPr>
                <w:ilvl w:val="2"/>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 xml:space="preserve">the cost of the refurbishment is equal to or greater than the amount set out in </w:t>
            </w:r>
            <w:r w:rsidR="00392BC9" w:rsidRPr="00F64913">
              <w:rPr>
                <w:szCs w:val="18"/>
                <w:lang w:val="en-AU"/>
              </w:rPr>
              <w:t>than the cost set out in the costs schedule published by the Agency for this purpose</w:t>
            </w:r>
            <w:r w:rsidRPr="00F64913">
              <w:rPr>
                <w:szCs w:val="18"/>
                <w:lang w:val="en-AU"/>
              </w:rPr>
              <w:t xml:space="preserve">; </w:t>
            </w:r>
            <w:bookmarkStart w:id="27" w:name="_Ref459714103"/>
            <w:r w:rsidRPr="00F64913">
              <w:rPr>
                <w:szCs w:val="18"/>
                <w:lang w:val="en-AU"/>
              </w:rPr>
              <w:t>and</w:t>
            </w:r>
          </w:p>
          <w:p w:rsidR="0064594E" w:rsidRPr="00F64913" w:rsidRDefault="0064594E" w:rsidP="00752550">
            <w:pPr>
              <w:pStyle w:val="ListParagraph"/>
              <w:numPr>
                <w:ilvl w:val="0"/>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either:</w:t>
            </w:r>
          </w:p>
          <w:p w:rsidR="0064594E" w:rsidRPr="00F64913" w:rsidRDefault="0064594E" w:rsidP="00752550">
            <w:pPr>
              <w:pStyle w:val="ListParagraph"/>
              <w:numPr>
                <w:ilvl w:val="1"/>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It is enrolled to house five or fewer long-term residents (excluding support staff);</w:t>
            </w:r>
            <w:bookmarkEnd w:id="27"/>
            <w:r w:rsidRPr="00F64913">
              <w:rPr>
                <w:szCs w:val="18"/>
                <w:lang w:val="en-AU"/>
              </w:rPr>
              <w:t xml:space="preserve"> or</w:t>
            </w:r>
          </w:p>
          <w:p w:rsidR="0064594E" w:rsidRPr="00F64913" w:rsidRDefault="0064594E" w:rsidP="00752550">
            <w:pPr>
              <w:pStyle w:val="ListParagraph"/>
              <w:numPr>
                <w:ilvl w:val="1"/>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bookmarkStart w:id="28" w:name="_Ref466539586"/>
            <w:r w:rsidRPr="00F64913">
              <w:rPr>
                <w:szCs w:val="18"/>
                <w:lang w:val="en-AU"/>
              </w:rPr>
              <w:t>It is the home of a participant who intends to provide SDA to themselves (as a registered provider) and to reside there with the participant’s spouse or de facto partner and children;</w:t>
            </w:r>
            <w:bookmarkEnd w:id="28"/>
            <w:r w:rsidRPr="00F64913">
              <w:rPr>
                <w:szCs w:val="18"/>
                <w:lang w:val="en-AU"/>
              </w:rPr>
              <w:t xml:space="preserve"> and</w:t>
            </w:r>
          </w:p>
          <w:p w:rsidR="0064594E" w:rsidRPr="00F64913" w:rsidRDefault="0064594E" w:rsidP="00752550">
            <w:pPr>
              <w:pStyle w:val="ListParagraph"/>
              <w:numPr>
                <w:ilvl w:val="0"/>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bookmarkStart w:id="29" w:name="_Ref459714113"/>
            <w:r w:rsidRPr="00F64913">
              <w:rPr>
                <w:szCs w:val="18"/>
                <w:lang w:val="en-AU"/>
              </w:rPr>
              <w:t>all its shared areas and the majority of its bedrooms and similar sized private rooms comply with the Minimum Requirements for a Design Category other than Basic design set out at Step 2B below;</w:t>
            </w:r>
          </w:p>
          <w:p w:rsidR="0064594E" w:rsidRPr="00F64913" w:rsidRDefault="0064594E" w:rsidP="00752550">
            <w:pPr>
              <w:pStyle w:val="ListParagraph"/>
              <w:numPr>
                <w:ilvl w:val="0"/>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it does not breach the density restrictions for New Builds in SDA Rules 6.14 to 6.17. The density restrictions apply when there are multiple dwellings on a single parcel of land</w:t>
            </w:r>
            <w:bookmarkEnd w:id="29"/>
            <w:r w:rsidRPr="00F64913">
              <w:rPr>
                <w:szCs w:val="18"/>
                <w:lang w:val="en-AU"/>
              </w:rPr>
              <w:t>; and</w:t>
            </w:r>
          </w:p>
          <w:p w:rsidR="0064594E" w:rsidRPr="00F64913" w:rsidRDefault="0064594E" w:rsidP="00752550">
            <w:pPr>
              <w:pStyle w:val="ListParagraph"/>
              <w:numPr>
                <w:ilvl w:val="0"/>
                <w:numId w:val="15"/>
              </w:numPr>
              <w:contextualSpacing w:val="0"/>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fewer than 20 years have elapsed from the date the certificate of occupancy (or equivalent) in paragraph 1 of the Definition of New Build above was issued.</w:t>
            </w:r>
          </w:p>
        </w:tc>
      </w:tr>
      <w:tr w:rsidR="0064594E" w:rsidRPr="00F64913" w:rsidTr="002241F5">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64594E" w:rsidRPr="00F64913" w:rsidRDefault="0064594E" w:rsidP="00884404">
            <w:pPr>
              <w:rPr>
                <w:szCs w:val="18"/>
                <w:lang w:val="en-AU"/>
              </w:rPr>
            </w:pPr>
            <w:r w:rsidRPr="00F64913">
              <w:rPr>
                <w:szCs w:val="18"/>
                <w:lang w:val="en-AU"/>
              </w:rPr>
              <w:t xml:space="preserve">Existing Stock </w:t>
            </w:r>
          </w:p>
          <w:p w:rsidR="0064594E" w:rsidRPr="00F64913" w:rsidRDefault="0064594E" w:rsidP="00884404">
            <w:pPr>
              <w:rPr>
                <w:szCs w:val="18"/>
                <w:lang w:val="en-AU"/>
              </w:rPr>
            </w:pPr>
          </w:p>
        </w:tc>
        <w:tc>
          <w:tcPr>
            <w:tcW w:w="8028" w:type="dxa"/>
          </w:tcPr>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A dwelling is Existing Stock if it meets all of the following six conditions:</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does not have a certificate of occupancy for a New Build (described in paragraph 1 of the definition of New Builds above); and</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is enrolled to house five or fewer long-term residents (excluding support staff); and</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has been, at some time between 1 July 2013 and 1 December 2016, primarily used as accommodation for people with disability who have an extreme functional impairment or very high support needs; and</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is not an aged care, health care or other facility that is not specifically intended for use as disability accommodation; and</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housed at least one resident who received disability related supported accommodation (or equivalent) payments from a State, Territory or Commonwealth Government at some time between 1 July 2013 and 1 December 2016; and</w:t>
            </w:r>
          </w:p>
          <w:p w:rsidR="0064594E" w:rsidRPr="00F64913" w:rsidRDefault="0064594E" w:rsidP="00752550">
            <w:pPr>
              <w:pStyle w:val="ListParagraph"/>
              <w:numPr>
                <w:ilvl w:val="0"/>
                <w:numId w:val="14"/>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all its shared areas and the majority of its bedrooms and similar sized private rooms comply, or substantially comply, with the Minimum Requirements for any of the Design Categories set out at Step 2B below.</w:t>
            </w:r>
          </w:p>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szCs w:val="18"/>
                <w:lang w:val="en-AU"/>
              </w:rPr>
            </w:pPr>
          </w:p>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A dwelling is also Existing Stock if it meets all of the following three conditions:</w:t>
            </w:r>
          </w:p>
          <w:p w:rsidR="0064594E" w:rsidRPr="00F64913" w:rsidRDefault="0064594E" w:rsidP="00752550">
            <w:pPr>
              <w:pStyle w:val="ListParagraph"/>
              <w:numPr>
                <w:ilvl w:val="0"/>
                <w:numId w:val="13"/>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does not have a certificate of occupancy for a New Build (described in paragraph 1 of the definition of New Builds above); and</w:t>
            </w:r>
          </w:p>
          <w:p w:rsidR="0064594E" w:rsidRPr="00F64913" w:rsidRDefault="0064594E" w:rsidP="00752550">
            <w:pPr>
              <w:pStyle w:val="ListParagraph"/>
              <w:numPr>
                <w:ilvl w:val="0"/>
                <w:numId w:val="13"/>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either:</w:t>
            </w:r>
          </w:p>
          <w:p w:rsidR="0064594E" w:rsidRPr="00F64913" w:rsidRDefault="0064594E" w:rsidP="00752550">
            <w:pPr>
              <w:pStyle w:val="ListParagraph"/>
              <w:numPr>
                <w:ilvl w:val="0"/>
                <w:numId w:val="13"/>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is enrolled to house five or fewer long-term residents (excluding support staff); or</w:t>
            </w:r>
          </w:p>
          <w:p w:rsidR="0064594E" w:rsidRPr="00F64913" w:rsidRDefault="0064594E" w:rsidP="00752550">
            <w:pPr>
              <w:pStyle w:val="ListParagraph"/>
              <w:numPr>
                <w:ilvl w:val="0"/>
                <w:numId w:val="13"/>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It is the home of a participant who intends to provide SDA to themselves (as a registered provider) and to reside there with the participant’s spouse or de facto partner and children; and</w:t>
            </w:r>
          </w:p>
          <w:p w:rsidR="0064594E" w:rsidRPr="00F64913" w:rsidRDefault="0064594E" w:rsidP="00752550">
            <w:pPr>
              <w:pStyle w:val="ListParagraph"/>
              <w:numPr>
                <w:ilvl w:val="0"/>
                <w:numId w:val="13"/>
              </w:numPr>
              <w:contextualSpacing w:val="0"/>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 xml:space="preserve">All its shared areas and the majority of its bedrooms and similar sized private rooms comply with the Minimum Requirements for a Design Category other than Basic design set out at Step 2B below. </w:t>
            </w:r>
          </w:p>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szCs w:val="18"/>
                <w:lang w:val="en-AU"/>
              </w:rPr>
            </w:pPr>
          </w:p>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A dwelling is also Existing Stock if it would be a New Build except for the application of paragraph 5) of the Definition of New Builds above that is, if 20 years or more have elapsed from the date the certificate of occupancy (or equivalent) was issued.</w:t>
            </w:r>
          </w:p>
        </w:tc>
      </w:tr>
      <w:tr w:rsidR="0064594E" w:rsidRPr="00F64913" w:rsidTr="0022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0064594E" w:rsidRPr="00F64913" w:rsidRDefault="0064594E" w:rsidP="00884404">
            <w:pPr>
              <w:rPr>
                <w:szCs w:val="18"/>
                <w:lang w:val="en-AU"/>
              </w:rPr>
            </w:pPr>
            <w:r w:rsidRPr="00F64913">
              <w:rPr>
                <w:szCs w:val="18"/>
                <w:lang w:val="en-AU"/>
              </w:rPr>
              <w:t>Legacy Stock</w:t>
            </w:r>
          </w:p>
        </w:tc>
        <w:tc>
          <w:tcPr>
            <w:tcW w:w="8028" w:type="dxa"/>
            <w:hideMark/>
          </w:tcPr>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A dwelling is Legacy Stock if it meets all of the following six conditions:</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It does not have a certificate of occupancy for a New Build (described in paragraph 1 of the definition of New Builds above); and</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It is enrolled to house more than five long-term residents (excluding support staff); and</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It has been, at some time between 1 July 2013 and 1 December 2016, primarily used as accommodation for people with disability who have an extreme functional impairment or very high support needs; and</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It housed at least one resident who received disability related supported accommodation (or equivalent) payments from a State, Territory or Commonwealth Government at some time between 1 July 2013 and 1 December 2016; and</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It is not an aged care, health care or other facility that is not specifically intended for use as disability accommodation; and</w:t>
            </w:r>
          </w:p>
          <w:p w:rsidR="0064594E" w:rsidRPr="00F64913" w:rsidRDefault="0064594E" w:rsidP="00752550">
            <w:pPr>
              <w:pStyle w:val="NDIS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64913">
              <w:rPr>
                <w:sz w:val="18"/>
                <w:szCs w:val="18"/>
              </w:rPr>
              <w:t>All its shared areas and the majority of its bedrooms and similar sized private rooms comply, or substantially comply, with the Minimum Requirements for any of the Design Categories set out at Step 2B below.</w:t>
            </w:r>
          </w:p>
        </w:tc>
      </w:tr>
    </w:tbl>
    <w:p w:rsidR="0064594E" w:rsidRPr="00F64913" w:rsidRDefault="0064594E" w:rsidP="00BF27E8">
      <w:pPr>
        <w:pStyle w:val="Heading3"/>
      </w:pPr>
      <w:bookmarkStart w:id="30" w:name="_Toc534203507"/>
      <w:r w:rsidRPr="00F64913">
        <w:t>Step 2A: Building Type</w:t>
      </w:r>
      <w:bookmarkEnd w:id="30"/>
    </w:p>
    <w:p w:rsidR="0064594E" w:rsidRPr="00F64913" w:rsidRDefault="0064594E" w:rsidP="002241F5">
      <w:pPr>
        <w:shd w:val="clear" w:color="auto" w:fill="FFFFFF" w:themeFill="background1"/>
        <w:rPr>
          <w:lang w:val="en-AU"/>
        </w:rPr>
      </w:pPr>
      <w:r w:rsidRPr="00F64913">
        <w:rPr>
          <w:lang w:val="en-AU"/>
        </w:rPr>
        <w:t xml:space="preserve">Dwellings are enrolled according to the Building Type specified by the registered provider and the SDA </w:t>
      </w:r>
      <w:r w:rsidR="006773BA">
        <w:rPr>
          <w:lang w:val="en-AU"/>
        </w:rPr>
        <w:t>price cap</w:t>
      </w:r>
      <w:r w:rsidRPr="00F64913">
        <w:rPr>
          <w:lang w:val="en-AU"/>
        </w:rPr>
        <w:t xml:space="preserve"> that applies for the dwelling depends on the Building Type under which the dwelling is enrolled. The complete list of Building Types for which there are separate SDA price</w:t>
      </w:r>
      <w:r w:rsidR="00BD7D2C">
        <w:rPr>
          <w:lang w:val="en-AU"/>
        </w:rPr>
        <w:t xml:space="preserve"> cap</w:t>
      </w:r>
      <w:r w:rsidRPr="00F64913">
        <w:rPr>
          <w:lang w:val="en-AU"/>
        </w:rPr>
        <w:t>s is as follows:</w:t>
      </w:r>
    </w:p>
    <w:p w:rsidR="0064594E" w:rsidRPr="00F64913" w:rsidRDefault="0064594E" w:rsidP="00752550">
      <w:pPr>
        <w:numPr>
          <w:ilvl w:val="1"/>
          <w:numId w:val="3"/>
        </w:numPr>
        <w:shd w:val="clear" w:color="auto" w:fill="FFFFFF" w:themeFill="background1"/>
        <w:tabs>
          <w:tab w:val="clear" w:pos="851"/>
          <w:tab w:val="num" w:pos="1134"/>
        </w:tabs>
        <w:spacing w:before="100" w:after="100" w:line="240" w:lineRule="atLeast"/>
        <w:ind w:left="1134" w:hanging="708"/>
        <w:rPr>
          <w:lang w:val="en-AU"/>
        </w:rPr>
      </w:pPr>
      <w:r w:rsidRPr="00F64913">
        <w:rPr>
          <w:lang w:val="en-AU"/>
        </w:rPr>
        <w:t xml:space="preserve">Apartment, </w:t>
      </w:r>
      <w:r w:rsidR="00E86F88">
        <w:rPr>
          <w:lang w:val="en-AU"/>
        </w:rPr>
        <w:t xml:space="preserve">either 1, 2 or 3 </w:t>
      </w:r>
      <w:r w:rsidRPr="00F64913">
        <w:rPr>
          <w:lang w:val="en-AU"/>
        </w:rPr>
        <w:t>bedroom</w:t>
      </w:r>
      <w:r w:rsidR="00E86F88">
        <w:rPr>
          <w:lang w:val="en-AU"/>
        </w:rPr>
        <w:t>s</w:t>
      </w:r>
    </w:p>
    <w:p w:rsidR="0064594E" w:rsidRPr="00F64913" w:rsidRDefault="0064594E" w:rsidP="00752550">
      <w:pPr>
        <w:numPr>
          <w:ilvl w:val="1"/>
          <w:numId w:val="3"/>
        </w:numPr>
        <w:shd w:val="clear" w:color="auto" w:fill="FFFFFF" w:themeFill="background1"/>
        <w:tabs>
          <w:tab w:val="clear" w:pos="851"/>
          <w:tab w:val="num" w:pos="1134"/>
        </w:tabs>
        <w:spacing w:before="100" w:after="100" w:line="240" w:lineRule="atLeast"/>
        <w:ind w:left="1134" w:hanging="708"/>
        <w:rPr>
          <w:lang w:val="en-AU"/>
        </w:rPr>
      </w:pPr>
      <w:r w:rsidRPr="00F64913">
        <w:rPr>
          <w:lang w:val="en-AU"/>
        </w:rPr>
        <w:t xml:space="preserve">Villa/duplex/townhouse, </w:t>
      </w:r>
      <w:r w:rsidR="00E86F88">
        <w:rPr>
          <w:lang w:val="en-AU"/>
        </w:rPr>
        <w:t xml:space="preserve">either 1, 2 or 3 </w:t>
      </w:r>
      <w:r w:rsidRPr="00F64913">
        <w:rPr>
          <w:lang w:val="en-AU"/>
        </w:rPr>
        <w:t>resident</w:t>
      </w:r>
      <w:r w:rsidR="00E86F88">
        <w:rPr>
          <w:lang w:val="en-AU"/>
        </w:rPr>
        <w:t>s</w:t>
      </w:r>
    </w:p>
    <w:p w:rsidR="0064594E" w:rsidRPr="00F64913" w:rsidRDefault="0064594E" w:rsidP="00752550">
      <w:pPr>
        <w:numPr>
          <w:ilvl w:val="1"/>
          <w:numId w:val="3"/>
        </w:numPr>
        <w:shd w:val="clear" w:color="auto" w:fill="FFFFFF" w:themeFill="background1"/>
        <w:tabs>
          <w:tab w:val="clear" w:pos="851"/>
          <w:tab w:val="num" w:pos="1134"/>
        </w:tabs>
        <w:spacing w:before="100" w:after="100" w:line="240" w:lineRule="atLeast"/>
        <w:ind w:left="1134" w:hanging="708"/>
        <w:rPr>
          <w:lang w:val="en-AU"/>
        </w:rPr>
      </w:pPr>
      <w:r w:rsidRPr="00F64913">
        <w:rPr>
          <w:lang w:val="en-AU"/>
        </w:rPr>
        <w:t xml:space="preserve">House, </w:t>
      </w:r>
      <w:r w:rsidR="00E86F88">
        <w:rPr>
          <w:lang w:val="en-AU"/>
        </w:rPr>
        <w:t xml:space="preserve">either </w:t>
      </w:r>
      <w:r w:rsidRPr="00F64913">
        <w:rPr>
          <w:lang w:val="en-AU"/>
        </w:rPr>
        <w:t>2</w:t>
      </w:r>
      <w:r w:rsidR="00650839">
        <w:rPr>
          <w:lang w:val="en-AU"/>
        </w:rPr>
        <w:t xml:space="preserve"> </w:t>
      </w:r>
      <w:r w:rsidR="00E86F88">
        <w:rPr>
          <w:lang w:val="en-AU"/>
        </w:rPr>
        <w:t xml:space="preserve">or 3 </w:t>
      </w:r>
      <w:r w:rsidRPr="00F64913">
        <w:rPr>
          <w:lang w:val="en-AU"/>
        </w:rPr>
        <w:t>residents</w:t>
      </w:r>
      <w:r w:rsidR="00E86F88">
        <w:rPr>
          <w:lang w:val="en-AU"/>
        </w:rPr>
        <w:t xml:space="preserve"> </w:t>
      </w:r>
    </w:p>
    <w:p w:rsidR="0064594E" w:rsidRPr="00F64913" w:rsidRDefault="0064594E" w:rsidP="00752550">
      <w:pPr>
        <w:numPr>
          <w:ilvl w:val="1"/>
          <w:numId w:val="3"/>
        </w:numPr>
        <w:shd w:val="clear" w:color="auto" w:fill="FFFFFF" w:themeFill="background1"/>
        <w:tabs>
          <w:tab w:val="clear" w:pos="851"/>
          <w:tab w:val="num" w:pos="1134"/>
        </w:tabs>
        <w:spacing w:before="100" w:after="100" w:line="240" w:lineRule="atLeast"/>
        <w:ind w:left="1134" w:hanging="708"/>
        <w:rPr>
          <w:lang w:val="en-AU"/>
        </w:rPr>
      </w:pPr>
      <w:r w:rsidRPr="00F64913">
        <w:rPr>
          <w:lang w:val="en-AU"/>
        </w:rPr>
        <w:t xml:space="preserve">Group Home, </w:t>
      </w:r>
      <w:r w:rsidR="00E86F88">
        <w:rPr>
          <w:lang w:val="en-AU"/>
        </w:rPr>
        <w:t xml:space="preserve">either </w:t>
      </w:r>
      <w:r w:rsidRPr="00F64913">
        <w:rPr>
          <w:lang w:val="en-AU"/>
        </w:rPr>
        <w:t xml:space="preserve">4 </w:t>
      </w:r>
      <w:r w:rsidR="00E86F88">
        <w:rPr>
          <w:lang w:val="en-AU"/>
        </w:rPr>
        <w:t xml:space="preserve">or 5 </w:t>
      </w:r>
      <w:r w:rsidRPr="00F64913">
        <w:rPr>
          <w:lang w:val="en-AU"/>
        </w:rPr>
        <w:t>residents</w:t>
      </w:r>
    </w:p>
    <w:p w:rsidR="0064594E" w:rsidRPr="00F64913" w:rsidRDefault="0064594E" w:rsidP="00752550">
      <w:pPr>
        <w:numPr>
          <w:ilvl w:val="1"/>
          <w:numId w:val="3"/>
        </w:numPr>
        <w:shd w:val="clear" w:color="auto" w:fill="FFFFFF" w:themeFill="background1"/>
        <w:tabs>
          <w:tab w:val="clear" w:pos="851"/>
          <w:tab w:val="num" w:pos="1134"/>
        </w:tabs>
        <w:spacing w:before="100" w:after="100" w:line="240" w:lineRule="atLeast"/>
        <w:ind w:left="1134" w:hanging="708"/>
        <w:rPr>
          <w:lang w:val="en-AU"/>
        </w:rPr>
      </w:pPr>
      <w:r w:rsidRPr="00F64913">
        <w:rPr>
          <w:lang w:val="en-AU"/>
        </w:rPr>
        <w:t xml:space="preserve">Legacy Stock, 6+ residents. </w:t>
      </w:r>
    </w:p>
    <w:p w:rsidR="0064594E" w:rsidRPr="00F64913" w:rsidRDefault="0064594E" w:rsidP="002241F5">
      <w:pPr>
        <w:shd w:val="clear" w:color="auto" w:fill="FFFFFF" w:themeFill="background1"/>
        <w:rPr>
          <w:lang w:val="en-AU"/>
        </w:rPr>
      </w:pPr>
      <w:r w:rsidRPr="00E86F88">
        <w:rPr>
          <w:lang w:val="en-AU"/>
        </w:rPr>
        <w:fldChar w:fldCharType="begin"/>
      </w:r>
      <w:r w:rsidRPr="00E86F88">
        <w:rPr>
          <w:lang w:val="en-AU"/>
        </w:rPr>
        <w:instrText xml:space="preserve"> REF _Ref525910277 \h  \* MERGEFORMAT </w:instrText>
      </w:r>
      <w:r w:rsidRPr="00E86F88">
        <w:rPr>
          <w:lang w:val="en-AU"/>
        </w:rPr>
      </w:r>
      <w:r w:rsidRPr="00E86F88">
        <w:rPr>
          <w:lang w:val="en-AU"/>
        </w:rPr>
        <w:fldChar w:fldCharType="separate"/>
      </w:r>
      <w:r w:rsidR="00A3319D" w:rsidRPr="00F64913">
        <w:rPr>
          <w:lang w:val="en-AU"/>
        </w:rPr>
        <w:t xml:space="preserve">Table </w:t>
      </w:r>
      <w:r w:rsidR="00A3319D">
        <w:rPr>
          <w:lang w:val="en-AU"/>
        </w:rPr>
        <w:t>2</w:t>
      </w:r>
      <w:r w:rsidRPr="00E86F88">
        <w:rPr>
          <w:lang w:val="en-AU"/>
        </w:rPr>
        <w:fldChar w:fldCharType="end"/>
      </w:r>
      <w:r w:rsidRPr="00E86F88">
        <w:rPr>
          <w:lang w:val="en-AU"/>
        </w:rPr>
        <w:t xml:space="preserve"> sets out</w:t>
      </w:r>
      <w:r w:rsidRPr="00F64913">
        <w:rPr>
          <w:lang w:val="en-AU"/>
        </w:rPr>
        <w:t xml:space="preserve"> the definitions of each Building Type</w:t>
      </w:r>
      <w:r w:rsidR="001229C3" w:rsidRPr="00F64913">
        <w:rPr>
          <w:lang w:val="en-AU"/>
        </w:rPr>
        <w:t xml:space="preserve"> and provides </w:t>
      </w:r>
      <w:r w:rsidRPr="00F64913">
        <w:rPr>
          <w:lang w:val="en-AU"/>
        </w:rPr>
        <w:t xml:space="preserve">further detail on the descriptions contained in the SDA Rules and the SDA NDIS Q&amp;SC Rule. </w:t>
      </w:r>
    </w:p>
    <w:p w:rsidR="0064594E" w:rsidRPr="00F64913" w:rsidRDefault="0064594E" w:rsidP="002241F5">
      <w:pPr>
        <w:pStyle w:val="Caption"/>
        <w:shd w:val="clear" w:color="auto" w:fill="auto"/>
        <w:rPr>
          <w:lang w:val="en-AU"/>
        </w:rPr>
      </w:pPr>
      <w:bookmarkStart w:id="31" w:name="_Ref525910277"/>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2</w:t>
      </w:r>
      <w:r w:rsidRPr="00F64913">
        <w:rPr>
          <w:lang w:val="en-AU"/>
        </w:rPr>
        <w:fldChar w:fldCharType="end"/>
      </w:r>
      <w:bookmarkEnd w:id="31"/>
      <w:r w:rsidRPr="00F64913">
        <w:rPr>
          <w:lang w:val="en-AU"/>
        </w:rPr>
        <w:t>: 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32"/>
        <w:gridCol w:w="5624"/>
        <w:gridCol w:w="1960"/>
      </w:tblGrid>
      <w:tr w:rsidR="0064594E" w:rsidRPr="00F64913" w:rsidTr="00E86F88">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hideMark/>
          </w:tcPr>
          <w:p w:rsidR="0064594E" w:rsidRPr="00F64913" w:rsidRDefault="0064594E" w:rsidP="00884404">
            <w:pPr>
              <w:keepNext/>
              <w:keepLines/>
              <w:rPr>
                <w:szCs w:val="18"/>
                <w:lang w:val="en-AU"/>
              </w:rPr>
            </w:pPr>
            <w:r w:rsidRPr="00F64913">
              <w:rPr>
                <w:szCs w:val="18"/>
                <w:lang w:val="en-AU"/>
              </w:rPr>
              <w:t>Building Type</w:t>
            </w:r>
          </w:p>
        </w:tc>
        <w:tc>
          <w:tcPr>
            <w:tcW w:w="6469" w:type="dxa"/>
            <w:hideMark/>
          </w:tcPr>
          <w:p w:rsidR="0064594E" w:rsidRPr="00F64913" w:rsidRDefault="0064594E" w:rsidP="00884404">
            <w:pPr>
              <w:keepNext/>
              <w:keepLines/>
              <w:cnfStyle w:val="100000000000" w:firstRow="1" w:lastRow="0" w:firstColumn="0" w:lastColumn="0" w:oddVBand="0" w:evenVBand="0" w:oddHBand="0" w:evenHBand="0" w:firstRowFirstColumn="0" w:firstRowLastColumn="0" w:lastRowFirstColumn="0" w:lastRowLastColumn="0"/>
              <w:rPr>
                <w:szCs w:val="18"/>
                <w:lang w:val="en-AU"/>
              </w:rPr>
            </w:pPr>
            <w:r w:rsidRPr="00F64913">
              <w:rPr>
                <w:szCs w:val="18"/>
                <w:lang w:val="en-AU"/>
              </w:rPr>
              <w:t>Definition</w:t>
            </w:r>
          </w:p>
        </w:tc>
        <w:tc>
          <w:tcPr>
            <w:tcW w:w="2127" w:type="dxa"/>
            <w:hideMark/>
          </w:tcPr>
          <w:p w:rsidR="0064594E" w:rsidRPr="00F64913" w:rsidRDefault="0064594E" w:rsidP="00884404">
            <w:pPr>
              <w:keepNext/>
              <w:keepLines/>
              <w:cnfStyle w:val="100000000000" w:firstRow="1" w:lastRow="0" w:firstColumn="0" w:lastColumn="0" w:oddVBand="0" w:evenVBand="0" w:oddHBand="0" w:evenHBand="0" w:firstRowFirstColumn="0" w:firstRowLastColumn="0" w:lastRowFirstColumn="0" w:lastRowLastColumn="0"/>
              <w:rPr>
                <w:szCs w:val="18"/>
                <w:lang w:val="en-AU"/>
              </w:rPr>
            </w:pPr>
            <w:r w:rsidRPr="00F64913">
              <w:rPr>
                <w:szCs w:val="18"/>
                <w:lang w:val="en-AU"/>
              </w:rPr>
              <w:t>Typical Building Code of Australia classification</w:t>
            </w:r>
          </w:p>
        </w:tc>
      </w:tr>
      <w:tr w:rsidR="0064594E" w:rsidRPr="00F64913" w:rsidTr="002241F5">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hideMark/>
          </w:tcPr>
          <w:p w:rsidR="0064594E" w:rsidRPr="00F64913" w:rsidRDefault="0064594E" w:rsidP="00884404">
            <w:pPr>
              <w:keepLines/>
              <w:rPr>
                <w:szCs w:val="18"/>
                <w:lang w:val="en-AU"/>
              </w:rPr>
            </w:pPr>
            <w:r w:rsidRPr="00F64913">
              <w:rPr>
                <w:szCs w:val="18"/>
                <w:lang w:val="en-AU"/>
              </w:rPr>
              <w:t>Apartments</w:t>
            </w:r>
          </w:p>
        </w:tc>
        <w:tc>
          <w:tcPr>
            <w:tcW w:w="6469" w:type="dxa"/>
            <w:hideMark/>
          </w:tcPr>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szCs w:val="18"/>
                <w:lang w:val="en-AU"/>
              </w:rPr>
              <w:t xml:space="preserve">Apartments are self-contained units occupying only part of a larger </w:t>
            </w:r>
            <w:r w:rsidRPr="00F64913">
              <w:rPr>
                <w:rFonts w:eastAsia="Times New Roman"/>
                <w:szCs w:val="18"/>
                <w:lang w:val="en-AU"/>
              </w:rPr>
              <w:t xml:space="preserve">residential building. </w:t>
            </w:r>
          </w:p>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szCs w:val="18"/>
                <w:lang w:val="en-AU"/>
              </w:rPr>
            </w:pPr>
            <w:r w:rsidRPr="00F64913">
              <w:rPr>
                <w:rFonts w:eastAsia="Times New Roman"/>
                <w:szCs w:val="18"/>
                <w:lang w:val="en-AU"/>
              </w:rPr>
              <w:t>Apartments are typically built above or below another dwelling. Self-contained dwellings that are separated from other dwellings by walls alone are not apartments but are likely to be a villa, duplex or townhouse</w:t>
            </w:r>
            <w:r w:rsidRPr="00F64913">
              <w:rPr>
                <w:szCs w:val="18"/>
                <w:lang w:val="en-AU"/>
              </w:rPr>
              <w:t>.</w:t>
            </w:r>
          </w:p>
        </w:tc>
        <w:tc>
          <w:tcPr>
            <w:tcW w:w="2127" w:type="dxa"/>
            <w:hideMark/>
          </w:tcPr>
          <w:p w:rsidR="0064594E" w:rsidRPr="00F64913" w:rsidRDefault="0064594E" w:rsidP="00884404">
            <w:pPr>
              <w:keepLines/>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Class 2</w:t>
            </w:r>
          </w:p>
        </w:tc>
      </w:tr>
      <w:tr w:rsidR="0064594E" w:rsidRPr="00F64913" w:rsidTr="002241F5">
        <w:trPr>
          <w:trHeight w:val="1334"/>
        </w:trPr>
        <w:tc>
          <w:tcPr>
            <w:cnfStyle w:val="001000000000" w:firstRow="0" w:lastRow="0" w:firstColumn="1" w:lastColumn="0" w:oddVBand="0" w:evenVBand="0" w:oddHBand="0" w:evenHBand="0" w:firstRowFirstColumn="0" w:firstRowLastColumn="0" w:lastRowFirstColumn="0" w:lastRowLastColumn="0"/>
            <w:tcW w:w="1464" w:type="dxa"/>
            <w:hideMark/>
          </w:tcPr>
          <w:p w:rsidR="0064594E" w:rsidRPr="00F64913" w:rsidRDefault="0064594E" w:rsidP="00884404">
            <w:pPr>
              <w:keepLines/>
              <w:rPr>
                <w:szCs w:val="18"/>
                <w:lang w:val="en-AU"/>
              </w:rPr>
            </w:pPr>
            <w:r w:rsidRPr="00F64913">
              <w:rPr>
                <w:szCs w:val="18"/>
                <w:lang w:val="en-AU"/>
              </w:rPr>
              <w:t>Villas, Duplexes and Townhouses</w:t>
            </w:r>
          </w:p>
        </w:tc>
        <w:tc>
          <w:tcPr>
            <w:tcW w:w="6469" w:type="dxa"/>
            <w:hideMark/>
          </w:tcPr>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 xml:space="preserve">Villas, duplexes and townhouses are dwellings for one, two or three residents. </w:t>
            </w:r>
          </w:p>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Villas, duplexes and townhouses are generally separate but semi-attached properties within a single land title or strata titled area.</w:t>
            </w:r>
            <w:r w:rsidR="00C15B4C" w:rsidRPr="00F64913">
              <w:rPr>
                <w:rFonts w:eastAsia="Times New Roman"/>
                <w:szCs w:val="18"/>
                <w:lang w:val="en-AU"/>
              </w:rPr>
              <w:t xml:space="preserve"> </w:t>
            </w:r>
          </w:p>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Dwellings will be separated by a fire-resisting wall (although fire resistance is not required for Existing Stock).</w:t>
            </w:r>
          </w:p>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w:t>
            </w:r>
            <w:r w:rsidR="00C15B4C" w:rsidRPr="00F64913">
              <w:rPr>
                <w:rFonts w:eastAsia="Times New Roman"/>
                <w:szCs w:val="18"/>
                <w:lang w:val="en-AU"/>
              </w:rPr>
              <w:t xml:space="preserve"> </w:t>
            </w:r>
          </w:p>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Villas, duplexes and townhouses may also be ancillary dwellings that are located on the same parcel of land as another dwelling (e.g. fully self-contained ‘granny flats’).</w:t>
            </w:r>
            <w:r w:rsidR="00C15B4C" w:rsidRPr="00F64913">
              <w:rPr>
                <w:rFonts w:eastAsia="Times New Roman"/>
                <w:szCs w:val="18"/>
                <w:lang w:val="en-AU"/>
              </w:rPr>
              <w:t xml:space="preserve"> </w:t>
            </w:r>
          </w:p>
        </w:tc>
        <w:tc>
          <w:tcPr>
            <w:tcW w:w="2127" w:type="dxa"/>
            <w:hideMark/>
          </w:tcPr>
          <w:p w:rsidR="0064594E" w:rsidRPr="00F64913" w:rsidRDefault="0064594E" w:rsidP="00884404">
            <w:pPr>
              <w:keepLines/>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Class 1(a)(ii), or</w:t>
            </w:r>
          </w:p>
          <w:p w:rsidR="0064594E" w:rsidRPr="00F64913" w:rsidRDefault="0064594E" w:rsidP="00884404">
            <w:pPr>
              <w:keepLines/>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Class 3</w:t>
            </w:r>
          </w:p>
          <w:p w:rsidR="0064594E" w:rsidRPr="00F64913" w:rsidRDefault="0064594E" w:rsidP="00884404">
            <w:pPr>
              <w:keepLines/>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Class 1(a)(i)</w:t>
            </w:r>
          </w:p>
        </w:tc>
      </w:tr>
      <w:tr w:rsidR="0064594E" w:rsidRPr="00F64913" w:rsidTr="002241F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hideMark/>
          </w:tcPr>
          <w:p w:rsidR="0064594E" w:rsidRPr="00F64913" w:rsidRDefault="0064594E" w:rsidP="00884404">
            <w:pPr>
              <w:keepLines/>
              <w:rPr>
                <w:szCs w:val="18"/>
                <w:lang w:val="en-AU"/>
              </w:rPr>
            </w:pPr>
            <w:r w:rsidRPr="00F64913">
              <w:rPr>
                <w:szCs w:val="18"/>
                <w:lang w:val="en-AU"/>
              </w:rPr>
              <w:t>Houses</w:t>
            </w:r>
          </w:p>
        </w:tc>
        <w:tc>
          <w:tcPr>
            <w:tcW w:w="6469" w:type="dxa"/>
            <w:hideMark/>
          </w:tcPr>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Houses are detached low-rise dwellings with garden or courtyard areas.</w:t>
            </w:r>
          </w:p>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To be a house (rather than a villa/duplex/townhouse) the dwelling must be located on a clearly separated land area (e.g. separated by a fence, hedge or other form of delineation that is in keeping with the character of the neighbourhood).</w:t>
            </w:r>
          </w:p>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 xml:space="preserve">It must not share a wall, roof, entry area, driveway, car parking or outdoor area with any dwelling other than an ancillary Villa/Townhouse/Duplex with no more than one resident. </w:t>
            </w:r>
          </w:p>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 xml:space="preserve">A house is not to have more than two ancillary Villa/Duplex/Townhouses, otherwise the primary dwelling is likely to be considered a Villa/Townhouse/Duplex. </w:t>
            </w:r>
          </w:p>
          <w:p w:rsidR="0064594E" w:rsidRPr="00F64913" w:rsidRDefault="0064594E" w:rsidP="00752550">
            <w:pPr>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 xml:space="preserve">Each house must have a land area that is proportional with the number of residents and keeps with similar properties in the neighbourhood. </w:t>
            </w:r>
          </w:p>
        </w:tc>
        <w:tc>
          <w:tcPr>
            <w:tcW w:w="2127" w:type="dxa"/>
            <w:hideMark/>
          </w:tcPr>
          <w:p w:rsidR="0064594E" w:rsidRPr="00F64913" w:rsidRDefault="0064594E" w:rsidP="00884404">
            <w:pPr>
              <w:keepLines/>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Class 1(a)(i),</w:t>
            </w:r>
          </w:p>
          <w:p w:rsidR="0064594E" w:rsidRPr="00F64913" w:rsidRDefault="0064594E" w:rsidP="00884404">
            <w:pPr>
              <w:keepLines/>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 xml:space="preserve">Class 1(b)(i), or </w:t>
            </w:r>
          </w:p>
          <w:p w:rsidR="0064594E" w:rsidRPr="00F64913" w:rsidRDefault="0064594E" w:rsidP="00884404">
            <w:pPr>
              <w:keepLines/>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Class 3</w:t>
            </w:r>
          </w:p>
        </w:tc>
      </w:tr>
      <w:tr w:rsidR="0064594E" w:rsidRPr="00F64913" w:rsidTr="002241F5">
        <w:trPr>
          <w:trHeight w:val="393"/>
        </w:trPr>
        <w:tc>
          <w:tcPr>
            <w:cnfStyle w:val="001000000000" w:firstRow="0" w:lastRow="0" w:firstColumn="1" w:lastColumn="0" w:oddVBand="0" w:evenVBand="0" w:oddHBand="0" w:evenHBand="0" w:firstRowFirstColumn="0" w:firstRowLastColumn="0" w:lastRowFirstColumn="0" w:lastRowLastColumn="0"/>
            <w:tcW w:w="1464" w:type="dxa"/>
            <w:hideMark/>
          </w:tcPr>
          <w:p w:rsidR="0064594E" w:rsidRPr="00F64913" w:rsidRDefault="0064594E" w:rsidP="00884404">
            <w:pPr>
              <w:keepLines/>
              <w:rPr>
                <w:szCs w:val="18"/>
                <w:lang w:val="en-AU"/>
              </w:rPr>
            </w:pPr>
            <w:r w:rsidRPr="00F64913">
              <w:rPr>
                <w:szCs w:val="18"/>
                <w:lang w:val="en-AU"/>
              </w:rPr>
              <w:t>Group Homes</w:t>
            </w:r>
          </w:p>
        </w:tc>
        <w:tc>
          <w:tcPr>
            <w:tcW w:w="6469" w:type="dxa"/>
            <w:hideMark/>
          </w:tcPr>
          <w:p w:rsidR="0064594E" w:rsidRPr="00F64913" w:rsidRDefault="0064594E" w:rsidP="00752550">
            <w:pPr>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 xml:space="preserve">Group Homes are distinguished from other houses by the larger number of residents (four or five long term residents). </w:t>
            </w:r>
          </w:p>
        </w:tc>
        <w:tc>
          <w:tcPr>
            <w:tcW w:w="2127" w:type="dxa"/>
            <w:hideMark/>
          </w:tcPr>
          <w:p w:rsidR="0064594E" w:rsidRPr="00F64913" w:rsidRDefault="0064594E" w:rsidP="00884404">
            <w:pPr>
              <w:keepLines/>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 xml:space="preserve">Class 1(b)(i), or </w:t>
            </w:r>
          </w:p>
          <w:p w:rsidR="0064594E" w:rsidRPr="00F64913" w:rsidRDefault="0064594E" w:rsidP="00884404">
            <w:pPr>
              <w:keepLines/>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Class 3</w:t>
            </w:r>
          </w:p>
        </w:tc>
      </w:tr>
    </w:tbl>
    <w:p w:rsidR="0064594E" w:rsidRPr="00F64913" w:rsidRDefault="0064594E" w:rsidP="00BF27E8">
      <w:pPr>
        <w:pStyle w:val="Heading3"/>
      </w:pPr>
      <w:bookmarkStart w:id="32" w:name="_Toc534203510"/>
      <w:r w:rsidRPr="00F64913">
        <w:t>Step 2B: Design Catego</w:t>
      </w:r>
      <w:bookmarkEnd w:id="32"/>
      <w:r w:rsidRPr="00F64913">
        <w:t>ry</w:t>
      </w:r>
    </w:p>
    <w:p w:rsidR="0064594E" w:rsidRPr="00F64913" w:rsidRDefault="0064594E" w:rsidP="00884404">
      <w:pPr>
        <w:rPr>
          <w:sz w:val="32"/>
          <w:szCs w:val="32"/>
          <w:lang w:val="en-AU"/>
        </w:rPr>
      </w:pPr>
      <w:r w:rsidRPr="00F64913">
        <w:rPr>
          <w:lang w:val="en-AU"/>
        </w:rPr>
        <w:t xml:space="preserve">The SDA </w:t>
      </w:r>
      <w:r w:rsidR="006773BA">
        <w:rPr>
          <w:lang w:val="en-AU"/>
        </w:rPr>
        <w:t>price cap</w:t>
      </w:r>
      <w:r w:rsidRPr="00F64913">
        <w:rPr>
          <w:lang w:val="en-AU"/>
        </w:rPr>
        <w:t xml:space="preserve"> that applies for the dwelling depends on the Design Category under which the dwelling is enrolled.</w:t>
      </w:r>
      <w:r w:rsidR="00C15B4C" w:rsidRPr="00F64913">
        <w:rPr>
          <w:lang w:val="en-AU"/>
        </w:rPr>
        <w:t xml:space="preserve"> </w:t>
      </w:r>
      <w:r w:rsidRPr="00F64913">
        <w:rPr>
          <w:lang w:val="en-AU"/>
        </w:rPr>
        <w:t>SDA price</w:t>
      </w:r>
      <w:r w:rsidR="00BD7D2C">
        <w:rPr>
          <w:lang w:val="en-AU"/>
        </w:rPr>
        <w:t xml:space="preserve"> cap</w:t>
      </w:r>
      <w:r w:rsidRPr="00F64913">
        <w:rPr>
          <w:lang w:val="en-AU"/>
        </w:rPr>
        <w:t xml:space="preserve">s are based on five broad categories of SDA design which are set out in the </w:t>
      </w:r>
      <w:r w:rsidR="00E86F88">
        <w:rPr>
          <w:lang w:val="en-AU"/>
        </w:rPr>
        <w:t>legislation</w:t>
      </w:r>
      <w:r w:rsidRPr="00F64913">
        <w:rPr>
          <w:lang w:val="en-AU"/>
        </w:rPr>
        <w:t>. The five Design Categories are:</w:t>
      </w:r>
    </w:p>
    <w:p w:rsidR="0064594E" w:rsidRPr="00F64913" w:rsidRDefault="0064594E" w:rsidP="00752550">
      <w:pPr>
        <w:numPr>
          <w:ilvl w:val="1"/>
          <w:numId w:val="9"/>
        </w:numPr>
        <w:spacing w:before="100" w:after="100" w:line="240" w:lineRule="atLeast"/>
        <w:rPr>
          <w:lang w:val="en-AU"/>
        </w:rPr>
      </w:pPr>
      <w:r w:rsidRPr="00F64913">
        <w:rPr>
          <w:lang w:val="en-AU"/>
        </w:rPr>
        <w:t xml:space="preserve">Basic, </w:t>
      </w:r>
    </w:p>
    <w:p w:rsidR="0064594E" w:rsidRPr="00F64913" w:rsidRDefault="0064594E" w:rsidP="00752550">
      <w:pPr>
        <w:numPr>
          <w:ilvl w:val="1"/>
          <w:numId w:val="9"/>
        </w:numPr>
        <w:spacing w:before="100" w:after="100" w:line="240" w:lineRule="atLeast"/>
        <w:rPr>
          <w:lang w:val="en-AU"/>
        </w:rPr>
      </w:pPr>
      <w:r w:rsidRPr="00F64913">
        <w:rPr>
          <w:lang w:val="en-AU"/>
        </w:rPr>
        <w:t xml:space="preserve">Improved Liveability, </w:t>
      </w:r>
    </w:p>
    <w:p w:rsidR="0064594E" w:rsidRPr="00F64913" w:rsidRDefault="0064594E" w:rsidP="00752550">
      <w:pPr>
        <w:numPr>
          <w:ilvl w:val="1"/>
          <w:numId w:val="9"/>
        </w:numPr>
        <w:spacing w:before="100" w:after="100" w:line="240" w:lineRule="atLeast"/>
        <w:rPr>
          <w:lang w:val="en-AU"/>
        </w:rPr>
      </w:pPr>
      <w:r w:rsidRPr="00F64913">
        <w:rPr>
          <w:lang w:val="en-AU"/>
        </w:rPr>
        <w:t xml:space="preserve">Fully Accessible, </w:t>
      </w:r>
    </w:p>
    <w:p w:rsidR="0064594E" w:rsidRPr="00F64913" w:rsidRDefault="0064594E" w:rsidP="00752550">
      <w:pPr>
        <w:numPr>
          <w:ilvl w:val="1"/>
          <w:numId w:val="9"/>
        </w:numPr>
        <w:spacing w:before="100" w:after="100" w:line="240" w:lineRule="atLeast"/>
        <w:rPr>
          <w:lang w:val="en-AU"/>
        </w:rPr>
      </w:pPr>
      <w:r w:rsidRPr="00F64913">
        <w:rPr>
          <w:lang w:val="en-AU"/>
        </w:rPr>
        <w:t xml:space="preserve">Robust, and </w:t>
      </w:r>
    </w:p>
    <w:p w:rsidR="0064594E" w:rsidRPr="00F64913" w:rsidRDefault="0064594E" w:rsidP="00752550">
      <w:pPr>
        <w:numPr>
          <w:ilvl w:val="1"/>
          <w:numId w:val="9"/>
        </w:numPr>
        <w:spacing w:before="100" w:after="100" w:line="240" w:lineRule="atLeast"/>
        <w:rPr>
          <w:lang w:val="en-AU"/>
        </w:rPr>
      </w:pPr>
      <w:r w:rsidRPr="00F64913">
        <w:rPr>
          <w:lang w:val="en-AU"/>
        </w:rPr>
        <w:t xml:space="preserve">High Physical Support. </w:t>
      </w:r>
    </w:p>
    <w:p w:rsidR="0064594E" w:rsidRPr="00F64913" w:rsidRDefault="0064594E" w:rsidP="001229C3">
      <w:pPr>
        <w:rPr>
          <w:lang w:val="en-AU"/>
        </w:rPr>
      </w:pPr>
      <w:r w:rsidRPr="00F64913">
        <w:rPr>
          <w:lang w:val="en-AU"/>
        </w:rPr>
        <w:t>For New Builds, all shared areas and the majority of bedrooms and similar sized private rooms must comply with the Minimum Requir</w:t>
      </w:r>
      <w:r w:rsidRPr="00E86F88">
        <w:rPr>
          <w:lang w:val="en-AU"/>
        </w:rPr>
        <w:t xml:space="preserve">ements set out in </w:t>
      </w:r>
      <w:r w:rsidRPr="00E86F88">
        <w:rPr>
          <w:lang w:val="en-AU"/>
        </w:rPr>
        <w:fldChar w:fldCharType="begin"/>
      </w:r>
      <w:r w:rsidRPr="00E86F88">
        <w:rPr>
          <w:lang w:val="en-AU"/>
        </w:rPr>
        <w:instrText xml:space="preserve"> REF _Ref525911426 \h  \* MERGEFORMAT </w:instrText>
      </w:r>
      <w:r w:rsidRPr="00E86F88">
        <w:rPr>
          <w:lang w:val="en-AU"/>
        </w:rPr>
      </w:r>
      <w:r w:rsidRPr="00E86F88">
        <w:rPr>
          <w:lang w:val="en-AU"/>
        </w:rPr>
        <w:fldChar w:fldCharType="separate"/>
      </w:r>
      <w:r w:rsidR="00A3319D" w:rsidRPr="00F64913">
        <w:rPr>
          <w:lang w:val="en-AU"/>
        </w:rPr>
        <w:t xml:space="preserve">Table </w:t>
      </w:r>
      <w:r w:rsidR="00A3319D">
        <w:rPr>
          <w:noProof/>
          <w:lang w:val="en-AU"/>
        </w:rPr>
        <w:t>3</w:t>
      </w:r>
      <w:r w:rsidRPr="00E86F88">
        <w:rPr>
          <w:lang w:val="en-AU"/>
        </w:rPr>
        <w:fldChar w:fldCharType="end"/>
      </w:r>
      <w:r w:rsidRPr="00E86F88">
        <w:rPr>
          <w:lang w:val="en-AU"/>
        </w:rPr>
        <w:t xml:space="preserve"> below. For Existing Stock, there must be substantial compliance</w:t>
      </w:r>
      <w:r w:rsidRPr="00F64913">
        <w:rPr>
          <w:lang w:val="en-AU"/>
        </w:rPr>
        <w:t xml:space="preserve"> with the Minimum Requirements. Substantial compliance means compliance in all but a few non-critical respects.</w:t>
      </w:r>
    </w:p>
    <w:p w:rsidR="0064594E" w:rsidRPr="00F64913" w:rsidRDefault="0064594E" w:rsidP="001229C3">
      <w:pPr>
        <w:pStyle w:val="Caption"/>
        <w:shd w:val="clear" w:color="auto" w:fill="auto"/>
        <w:rPr>
          <w:lang w:val="en-AU"/>
        </w:rPr>
      </w:pPr>
      <w:bookmarkStart w:id="33" w:name="_Ref525911426"/>
      <w:bookmarkStart w:id="34" w:name="_Ref453937131"/>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3</w:t>
      </w:r>
      <w:r w:rsidRPr="00F64913">
        <w:rPr>
          <w:lang w:val="en-AU"/>
        </w:rPr>
        <w:fldChar w:fldCharType="end"/>
      </w:r>
      <w:bookmarkEnd w:id="33"/>
      <w:r w:rsidRPr="00F64913">
        <w:rPr>
          <w:lang w:val="en-AU"/>
        </w:rPr>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57"/>
        <w:gridCol w:w="2148"/>
        <w:gridCol w:w="5711"/>
      </w:tblGrid>
      <w:tr w:rsidR="0064594E" w:rsidRPr="00F64913" w:rsidTr="00E86F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bookmarkEnd w:id="34"/>
          <w:p w:rsidR="0064594E" w:rsidRPr="00F64913" w:rsidRDefault="0064594E" w:rsidP="001229C3">
            <w:pPr>
              <w:rPr>
                <w:szCs w:val="18"/>
                <w:lang w:val="en-AU"/>
              </w:rPr>
            </w:pPr>
            <w:r w:rsidRPr="00F64913">
              <w:rPr>
                <w:szCs w:val="18"/>
                <w:lang w:val="en-AU"/>
              </w:rPr>
              <w:t>SDA Design Category</w:t>
            </w:r>
          </w:p>
        </w:tc>
        <w:tc>
          <w:tcPr>
            <w:tcW w:w="1201" w:type="pct"/>
            <w:hideMark/>
          </w:tcPr>
          <w:p w:rsidR="0064594E" w:rsidRPr="00F64913" w:rsidRDefault="0064594E" w:rsidP="001229C3">
            <w:pPr>
              <w:cnfStyle w:val="100000000000" w:firstRow="1" w:lastRow="0" w:firstColumn="0" w:lastColumn="0" w:oddVBand="0" w:evenVBand="0" w:oddHBand="0" w:evenHBand="0" w:firstRowFirstColumn="0" w:firstRowLastColumn="0" w:lastRowFirstColumn="0" w:lastRowLastColumn="0"/>
              <w:rPr>
                <w:szCs w:val="18"/>
                <w:lang w:val="en-AU"/>
              </w:rPr>
            </w:pPr>
            <w:r w:rsidRPr="00F64913">
              <w:rPr>
                <w:szCs w:val="18"/>
                <w:lang w:val="en-AU"/>
              </w:rPr>
              <w:t>Definition</w:t>
            </w:r>
          </w:p>
        </w:tc>
        <w:tc>
          <w:tcPr>
            <w:tcW w:w="3194" w:type="pct"/>
            <w:hideMark/>
          </w:tcPr>
          <w:p w:rsidR="0064594E" w:rsidRPr="00F64913" w:rsidRDefault="0064594E" w:rsidP="001229C3">
            <w:pPr>
              <w:cnfStyle w:val="100000000000" w:firstRow="1" w:lastRow="0" w:firstColumn="0" w:lastColumn="0" w:oddVBand="0" w:evenVBand="0" w:oddHBand="0" w:evenHBand="0" w:firstRowFirstColumn="0" w:firstRowLastColumn="0" w:lastRowFirstColumn="0" w:lastRowLastColumn="0"/>
              <w:rPr>
                <w:szCs w:val="18"/>
                <w:lang w:val="en-AU"/>
              </w:rPr>
            </w:pPr>
            <w:r w:rsidRPr="00F64913">
              <w:rPr>
                <w:szCs w:val="18"/>
                <w:lang w:val="en-AU"/>
              </w:rPr>
              <w:t>Minimum Requirements</w:t>
            </w:r>
          </w:p>
        </w:tc>
      </w:tr>
      <w:tr w:rsidR="0064594E" w:rsidRPr="00F64913" w:rsidTr="0088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4594E" w:rsidRPr="00F64913" w:rsidRDefault="0064594E" w:rsidP="001229C3">
            <w:pPr>
              <w:rPr>
                <w:szCs w:val="18"/>
                <w:lang w:val="en-AU"/>
              </w:rPr>
            </w:pPr>
            <w:r w:rsidRPr="00F64913">
              <w:rPr>
                <w:szCs w:val="18"/>
                <w:lang w:val="en-AU"/>
              </w:rPr>
              <w:t xml:space="preserve">Basic </w:t>
            </w:r>
          </w:p>
        </w:tc>
        <w:tc>
          <w:tcPr>
            <w:tcW w:w="1201" w:type="pct"/>
            <w:hideMark/>
          </w:tcPr>
          <w:p w:rsidR="0064594E" w:rsidRPr="00F64913" w:rsidRDefault="0064594E" w:rsidP="001229C3">
            <w:pPr>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Housing without specialist design features but with a location or other features that cater for the needs of people with disability and assist with the delivery of support services.</w:t>
            </w:r>
            <w:r w:rsidR="00C15B4C" w:rsidRPr="00F64913">
              <w:rPr>
                <w:szCs w:val="18"/>
                <w:lang w:val="en-AU"/>
              </w:rPr>
              <w:t xml:space="preserve"> </w:t>
            </w:r>
          </w:p>
        </w:tc>
        <w:tc>
          <w:tcPr>
            <w:tcW w:w="3194" w:type="pct"/>
            <w:hideMark/>
          </w:tcPr>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The Basic design category only applies for Existing Stock or Legacy Stock and cannot be included in a participant’s plan except as an alternative interim option or if the participant already lives in Basic design SDA (SDA Rules 4.4 and 4.11).</w:t>
            </w:r>
          </w:p>
        </w:tc>
      </w:tr>
      <w:tr w:rsidR="0064594E" w:rsidRPr="00F64913" w:rsidTr="00884404">
        <w:tc>
          <w:tcPr>
            <w:cnfStyle w:val="001000000000" w:firstRow="0" w:lastRow="0" w:firstColumn="1" w:lastColumn="0" w:oddVBand="0" w:evenVBand="0" w:oddHBand="0" w:evenHBand="0" w:firstRowFirstColumn="0" w:firstRowLastColumn="0" w:lastRowFirstColumn="0" w:lastRowLastColumn="0"/>
            <w:tcW w:w="0" w:type="auto"/>
            <w:hideMark/>
          </w:tcPr>
          <w:p w:rsidR="0064594E" w:rsidRPr="00F64913" w:rsidRDefault="0064594E" w:rsidP="001229C3">
            <w:pPr>
              <w:rPr>
                <w:szCs w:val="18"/>
                <w:lang w:val="en-AU"/>
              </w:rPr>
            </w:pPr>
            <w:r w:rsidRPr="00F64913">
              <w:rPr>
                <w:szCs w:val="18"/>
                <w:lang w:val="en-AU"/>
              </w:rPr>
              <w:t>Improved Liveability</w:t>
            </w:r>
          </w:p>
        </w:tc>
        <w:tc>
          <w:tcPr>
            <w:tcW w:w="1201" w:type="pct"/>
            <w:hideMark/>
          </w:tcPr>
          <w:p w:rsidR="0064594E" w:rsidRPr="00F64913" w:rsidRDefault="0064594E" w:rsidP="001229C3">
            <w:pPr>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Housing that has been designed to improve ‘liveability’ by incorporating a reasonable level of physical access and enhanced provision for people with sensory, intellectual or cognitive impairment.</w:t>
            </w:r>
          </w:p>
        </w:tc>
        <w:tc>
          <w:tcPr>
            <w:tcW w:w="3194" w:type="pct"/>
            <w:hideMark/>
          </w:tcPr>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Livable Housing Australia ‘Silver’ level.</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The designed environment responds to the needs of participants through improved physical access and enhanced provision for participants with sensory, intellectual or cognitive impairment. For example, Improved Liveability dwellings should include one or more additional design features such as the below depending on the needs of the participants: Luminance contrasts; Improved wayfinding; and/or Lines of sight.</w:t>
            </w:r>
          </w:p>
        </w:tc>
      </w:tr>
      <w:tr w:rsidR="0064594E" w:rsidRPr="00F64913" w:rsidTr="0088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4594E" w:rsidRPr="00F64913" w:rsidRDefault="0064594E" w:rsidP="001229C3">
            <w:pPr>
              <w:rPr>
                <w:szCs w:val="18"/>
                <w:lang w:val="en-AU"/>
              </w:rPr>
            </w:pPr>
            <w:r w:rsidRPr="00F64913">
              <w:rPr>
                <w:szCs w:val="18"/>
                <w:lang w:val="en-AU"/>
              </w:rPr>
              <w:t>Fully Accessible</w:t>
            </w:r>
          </w:p>
        </w:tc>
        <w:tc>
          <w:tcPr>
            <w:tcW w:w="1201" w:type="pct"/>
            <w:hideMark/>
          </w:tcPr>
          <w:p w:rsidR="0064594E" w:rsidRPr="00F64913" w:rsidRDefault="0064594E" w:rsidP="001229C3">
            <w:pPr>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 xml:space="preserve">Housing that has been designed to incorporate a high level of physical access provision for people with significant physical impairment. </w:t>
            </w:r>
          </w:p>
        </w:tc>
        <w:tc>
          <w:tcPr>
            <w:tcW w:w="3194" w:type="pct"/>
            <w:hideMark/>
          </w:tcPr>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Livable Housing Australia ‘Platinum’ level.</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External doors and external outdoor private areas to be accessible by wheelchair.</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Bathroom vanity/hand basin to be accessible in seated or standing position.</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Power supply to doors and windows (blinds), for retrofit of automation as necessary.</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Consideration must be given to whether it is appropriate for the kitchen sink, cooktop, meal preparation bench area and key appliances (dishwasher, oven, microwave oven and laundry appliances) to be accessible in seated or standing position.</w:t>
            </w:r>
          </w:p>
        </w:tc>
      </w:tr>
      <w:tr w:rsidR="0064594E" w:rsidRPr="00F64913" w:rsidTr="00884404">
        <w:tc>
          <w:tcPr>
            <w:cnfStyle w:val="001000000000" w:firstRow="0" w:lastRow="0" w:firstColumn="1" w:lastColumn="0" w:oddVBand="0" w:evenVBand="0" w:oddHBand="0" w:evenHBand="0" w:firstRowFirstColumn="0" w:firstRowLastColumn="0" w:lastRowFirstColumn="0" w:lastRowLastColumn="0"/>
            <w:tcW w:w="0" w:type="auto"/>
            <w:hideMark/>
          </w:tcPr>
          <w:p w:rsidR="0064594E" w:rsidRPr="00F64913" w:rsidRDefault="0064594E" w:rsidP="001229C3">
            <w:pPr>
              <w:rPr>
                <w:szCs w:val="18"/>
                <w:lang w:val="en-AU"/>
              </w:rPr>
            </w:pPr>
            <w:r w:rsidRPr="00F64913">
              <w:rPr>
                <w:szCs w:val="18"/>
                <w:lang w:val="en-AU"/>
              </w:rPr>
              <w:t>Robust</w:t>
            </w:r>
          </w:p>
        </w:tc>
        <w:tc>
          <w:tcPr>
            <w:tcW w:w="1201" w:type="pct"/>
            <w:hideMark/>
          </w:tcPr>
          <w:p w:rsidR="0064594E" w:rsidRPr="00F64913" w:rsidRDefault="0064594E" w:rsidP="001229C3">
            <w:pPr>
              <w:cnfStyle w:val="000000000000" w:firstRow="0" w:lastRow="0" w:firstColumn="0" w:lastColumn="0" w:oddVBand="0" w:evenVBand="0" w:oddHBand="0" w:evenHBand="0" w:firstRowFirstColumn="0" w:firstRowLastColumn="0" w:lastRowFirstColumn="0" w:lastRowLastColumn="0"/>
              <w:rPr>
                <w:szCs w:val="18"/>
                <w:lang w:val="en-AU"/>
              </w:rPr>
            </w:pPr>
            <w:r w:rsidRPr="00F64913">
              <w:rPr>
                <w:szCs w:val="18"/>
                <w:lang w:val="en-AU"/>
              </w:rPr>
              <w:t>Housing that has been designed to incorporate a high level of physical access provision and be very resilient, while reducing the likelihood of reactive maintenance and reducing the risk to the participant and the community.</w:t>
            </w:r>
          </w:p>
        </w:tc>
        <w:tc>
          <w:tcPr>
            <w:tcW w:w="3194" w:type="pct"/>
            <w:hideMark/>
          </w:tcPr>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Livable Housing Australia ‘Silver’ level.</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Resilient but inconspicuous materials that can withstand heavy use and minimises the risk of injury and neighbourhood disturbance including:</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High impact wall lining, fittings and fixtures (e.g. blinds, door handles);</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Secure windows, doors and external areas;</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Appropriate sound proofing if residents are likely to cause significant noise disturbances (if required must retro-fit in new builds if not previously installed at building stage); and</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Laminated glass.</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rFonts w:eastAsia="Times New Roman"/>
                <w:szCs w:val="18"/>
                <w:lang w:val="en-AU"/>
              </w:rPr>
            </w:pPr>
            <w:r w:rsidRPr="00F64913">
              <w:rPr>
                <w:rFonts w:eastAsia="Times New Roman"/>
                <w:szCs w:val="18"/>
                <w:lang w:val="en-AU"/>
              </w:rPr>
              <w:t>Layout with areas of leaving or retreat for staff and other residents to avoid harm if required.</w:t>
            </w:r>
          </w:p>
          <w:p w:rsidR="0064594E" w:rsidRPr="00F64913" w:rsidRDefault="0064594E" w:rsidP="00752550">
            <w:pPr>
              <w:pStyle w:val="ListParagraph"/>
              <w:numPr>
                <w:ilvl w:val="0"/>
                <w:numId w:val="16"/>
              </w:numPr>
              <w:ind w:left="142" w:hanging="142"/>
              <w:cnfStyle w:val="000000000000" w:firstRow="0" w:lastRow="0" w:firstColumn="0" w:lastColumn="0" w:oddVBand="0" w:evenVBand="0" w:oddHBand="0" w:evenHBand="0" w:firstRowFirstColumn="0" w:firstRowLastColumn="0" w:lastRowFirstColumn="0" w:lastRowLastColumn="0"/>
              <w:rPr>
                <w:szCs w:val="18"/>
                <w:lang w:val="en-AU"/>
              </w:rPr>
            </w:pPr>
            <w:r w:rsidRPr="00F64913">
              <w:rPr>
                <w:rFonts w:eastAsia="Times New Roman"/>
                <w:szCs w:val="18"/>
                <w:lang w:val="en-AU"/>
              </w:rPr>
              <w:t>Consideration must be given to providing adequate space and safeguards throughout the property to accommodate the needs of residents with complex behaviours.</w:t>
            </w:r>
          </w:p>
        </w:tc>
      </w:tr>
      <w:tr w:rsidR="0064594E" w:rsidRPr="00F64913" w:rsidTr="0088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4594E" w:rsidRPr="00F64913" w:rsidRDefault="0064594E" w:rsidP="001229C3">
            <w:pPr>
              <w:rPr>
                <w:szCs w:val="18"/>
                <w:lang w:val="en-AU"/>
              </w:rPr>
            </w:pPr>
            <w:r w:rsidRPr="00F64913">
              <w:rPr>
                <w:szCs w:val="18"/>
                <w:lang w:val="en-AU"/>
              </w:rPr>
              <w:t>High Physical Support</w:t>
            </w:r>
          </w:p>
        </w:tc>
        <w:tc>
          <w:tcPr>
            <w:tcW w:w="1201" w:type="pct"/>
            <w:hideMark/>
          </w:tcPr>
          <w:p w:rsidR="0064594E" w:rsidRPr="00F64913" w:rsidRDefault="0064594E" w:rsidP="001229C3">
            <w:pPr>
              <w:cnfStyle w:val="000000100000" w:firstRow="0" w:lastRow="0" w:firstColumn="0" w:lastColumn="0" w:oddVBand="0" w:evenVBand="0" w:oddHBand="1" w:evenHBand="0" w:firstRowFirstColumn="0" w:firstRowLastColumn="0" w:lastRowFirstColumn="0" w:lastRowLastColumn="0"/>
              <w:rPr>
                <w:szCs w:val="18"/>
                <w:lang w:val="en-AU"/>
              </w:rPr>
            </w:pPr>
            <w:r w:rsidRPr="00F64913">
              <w:rPr>
                <w:szCs w:val="18"/>
                <w:lang w:val="en-AU"/>
              </w:rPr>
              <w:t>Housing that has been designed to incorporate a high level of physical access provision for people with significant physical impairment and requiring very high levels of support.</w:t>
            </w:r>
          </w:p>
        </w:tc>
        <w:tc>
          <w:tcPr>
            <w:tcW w:w="3194" w:type="pct"/>
            <w:hideMark/>
          </w:tcPr>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Livable Housing Australia ‘Platinum’ level.</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External doors and external outdoor private areas to be accessible by wheelchair.</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Bathroom vanity/hand basin to be accessible in seated or standing position.</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Power supply to doors and windows (blinds), for retrofit of automation as necessary.</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Consideration must be given to whether it is appropriate for the kitchen sink, cooktop, meal preparation bench area and key appliances (dishwasher, oven, microwave oven and laundry appliances) to be accessible in seated or standing position.</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Structural provision for ceiling hoists.</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Assistive technology ready.</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Heating/cooling and household communication technology (e.g. video or intercom systems) appropriate for the needs of residents.</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rFonts w:eastAsia="Times New Roman"/>
                <w:szCs w:val="18"/>
                <w:lang w:val="en-AU"/>
              </w:rPr>
            </w:pPr>
            <w:r w:rsidRPr="00F64913">
              <w:rPr>
                <w:rFonts w:eastAsia="Times New Roman"/>
                <w:szCs w:val="18"/>
                <w:lang w:val="en-AU"/>
              </w:rPr>
              <w:t>Emergency power solutions to cater for a minimum two hour outage where the welfare of participant/s is at risk.</w:t>
            </w:r>
          </w:p>
          <w:p w:rsidR="0064594E" w:rsidRPr="00F64913" w:rsidRDefault="0064594E" w:rsidP="00752550">
            <w:pPr>
              <w:pStyle w:val="ListParagraph"/>
              <w:numPr>
                <w:ilvl w:val="0"/>
                <w:numId w:val="16"/>
              </w:numPr>
              <w:ind w:left="142" w:hanging="142"/>
              <w:cnfStyle w:val="000000100000" w:firstRow="0" w:lastRow="0" w:firstColumn="0" w:lastColumn="0" w:oddVBand="0" w:evenVBand="0" w:oddHBand="1" w:evenHBand="0" w:firstRowFirstColumn="0" w:firstRowLastColumn="0" w:lastRowFirstColumn="0" w:lastRowLastColumn="0"/>
              <w:rPr>
                <w:szCs w:val="18"/>
                <w:lang w:val="en-AU"/>
              </w:rPr>
            </w:pPr>
            <w:r w:rsidRPr="00F64913">
              <w:rPr>
                <w:rFonts w:eastAsia="Times New Roman"/>
                <w:szCs w:val="18"/>
                <w:lang w:val="en-AU"/>
              </w:rPr>
              <w:t>Doors with 950mm minimum clear opening width to all habitable rooms.</w:t>
            </w:r>
          </w:p>
        </w:tc>
      </w:tr>
    </w:tbl>
    <w:p w:rsidR="0064594E" w:rsidRPr="00F64913" w:rsidRDefault="0064594E" w:rsidP="00BF27E8">
      <w:pPr>
        <w:pStyle w:val="Heading3"/>
        <w:rPr>
          <w:sz w:val="32"/>
          <w:szCs w:val="32"/>
        </w:rPr>
      </w:pPr>
      <w:bookmarkStart w:id="35" w:name="_Toc534203512"/>
      <w:r w:rsidRPr="00F64913">
        <w:t>Step 2C: On-Site Overnight Assistance</w:t>
      </w:r>
      <w:bookmarkEnd w:id="35"/>
    </w:p>
    <w:p w:rsidR="0064594E" w:rsidRPr="00F64913" w:rsidRDefault="0064594E" w:rsidP="001229C3">
      <w:pPr>
        <w:rPr>
          <w:lang w:val="en-AU"/>
        </w:rPr>
      </w:pPr>
      <w:r w:rsidRPr="00F64913">
        <w:rPr>
          <w:rFonts w:eastAsia="Times New Roman" w:cs="Arial"/>
          <w:szCs w:val="18"/>
          <w:lang w:val="en-AU"/>
        </w:rPr>
        <w:t xml:space="preserve">The On-site Overnight Assistance (OOA) amount is only paid when an additional space is used by support staff who provide support services overnight to participants living in the same dwelling that contains the </w:t>
      </w:r>
      <w:r w:rsidRPr="00F64913">
        <w:rPr>
          <w:lang w:val="en-AU"/>
        </w:rPr>
        <w:t xml:space="preserve">OOA space or in a near-by dwelling. The form of OOA varies between Building Type and the amount of the OOA assistance payment made in relation to this space, as a consequence, may depend on whether access to the OOA is shared </w:t>
      </w:r>
      <w:r w:rsidRPr="00E86F88">
        <w:rPr>
          <w:lang w:val="en-AU"/>
        </w:rPr>
        <w:t>between</w:t>
      </w:r>
      <w:r w:rsidRPr="00E86F88">
        <w:rPr>
          <w:rFonts w:eastAsia="Times New Roman" w:cs="Arial"/>
          <w:szCs w:val="18"/>
          <w:lang w:val="en-AU"/>
        </w:rPr>
        <w:t xml:space="preserve"> multiple dwellings.</w:t>
      </w:r>
      <w:r w:rsidRPr="00E86F88">
        <w:rPr>
          <w:lang w:val="en-AU"/>
        </w:rPr>
        <w:t xml:space="preserve"> </w:t>
      </w:r>
      <w:r w:rsidRPr="00E86F88">
        <w:rPr>
          <w:rFonts w:eastAsia="Times New Roman" w:cs="Arial"/>
          <w:szCs w:val="18"/>
          <w:lang w:val="en-AU"/>
        </w:rPr>
        <w:fldChar w:fldCharType="begin"/>
      </w:r>
      <w:r w:rsidRPr="00E86F88">
        <w:rPr>
          <w:rFonts w:eastAsia="Times New Roman" w:cs="Arial"/>
          <w:szCs w:val="18"/>
          <w:lang w:val="en-AU"/>
        </w:rPr>
        <w:instrText xml:space="preserve"> REF _Ref525914132 \h  \* MERGEFORMAT </w:instrText>
      </w:r>
      <w:r w:rsidRPr="00E86F88">
        <w:rPr>
          <w:rFonts w:eastAsia="Times New Roman" w:cs="Arial"/>
          <w:szCs w:val="18"/>
          <w:lang w:val="en-AU"/>
        </w:rPr>
      </w:r>
      <w:r w:rsidRPr="00E86F88">
        <w:rPr>
          <w:rFonts w:eastAsia="Times New Roman" w:cs="Arial"/>
          <w:szCs w:val="18"/>
          <w:lang w:val="en-AU"/>
        </w:rPr>
        <w:fldChar w:fldCharType="separate"/>
      </w:r>
      <w:r w:rsidR="00A3319D" w:rsidRPr="00F64913">
        <w:rPr>
          <w:lang w:val="en-AU"/>
        </w:rPr>
        <w:t xml:space="preserve">Table </w:t>
      </w:r>
      <w:r w:rsidR="00A3319D">
        <w:rPr>
          <w:noProof/>
          <w:lang w:val="en-AU"/>
        </w:rPr>
        <w:t>4</w:t>
      </w:r>
      <w:r w:rsidRPr="00E86F88">
        <w:rPr>
          <w:rFonts w:eastAsia="Times New Roman" w:cs="Arial"/>
          <w:szCs w:val="18"/>
          <w:lang w:val="en-AU"/>
        </w:rPr>
        <w:fldChar w:fldCharType="end"/>
      </w:r>
      <w:r w:rsidRPr="00E86F88">
        <w:rPr>
          <w:rFonts w:eastAsia="Times New Roman" w:cs="Arial"/>
          <w:szCs w:val="18"/>
          <w:lang w:val="en-AU"/>
        </w:rPr>
        <w:t xml:space="preserve"> describes </w:t>
      </w:r>
      <w:r w:rsidRPr="00E86F88">
        <w:rPr>
          <w:lang w:val="en-AU"/>
        </w:rPr>
        <w:t>the</w:t>
      </w:r>
      <w:r w:rsidRPr="00E86F88">
        <w:rPr>
          <w:rFonts w:eastAsia="Times New Roman" w:cs="Arial"/>
          <w:szCs w:val="18"/>
          <w:lang w:val="en-AU"/>
        </w:rPr>
        <w:t xml:space="preserve"> OOA and when OOA is payable.</w:t>
      </w:r>
    </w:p>
    <w:p w:rsidR="0064594E" w:rsidRPr="00F64913" w:rsidRDefault="0064594E" w:rsidP="00884404">
      <w:pPr>
        <w:pStyle w:val="Caption"/>
        <w:rPr>
          <w:lang w:val="en-AU"/>
        </w:rPr>
      </w:pPr>
      <w:bookmarkStart w:id="36" w:name="_Ref525914132"/>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4</w:t>
      </w:r>
      <w:r w:rsidRPr="00F64913">
        <w:rPr>
          <w:lang w:val="en-AU"/>
        </w:rPr>
        <w:fldChar w:fldCharType="end"/>
      </w:r>
      <w:bookmarkEnd w:id="36"/>
      <w:r w:rsidRPr="00F64913">
        <w:rPr>
          <w:lang w:val="en-AU"/>
        </w:rPr>
        <w:t>: 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64594E" w:rsidRPr="00F64913" w:rsidTr="00007E16">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hideMark/>
          </w:tcPr>
          <w:p w:rsidR="0064594E" w:rsidRPr="00F64913" w:rsidRDefault="0064594E" w:rsidP="00884404">
            <w:pPr>
              <w:rPr>
                <w:lang w:val="en-AU"/>
              </w:rPr>
            </w:pPr>
            <w:r w:rsidRPr="00F64913">
              <w:rPr>
                <w:lang w:val="en-AU"/>
              </w:rPr>
              <w:t>Building type</w:t>
            </w:r>
          </w:p>
        </w:tc>
        <w:tc>
          <w:tcPr>
            <w:tcW w:w="3964" w:type="dxa"/>
            <w:hideMark/>
          </w:tcPr>
          <w:p w:rsidR="0064594E" w:rsidRPr="00F64913" w:rsidRDefault="0064594E" w:rsidP="00884404">
            <w:pPr>
              <w:cnfStyle w:val="100000000000" w:firstRow="1" w:lastRow="0" w:firstColumn="0" w:lastColumn="0" w:oddVBand="0" w:evenVBand="0" w:oddHBand="0" w:evenHBand="0" w:firstRowFirstColumn="0" w:firstRowLastColumn="0" w:lastRowFirstColumn="0" w:lastRowLastColumn="0"/>
              <w:rPr>
                <w:lang w:val="en-AU"/>
              </w:rPr>
            </w:pPr>
            <w:r w:rsidRPr="00F64913">
              <w:rPr>
                <w:lang w:val="en-AU"/>
              </w:rPr>
              <w:t>Description of OOA</w:t>
            </w:r>
          </w:p>
        </w:tc>
        <w:tc>
          <w:tcPr>
            <w:tcW w:w="3691" w:type="dxa"/>
            <w:hideMark/>
          </w:tcPr>
          <w:p w:rsidR="0064594E" w:rsidRPr="00F64913" w:rsidRDefault="0064594E" w:rsidP="00884404">
            <w:pPr>
              <w:cnfStyle w:val="100000000000" w:firstRow="1" w:lastRow="0" w:firstColumn="0" w:lastColumn="0" w:oddVBand="0" w:evenVBand="0" w:oddHBand="0" w:evenHBand="0" w:firstRowFirstColumn="0" w:firstRowLastColumn="0" w:lastRowFirstColumn="0" w:lastRowLastColumn="0"/>
              <w:rPr>
                <w:lang w:val="en-AU"/>
              </w:rPr>
            </w:pPr>
            <w:r w:rsidRPr="00F64913">
              <w:rPr>
                <w:lang w:val="en-AU"/>
              </w:rPr>
              <w:t xml:space="preserve">When OOA is payable </w:t>
            </w:r>
          </w:p>
        </w:tc>
      </w:tr>
      <w:tr w:rsidR="0064594E" w:rsidRPr="00F64913" w:rsidTr="00884404">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hideMark/>
          </w:tcPr>
          <w:p w:rsidR="0064594E" w:rsidRPr="00F64913" w:rsidRDefault="0064594E" w:rsidP="00884404">
            <w:pPr>
              <w:rPr>
                <w:lang w:val="en-AU"/>
              </w:rPr>
            </w:pPr>
            <w:r w:rsidRPr="00F64913">
              <w:rPr>
                <w:lang w:val="en-AU"/>
              </w:rPr>
              <w:t>Apartment</w:t>
            </w:r>
          </w:p>
        </w:tc>
        <w:tc>
          <w:tcPr>
            <w:tcW w:w="3964" w:type="dxa"/>
            <w:hideMark/>
          </w:tcPr>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F64913">
              <w:rPr>
                <w:rFonts w:eastAsia="Times New Roman"/>
                <w:lang w:val="en-AU"/>
              </w:rPr>
              <w:t xml:space="preserve">The OOA space must be a separate apartment in the same apartment complex as the SDA apartment. </w:t>
            </w:r>
          </w:p>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F64913">
              <w:rPr>
                <w:rFonts w:eastAsia="Times New Roman"/>
                <w:lang w:val="en-AU"/>
              </w:rPr>
              <w:t xml:space="preserve">The OOA amount is not paid when the OOA space is an additional room in a SDA apartment. </w:t>
            </w:r>
          </w:p>
        </w:tc>
        <w:tc>
          <w:tcPr>
            <w:tcW w:w="3691" w:type="dxa"/>
            <w:hideMark/>
          </w:tcPr>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F64913">
              <w:rPr>
                <w:rFonts w:eastAsia="Times New Roman"/>
                <w:lang w:val="en-AU"/>
              </w:rPr>
              <w:t>A maximum of 10 SDA apartments. The OOA amount for one separate OOA apartment is payable for a maximum of 10 SDA apartments.</w:t>
            </w:r>
          </w:p>
          <w:p w:rsidR="0064594E" w:rsidRPr="00F64913" w:rsidRDefault="0064594E" w:rsidP="00884404">
            <w:pPr>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F64913">
              <w:rPr>
                <w:rFonts w:eastAsia="Times New Roman"/>
                <w:lang w:val="en-AU"/>
              </w:rPr>
              <w:t>No OOA amount is payable once the OOA amount has been added for 10 SDA apartments.</w:t>
            </w:r>
          </w:p>
        </w:tc>
      </w:tr>
      <w:tr w:rsidR="0064594E" w:rsidRPr="00F64913" w:rsidTr="00884404">
        <w:trPr>
          <w:trHeight w:val="96"/>
        </w:trPr>
        <w:tc>
          <w:tcPr>
            <w:cnfStyle w:val="001000000000" w:firstRow="0" w:lastRow="0" w:firstColumn="1" w:lastColumn="0" w:oddVBand="0" w:evenVBand="0" w:oddHBand="0" w:evenHBand="0" w:firstRowFirstColumn="0" w:firstRowLastColumn="0" w:lastRowFirstColumn="0" w:lastRowLastColumn="0"/>
            <w:tcW w:w="1843" w:type="dxa"/>
            <w:hideMark/>
          </w:tcPr>
          <w:p w:rsidR="0064594E" w:rsidRPr="00F64913" w:rsidRDefault="0064594E" w:rsidP="00884404">
            <w:pPr>
              <w:rPr>
                <w:lang w:val="en-AU"/>
              </w:rPr>
            </w:pPr>
            <w:r w:rsidRPr="00F64913">
              <w:rPr>
                <w:lang w:val="en-AU"/>
              </w:rPr>
              <w:t>Other building types</w:t>
            </w:r>
          </w:p>
        </w:tc>
        <w:tc>
          <w:tcPr>
            <w:tcW w:w="3964" w:type="dxa"/>
            <w:hideMark/>
          </w:tcPr>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rFonts w:eastAsia="Times New Roman"/>
                <w:lang w:val="en-AU"/>
              </w:rPr>
            </w:pPr>
            <w:r w:rsidRPr="00F64913">
              <w:rPr>
                <w:rFonts w:eastAsia="Times New Roman"/>
                <w:lang w:val="en-AU"/>
              </w:rPr>
              <w:t>An additional room inside or adjoining the dwelling(s).</w:t>
            </w:r>
          </w:p>
        </w:tc>
        <w:tc>
          <w:tcPr>
            <w:tcW w:w="3691" w:type="dxa"/>
            <w:hideMark/>
          </w:tcPr>
          <w:p w:rsidR="0064594E" w:rsidRPr="00F64913" w:rsidRDefault="0064594E" w:rsidP="00884404">
            <w:pPr>
              <w:cnfStyle w:val="000000000000" w:firstRow="0" w:lastRow="0" w:firstColumn="0" w:lastColumn="0" w:oddVBand="0" w:evenVBand="0" w:oddHBand="0" w:evenHBand="0" w:firstRowFirstColumn="0" w:firstRowLastColumn="0" w:lastRowFirstColumn="0" w:lastRowLastColumn="0"/>
              <w:rPr>
                <w:rFonts w:eastAsia="Times New Roman"/>
                <w:lang w:val="en-AU"/>
              </w:rPr>
            </w:pPr>
            <w:r w:rsidRPr="00F64913">
              <w:rPr>
                <w:rFonts w:eastAsia="Times New Roman"/>
                <w:lang w:val="en-AU"/>
              </w:rPr>
              <w:t>While the OOA may be shared between multiple dwellings, it can only be claimed against one dwelling.</w:t>
            </w:r>
          </w:p>
        </w:tc>
      </w:tr>
    </w:tbl>
    <w:p w:rsidR="0064594E" w:rsidRPr="00F64913" w:rsidRDefault="0064594E" w:rsidP="00BF27E8">
      <w:pPr>
        <w:pStyle w:val="Heading3"/>
        <w:rPr>
          <w:sz w:val="32"/>
          <w:szCs w:val="32"/>
        </w:rPr>
      </w:pPr>
      <w:bookmarkStart w:id="37" w:name="_Toc534203513"/>
      <w:r w:rsidRPr="00F64913">
        <w:t>Step 2D: Determine the Base Price</w:t>
      </w:r>
      <w:bookmarkEnd w:id="37"/>
      <w:r w:rsidR="00BD7D2C">
        <w:t xml:space="preserve"> Cap</w:t>
      </w:r>
    </w:p>
    <w:p w:rsidR="00E86F88" w:rsidRPr="00F64913" w:rsidRDefault="0064594E" w:rsidP="00E86F88">
      <w:pPr>
        <w:rPr>
          <w:lang w:val="en-AU"/>
        </w:rPr>
      </w:pPr>
      <w:r w:rsidRPr="00F64913">
        <w:rPr>
          <w:lang w:val="en-AU"/>
        </w:rPr>
        <w:t>The Base Price</w:t>
      </w:r>
      <w:r w:rsidR="00BD7D2C">
        <w:rPr>
          <w:lang w:val="en-AU"/>
        </w:rPr>
        <w:t xml:space="preserve"> Cap</w:t>
      </w:r>
      <w:r w:rsidRPr="00F64913">
        <w:rPr>
          <w:lang w:val="en-AU"/>
        </w:rPr>
        <w:t xml:space="preserve"> for each Building Type for dwellings with and without OOA, are set out in the NDIS SDA Price Guide.</w:t>
      </w:r>
      <w:r w:rsidR="00E86F88" w:rsidRPr="00E86F88">
        <w:rPr>
          <w:lang w:val="en-AU"/>
        </w:rPr>
        <w:t xml:space="preserve"> </w:t>
      </w:r>
      <w:r w:rsidR="00E86F88" w:rsidRPr="00F64913">
        <w:rPr>
          <w:lang w:val="en-AU"/>
        </w:rPr>
        <w:t xml:space="preserve">As </w:t>
      </w:r>
      <w:r w:rsidR="00E86F88" w:rsidRPr="00F64913">
        <w:rPr>
          <w:lang w:val="en-AU"/>
        </w:rPr>
        <w:fldChar w:fldCharType="begin"/>
      </w:r>
      <w:r w:rsidR="00E86F88" w:rsidRPr="00F64913">
        <w:rPr>
          <w:lang w:val="en-AU"/>
        </w:rPr>
        <w:instrText xml:space="preserve"> REF _Ref16260070 \h  \* MERGEFORMAT </w:instrText>
      </w:r>
      <w:r w:rsidR="00E86F88" w:rsidRPr="00F64913">
        <w:rPr>
          <w:lang w:val="en-AU"/>
        </w:rPr>
      </w:r>
      <w:r w:rsidR="00E86F88" w:rsidRPr="00F64913">
        <w:rPr>
          <w:lang w:val="en-AU"/>
        </w:rPr>
        <w:fldChar w:fldCharType="separate"/>
      </w:r>
      <w:r w:rsidR="00A3319D" w:rsidRPr="00F64913">
        <w:rPr>
          <w:lang w:val="en-AU"/>
        </w:rPr>
        <w:t xml:space="preserve">Table </w:t>
      </w:r>
      <w:r w:rsidR="00A3319D">
        <w:rPr>
          <w:lang w:val="en-AU"/>
        </w:rPr>
        <w:t>5</w:t>
      </w:r>
      <w:r w:rsidR="00E86F88" w:rsidRPr="00F64913">
        <w:rPr>
          <w:lang w:val="en-AU"/>
        </w:rPr>
        <w:fldChar w:fldCharType="end"/>
      </w:r>
      <w:r w:rsidR="00E86F88" w:rsidRPr="00F64913">
        <w:rPr>
          <w:lang w:val="en-AU"/>
        </w:rPr>
        <w:t xml:space="preserve"> </w:t>
      </w:r>
      <w:r w:rsidR="00E86F88" w:rsidRPr="00590CB5">
        <w:rPr>
          <w:rFonts w:cs="Arial"/>
          <w:lang w:val="en-AU"/>
        </w:rPr>
        <w:t>below</w:t>
      </w:r>
      <w:r w:rsidR="00E86F88">
        <w:rPr>
          <w:lang w:val="en-AU"/>
        </w:rPr>
        <w:t xml:space="preserve"> </w:t>
      </w:r>
      <w:r w:rsidR="00E86F88" w:rsidRPr="00F64913">
        <w:rPr>
          <w:lang w:val="en-AU"/>
        </w:rPr>
        <w:t xml:space="preserve">indicates, </w:t>
      </w:r>
      <w:r w:rsidR="00E86F88">
        <w:rPr>
          <w:lang w:val="en-AU"/>
        </w:rPr>
        <w:t xml:space="preserve">SDA </w:t>
      </w:r>
      <w:r w:rsidR="006773BA">
        <w:rPr>
          <w:lang w:val="en-AU"/>
        </w:rPr>
        <w:t>price cap</w:t>
      </w:r>
      <w:r w:rsidR="00E86F88">
        <w:rPr>
          <w:lang w:val="en-AU"/>
        </w:rPr>
        <w:t xml:space="preserve">s </w:t>
      </w:r>
      <w:r w:rsidR="00E86F88" w:rsidRPr="00F64913">
        <w:rPr>
          <w:lang w:val="en-AU"/>
        </w:rPr>
        <w:t>vary substantially according the design category and type of building; ranging from $13,244 per year for Group Accommodation with five residents in an Improved Liveability building with no On-site Overnight Accommodation (OOA), to $105,738 per year for a participant living alone in a two bedroom apartment with OOA.</w:t>
      </w:r>
    </w:p>
    <w:p w:rsidR="00E86F88" w:rsidRDefault="00E86F88" w:rsidP="00E86F88">
      <w:pPr>
        <w:pStyle w:val="Caption"/>
        <w:rPr>
          <w:lang w:val="en-AU"/>
        </w:rPr>
      </w:pPr>
      <w:bookmarkStart w:id="38" w:name="_Ref16260070"/>
      <w:r w:rsidRPr="00F64913">
        <w:rPr>
          <w:lang w:val="en-AU"/>
        </w:rPr>
        <w:t xml:space="preserve">Table </w:t>
      </w:r>
      <w:r w:rsidRPr="00F64913">
        <w:rPr>
          <w:lang w:val="en-AU"/>
        </w:rPr>
        <w:fldChar w:fldCharType="begin"/>
      </w:r>
      <w:r w:rsidRPr="00F64913">
        <w:rPr>
          <w:lang w:val="en-AU"/>
        </w:rPr>
        <w:instrText xml:space="preserve"> SEQ Table \* ARABIC </w:instrText>
      </w:r>
      <w:r w:rsidRPr="00F64913">
        <w:rPr>
          <w:lang w:val="en-AU"/>
        </w:rPr>
        <w:fldChar w:fldCharType="separate"/>
      </w:r>
      <w:r w:rsidR="00A3319D">
        <w:rPr>
          <w:noProof/>
          <w:lang w:val="en-AU"/>
        </w:rPr>
        <w:t>5</w:t>
      </w:r>
      <w:r w:rsidRPr="00F64913">
        <w:rPr>
          <w:lang w:val="en-AU"/>
        </w:rPr>
        <w:fldChar w:fldCharType="end"/>
      </w:r>
      <w:bookmarkEnd w:id="38"/>
      <w:r w:rsidRPr="00F64913">
        <w:rPr>
          <w:lang w:val="en-AU"/>
        </w:rPr>
        <w:t xml:space="preserve">: </w:t>
      </w:r>
      <w:r w:rsidR="00AE5BFF">
        <w:rPr>
          <w:lang w:val="en-AU"/>
        </w:rPr>
        <w:t>P</w:t>
      </w:r>
      <w:r w:rsidRPr="00F64913">
        <w:rPr>
          <w:lang w:val="en-AU"/>
        </w:rPr>
        <w:t xml:space="preserve">rice </w:t>
      </w:r>
      <w:r w:rsidR="00BD7D2C">
        <w:rPr>
          <w:lang w:val="en-AU"/>
        </w:rPr>
        <w:t xml:space="preserve">cap </w:t>
      </w:r>
      <w:r w:rsidRPr="00F64913">
        <w:rPr>
          <w:lang w:val="en-AU"/>
        </w:rPr>
        <w:t>per participant, by SDA type, 2018-19</w:t>
      </w:r>
      <w:r w:rsidR="00707997">
        <w:rPr>
          <w:lang w:val="en-AU"/>
        </w:rPr>
        <w:t>, with Review recommendations applied</w:t>
      </w:r>
    </w:p>
    <w:tbl>
      <w:tblPr>
        <w:tblW w:w="10916" w:type="dxa"/>
        <w:tblInd w:w="-851" w:type="dxa"/>
        <w:tblLook w:val="06A0" w:firstRow="1" w:lastRow="0" w:firstColumn="1" w:lastColumn="0" w:noHBand="1" w:noVBand="1"/>
      </w:tblPr>
      <w:tblGrid>
        <w:gridCol w:w="2127"/>
        <w:gridCol w:w="425"/>
        <w:gridCol w:w="993"/>
        <w:gridCol w:w="992"/>
        <w:gridCol w:w="850"/>
        <w:gridCol w:w="993"/>
        <w:gridCol w:w="850"/>
        <w:gridCol w:w="992"/>
        <w:gridCol w:w="851"/>
        <w:gridCol w:w="850"/>
        <w:gridCol w:w="993"/>
      </w:tblGrid>
      <w:tr w:rsidR="00764EC4" w:rsidRPr="003029B5" w:rsidTr="00C17831">
        <w:trPr>
          <w:trHeight w:val="264"/>
          <w:tblHeader/>
        </w:trPr>
        <w:tc>
          <w:tcPr>
            <w:tcW w:w="2127" w:type="dxa"/>
            <w:tcBorders>
              <w:top w:val="nil"/>
              <w:left w:val="nil"/>
              <w:bottom w:val="nil"/>
              <w:right w:val="nil"/>
            </w:tcBorders>
            <w:shd w:val="clear" w:color="auto" w:fill="auto"/>
            <w:noWrap/>
            <w:vAlign w:val="bottom"/>
            <w:hideMark/>
          </w:tcPr>
          <w:p w:rsidR="00764EC4" w:rsidRPr="003029B5" w:rsidRDefault="00764EC4" w:rsidP="00DA714D">
            <w:pPr>
              <w:spacing w:after="0" w:line="240" w:lineRule="auto"/>
              <w:rPr>
                <w:rFonts w:ascii="Times New Roman" w:eastAsia="Times New Roman" w:hAnsi="Times New Roman" w:cs="Times New Roman"/>
                <w:sz w:val="16"/>
                <w:lang w:eastAsia="en-AU"/>
              </w:rPr>
            </w:pPr>
          </w:p>
        </w:tc>
        <w:tc>
          <w:tcPr>
            <w:tcW w:w="425" w:type="dxa"/>
            <w:tcBorders>
              <w:top w:val="nil"/>
              <w:left w:val="nil"/>
              <w:bottom w:val="nil"/>
              <w:right w:val="single" w:sz="12" w:space="0" w:color="auto"/>
            </w:tcBorders>
            <w:shd w:val="clear" w:color="auto" w:fill="auto"/>
            <w:noWrap/>
            <w:vAlign w:val="bottom"/>
            <w:hideMark/>
          </w:tcPr>
          <w:p w:rsidR="00764EC4" w:rsidRPr="003029B5" w:rsidRDefault="00764EC4" w:rsidP="00DA714D">
            <w:pPr>
              <w:spacing w:after="0" w:line="240" w:lineRule="auto"/>
              <w:rPr>
                <w:rFonts w:ascii="Times New Roman" w:eastAsia="Times New Roman" w:hAnsi="Times New Roman" w:cs="Times New Roman"/>
                <w:sz w:val="16"/>
                <w:szCs w:val="20"/>
                <w:lang w:eastAsia="en-AU"/>
              </w:rPr>
            </w:pPr>
          </w:p>
        </w:tc>
        <w:tc>
          <w:tcPr>
            <w:tcW w:w="1985"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Pr>
                <w:rFonts w:ascii="Calibri" w:eastAsia="Times New Roman" w:hAnsi="Calibri" w:cs="Times New Roman"/>
                <w:b/>
                <w:bCs/>
                <w:color w:val="000000"/>
                <w:sz w:val="16"/>
                <w:lang w:eastAsia="en-AU"/>
              </w:rPr>
              <w:t>Improved liveability</w:t>
            </w:r>
          </w:p>
        </w:tc>
        <w:tc>
          <w:tcPr>
            <w:tcW w:w="1843" w:type="dxa"/>
            <w:gridSpan w:val="2"/>
            <w:tcBorders>
              <w:top w:val="single" w:sz="12" w:space="0" w:color="auto"/>
              <w:left w:val="nil"/>
              <w:bottom w:val="single" w:sz="4"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Pr>
                <w:rFonts w:ascii="Calibri" w:eastAsia="Times New Roman" w:hAnsi="Calibri" w:cs="Times New Roman"/>
                <w:b/>
                <w:bCs/>
                <w:color w:val="000000"/>
                <w:sz w:val="16"/>
                <w:lang w:eastAsia="en-AU"/>
              </w:rPr>
              <w:t>Fully accessible</w:t>
            </w:r>
          </w:p>
        </w:tc>
        <w:tc>
          <w:tcPr>
            <w:tcW w:w="2693" w:type="dxa"/>
            <w:gridSpan w:val="3"/>
            <w:tcBorders>
              <w:top w:val="single" w:sz="12" w:space="0" w:color="auto"/>
              <w:left w:val="nil"/>
              <w:bottom w:val="single" w:sz="4" w:space="0" w:color="auto"/>
              <w:right w:val="single" w:sz="4" w:space="0" w:color="000000"/>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Robust</w:t>
            </w:r>
          </w:p>
        </w:tc>
        <w:tc>
          <w:tcPr>
            <w:tcW w:w="1843" w:type="dxa"/>
            <w:gridSpan w:val="2"/>
            <w:tcBorders>
              <w:top w:val="single" w:sz="12" w:space="0" w:color="auto"/>
              <w:left w:val="nil"/>
              <w:bottom w:val="single" w:sz="4" w:space="0" w:color="auto"/>
              <w:right w:val="single" w:sz="12"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High Support</w:t>
            </w:r>
          </w:p>
        </w:tc>
      </w:tr>
      <w:tr w:rsidR="00764EC4" w:rsidRPr="003029B5" w:rsidTr="00C17831">
        <w:trPr>
          <w:trHeight w:val="345"/>
        </w:trPr>
        <w:tc>
          <w:tcPr>
            <w:tcW w:w="2127" w:type="dxa"/>
            <w:tcBorders>
              <w:top w:val="nil"/>
              <w:left w:val="nil"/>
              <w:bottom w:val="single" w:sz="12" w:space="0" w:color="auto"/>
              <w:right w:val="nil"/>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p>
        </w:tc>
        <w:tc>
          <w:tcPr>
            <w:tcW w:w="425" w:type="dxa"/>
            <w:tcBorders>
              <w:top w:val="nil"/>
              <w:left w:val="nil"/>
              <w:bottom w:val="single" w:sz="12" w:space="0" w:color="auto"/>
              <w:right w:val="single" w:sz="12" w:space="0" w:color="auto"/>
            </w:tcBorders>
            <w:shd w:val="clear" w:color="auto" w:fill="auto"/>
            <w:noWrap/>
            <w:vAlign w:val="bottom"/>
            <w:hideMark/>
          </w:tcPr>
          <w:p w:rsidR="00764EC4" w:rsidRPr="003029B5" w:rsidRDefault="00764EC4" w:rsidP="00DA714D">
            <w:pPr>
              <w:spacing w:after="0" w:line="240" w:lineRule="auto"/>
              <w:rPr>
                <w:rFonts w:ascii="Times New Roman" w:eastAsia="Times New Roman" w:hAnsi="Times New Roman" w:cs="Times New Roman"/>
                <w:sz w:val="16"/>
                <w:szCs w:val="20"/>
                <w:lang w:eastAsia="en-AU"/>
              </w:rPr>
            </w:pPr>
          </w:p>
        </w:tc>
        <w:tc>
          <w:tcPr>
            <w:tcW w:w="993" w:type="dxa"/>
            <w:tcBorders>
              <w:top w:val="nil"/>
              <w:left w:val="single" w:sz="12" w:space="0" w:color="auto"/>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2"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850"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3"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850"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2"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851"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+1 Room</w:t>
            </w:r>
          </w:p>
        </w:tc>
        <w:tc>
          <w:tcPr>
            <w:tcW w:w="850" w:type="dxa"/>
            <w:tcBorders>
              <w:top w:val="nil"/>
              <w:left w:val="nil"/>
              <w:bottom w:val="single" w:sz="12" w:space="0" w:color="auto"/>
              <w:right w:val="single" w:sz="4"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3" w:type="dxa"/>
            <w:tcBorders>
              <w:top w:val="nil"/>
              <w:left w:val="nil"/>
              <w:bottom w:val="single" w:sz="12" w:space="0" w:color="auto"/>
              <w:right w:val="single" w:sz="12" w:space="0" w:color="auto"/>
            </w:tcBorders>
            <w:shd w:val="clear" w:color="auto" w:fill="auto"/>
            <w:noWrap/>
            <w:vAlign w:val="bottom"/>
            <w:hideMark/>
          </w:tcPr>
          <w:p w:rsidR="00764EC4" w:rsidRPr="003029B5" w:rsidRDefault="00764EC4"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r>
      <w:tr w:rsidR="00764EC4" w:rsidRPr="003029B5" w:rsidTr="00C17831">
        <w:trPr>
          <w:trHeight w:val="164"/>
        </w:trPr>
        <w:tc>
          <w:tcPr>
            <w:tcW w:w="2552" w:type="dxa"/>
            <w:gridSpan w:val="2"/>
            <w:tcBorders>
              <w:top w:val="single" w:sz="12"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1 bedroom, 1 resident </w:t>
            </w:r>
          </w:p>
        </w:tc>
        <w:tc>
          <w:tcPr>
            <w:tcW w:w="993"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$35,149</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$41,007</w:t>
            </w:r>
          </w:p>
        </w:tc>
        <w:tc>
          <w:tcPr>
            <w:tcW w:w="850" w:type="dxa"/>
            <w:tcBorders>
              <w:top w:val="single" w:sz="12"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$56,752</w:t>
            </w:r>
          </w:p>
        </w:tc>
        <w:tc>
          <w:tcPr>
            <w:tcW w:w="993" w:type="dxa"/>
            <w:tcBorders>
              <w:top w:val="single" w:sz="12"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$66,211</w:t>
            </w:r>
          </w:p>
        </w:tc>
        <w:tc>
          <w:tcPr>
            <w:tcW w:w="850"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1"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12"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$72,844</w:t>
            </w:r>
          </w:p>
        </w:tc>
        <w:tc>
          <w:tcPr>
            <w:tcW w:w="993" w:type="dxa"/>
            <w:tcBorders>
              <w:top w:val="single" w:sz="12"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$84,984</w:t>
            </w:r>
          </w:p>
        </w:tc>
      </w:tr>
      <w:tr w:rsidR="00764EC4" w:rsidRPr="003029B5" w:rsidTr="00C17831">
        <w:trPr>
          <w:trHeight w:val="160"/>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2 bedrooms, 1 resident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$41,847</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$48,822</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$69,129</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$80,651</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1"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$90,632</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$105,738</w:t>
            </w:r>
          </w:p>
        </w:tc>
      </w:tr>
      <w:tr w:rsidR="00764EC4" w:rsidRPr="003029B5" w:rsidTr="00C17831">
        <w:trPr>
          <w:trHeight w:val="136"/>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3 bedrooms, 2 residents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$21,844</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$24,496</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$39,810</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$46,444</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1"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$55,310</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$64,528</w:t>
            </w:r>
          </w:p>
        </w:tc>
      </w:tr>
      <w:tr w:rsidR="00764EC4" w:rsidRPr="003029B5" w:rsidTr="00C17831">
        <w:trPr>
          <w:trHeight w:val="125"/>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Villa, 1 bedroom, 1 resident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$24,755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$27,379</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$38,158</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$41,992</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$44,964</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$49,650</w:t>
            </w:r>
          </w:p>
        </w:tc>
        <w:tc>
          <w:tcPr>
            <w:tcW w:w="851"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$50,604</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$54,953</w:t>
            </w:r>
          </w:p>
        </w:tc>
      </w:tr>
      <w:tr w:rsidR="00764EC4" w:rsidRPr="003029B5" w:rsidTr="00C17831">
        <w:trPr>
          <w:trHeight w:val="115"/>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Duplex/townhouse, 2 residents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$15,495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$16,726</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$23,611</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$25,473</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$28,179</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$30,439</w:t>
            </w:r>
          </w:p>
        </w:tc>
        <w:tc>
          <w:tcPr>
            <w:tcW w:w="851"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$1,901</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$32,338</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$34,430</w:t>
            </w:r>
          </w:p>
        </w:tc>
      </w:tr>
      <w:tr w:rsidR="00764EC4" w:rsidRPr="003029B5" w:rsidTr="00C17831">
        <w:trPr>
          <w:trHeight w:val="233"/>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Duplex/townhouse, 3 residents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$12,655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$13,494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$20,104</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$21,349</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$24,431</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$25,936</w:t>
            </w:r>
          </w:p>
        </w:tc>
        <w:tc>
          <w:tcPr>
            <w:tcW w:w="851"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$1,266</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$28,396</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$29,788</w:t>
            </w:r>
          </w:p>
        </w:tc>
      </w:tr>
      <w:tr w:rsidR="00764EC4" w:rsidRPr="003029B5" w:rsidTr="00C17831">
        <w:trPr>
          <w:trHeight w:val="173"/>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House, 2 people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$22,628</w:t>
            </w:r>
          </w:p>
        </w:tc>
        <w:tc>
          <w:tcPr>
            <w:tcW w:w="992" w:type="dxa"/>
            <w:tcBorders>
              <w:top w:val="single" w:sz="4" w:space="0" w:color="auto"/>
              <w:left w:val="single" w:sz="8" w:space="0" w:color="auto"/>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$23,861</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$30,922</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$32,784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$36,099</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$38,358</w:t>
            </w:r>
          </w:p>
        </w:tc>
        <w:tc>
          <w:tcPr>
            <w:tcW w:w="851"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$1,901</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$40,051</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$42,143</w:t>
            </w:r>
          </w:p>
        </w:tc>
      </w:tr>
      <w:tr w:rsidR="00764EC4" w:rsidRPr="003029B5" w:rsidTr="00C17831">
        <w:trPr>
          <w:trHeight w:val="213"/>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House, 3 people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$17,785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$18,724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$26,129</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$27,524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$30,701</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$32,365</w:t>
            </w:r>
          </w:p>
        </w:tc>
        <w:tc>
          <w:tcPr>
            <w:tcW w:w="851"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$1,399</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$37,618</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$39,303</w:t>
            </w:r>
          </w:p>
        </w:tc>
      </w:tr>
      <w:tr w:rsidR="00764EC4" w:rsidRPr="003029B5" w:rsidTr="00C17831">
        <w:trPr>
          <w:trHeight w:val="203"/>
        </w:trPr>
        <w:tc>
          <w:tcPr>
            <w:tcW w:w="2552"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Pr>
                <w:rFonts w:ascii="Calibri" w:eastAsia="Times New Roman" w:hAnsi="Calibri" w:cs="Times New Roman"/>
                <w:color w:val="000000"/>
                <w:sz w:val="16"/>
                <w:lang w:eastAsia="en-AU"/>
              </w:rPr>
              <w:t xml:space="preserve"> Group A</w:t>
            </w:r>
            <w:r w:rsidRPr="003029B5">
              <w:rPr>
                <w:rFonts w:ascii="Calibri" w:eastAsia="Times New Roman" w:hAnsi="Calibri" w:cs="Times New Roman"/>
                <w:color w:val="000000"/>
                <w:sz w:val="16"/>
                <w:lang w:eastAsia="en-AU"/>
              </w:rPr>
              <w:t xml:space="preserve">ccom, 4 people </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$15,673</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$16,378</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$23,479</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$24,544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$27,767</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$29,028</w:t>
            </w:r>
          </w:p>
        </w:tc>
        <w:tc>
          <w:tcPr>
            <w:tcW w:w="851" w:type="dxa"/>
            <w:tcBorders>
              <w:top w:val="single" w:sz="4" w:space="0" w:color="auto"/>
              <w:left w:val="nil"/>
              <w:bottom w:val="single" w:sz="4"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$1,061</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$33,659</w:t>
            </w:r>
          </w:p>
        </w:tc>
        <w:tc>
          <w:tcPr>
            <w:tcW w:w="993" w:type="dxa"/>
            <w:tcBorders>
              <w:top w:val="single" w:sz="4" w:space="0" w:color="auto"/>
              <w:left w:val="nil"/>
              <w:bottom w:val="single" w:sz="4"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$34,927</w:t>
            </w:r>
          </w:p>
        </w:tc>
      </w:tr>
      <w:tr w:rsidR="00764EC4" w:rsidRPr="003029B5" w:rsidTr="00C17831">
        <w:trPr>
          <w:trHeight w:val="193"/>
        </w:trPr>
        <w:tc>
          <w:tcPr>
            <w:tcW w:w="2552" w:type="dxa"/>
            <w:gridSpan w:val="2"/>
            <w:tcBorders>
              <w:top w:val="single" w:sz="4" w:space="0" w:color="auto"/>
              <w:left w:val="single" w:sz="12" w:space="0" w:color="auto"/>
              <w:bottom w:val="single" w:sz="12" w:space="0" w:color="auto"/>
              <w:right w:val="single" w:sz="8" w:space="0" w:color="000000"/>
            </w:tcBorders>
            <w:shd w:val="clear" w:color="000000" w:fill="C1EDFF"/>
            <w:noWrap/>
            <w:vAlign w:val="bottom"/>
            <w:hideMark/>
          </w:tcPr>
          <w:p w:rsidR="00764EC4" w:rsidRPr="003029B5" w:rsidRDefault="00764EC4"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Group Accom, 5 residents </w:t>
            </w:r>
          </w:p>
        </w:tc>
        <w:tc>
          <w:tcPr>
            <w:tcW w:w="993" w:type="dxa"/>
            <w:tcBorders>
              <w:top w:val="single" w:sz="4" w:space="0" w:color="auto"/>
              <w:left w:val="nil"/>
              <w:bottom w:val="single" w:sz="12"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$13,244</w:t>
            </w:r>
          </w:p>
        </w:tc>
        <w:tc>
          <w:tcPr>
            <w:tcW w:w="992" w:type="dxa"/>
            <w:tcBorders>
              <w:top w:val="single" w:sz="4" w:space="0" w:color="auto"/>
              <w:left w:val="nil"/>
              <w:bottom w:val="single" w:sz="12"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$13,822</w:t>
            </w:r>
          </w:p>
        </w:tc>
        <w:tc>
          <w:tcPr>
            <w:tcW w:w="850" w:type="dxa"/>
            <w:tcBorders>
              <w:top w:val="single" w:sz="4" w:space="0" w:color="auto"/>
              <w:left w:val="nil"/>
              <w:bottom w:val="single" w:sz="12"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$20,680</w:t>
            </w:r>
          </w:p>
        </w:tc>
        <w:tc>
          <w:tcPr>
            <w:tcW w:w="993" w:type="dxa"/>
            <w:tcBorders>
              <w:top w:val="single" w:sz="4" w:space="0" w:color="auto"/>
              <w:left w:val="nil"/>
              <w:bottom w:val="single" w:sz="12"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$21,523</w:t>
            </w:r>
          </w:p>
        </w:tc>
        <w:tc>
          <w:tcPr>
            <w:tcW w:w="850" w:type="dxa"/>
            <w:tcBorders>
              <w:top w:val="single" w:sz="4" w:space="0" w:color="auto"/>
              <w:left w:val="nil"/>
              <w:bottom w:val="single" w:sz="12"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$24,509</w:t>
            </w:r>
          </w:p>
        </w:tc>
        <w:tc>
          <w:tcPr>
            <w:tcW w:w="992" w:type="dxa"/>
            <w:tcBorders>
              <w:top w:val="single" w:sz="4" w:space="0" w:color="auto"/>
              <w:left w:val="nil"/>
              <w:bottom w:val="single" w:sz="12"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$25,504</w:t>
            </w:r>
          </w:p>
        </w:tc>
        <w:tc>
          <w:tcPr>
            <w:tcW w:w="851" w:type="dxa"/>
            <w:tcBorders>
              <w:top w:val="single" w:sz="4" w:space="0" w:color="auto"/>
              <w:left w:val="nil"/>
              <w:bottom w:val="single" w:sz="12" w:space="0" w:color="auto"/>
              <w:right w:val="single" w:sz="4" w:space="0" w:color="auto"/>
            </w:tcBorders>
            <w:shd w:val="clear" w:color="000000" w:fill="E2EFDA"/>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$838</w:t>
            </w:r>
          </w:p>
        </w:tc>
        <w:tc>
          <w:tcPr>
            <w:tcW w:w="850" w:type="dxa"/>
            <w:tcBorders>
              <w:top w:val="single" w:sz="4" w:space="0" w:color="auto"/>
              <w:left w:val="nil"/>
              <w:bottom w:val="single" w:sz="12" w:space="0" w:color="auto"/>
              <w:right w:val="single" w:sz="4"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$30,117</w:t>
            </w:r>
          </w:p>
        </w:tc>
        <w:tc>
          <w:tcPr>
            <w:tcW w:w="993" w:type="dxa"/>
            <w:tcBorders>
              <w:top w:val="single" w:sz="4" w:space="0" w:color="auto"/>
              <w:left w:val="nil"/>
              <w:bottom w:val="single" w:sz="12" w:space="0" w:color="auto"/>
              <w:right w:val="single" w:sz="12" w:space="0" w:color="auto"/>
            </w:tcBorders>
            <w:shd w:val="clear" w:color="000000" w:fill="C1EDFF"/>
            <w:noWrap/>
            <w:vAlign w:val="bottom"/>
            <w:hideMark/>
          </w:tcPr>
          <w:p w:rsidR="00764EC4" w:rsidRPr="003029B5" w:rsidRDefault="00764EC4"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$29,909</w:t>
            </w:r>
          </w:p>
        </w:tc>
      </w:tr>
    </w:tbl>
    <w:p w:rsidR="00E86F88" w:rsidRPr="00F64913" w:rsidRDefault="00E86F88" w:rsidP="00E86F88">
      <w:pPr>
        <w:pBdr>
          <w:bottom w:val="single" w:sz="18" w:space="1" w:color="6B2976" w:themeColor="accent4"/>
        </w:pBdr>
        <w:shd w:val="clear" w:color="auto" w:fill="FFFFFF" w:themeFill="background1"/>
        <w:spacing w:after="180"/>
        <w:rPr>
          <w:lang w:val="en-AU"/>
        </w:rPr>
      </w:pPr>
    </w:p>
    <w:p w:rsidR="0064594E" w:rsidRPr="00F64913" w:rsidRDefault="0064594E" w:rsidP="00BF27E8">
      <w:pPr>
        <w:pStyle w:val="Heading3"/>
      </w:pPr>
      <w:bookmarkStart w:id="39" w:name="_Toc534203514"/>
      <w:r w:rsidRPr="00F64913">
        <w:t xml:space="preserve">Step 3: </w:t>
      </w:r>
      <w:r w:rsidR="00E86F88">
        <w:t>A</w:t>
      </w:r>
      <w:r w:rsidRPr="00F64913">
        <w:t>dditional breakout room</w:t>
      </w:r>
      <w:bookmarkEnd w:id="39"/>
    </w:p>
    <w:p w:rsidR="0064594E" w:rsidRPr="00F64913" w:rsidRDefault="0064594E" w:rsidP="001229C3">
      <w:pPr>
        <w:rPr>
          <w:lang w:val="en-AU"/>
        </w:rPr>
      </w:pPr>
      <w:r w:rsidRPr="00F64913">
        <w:rPr>
          <w:lang w:val="en-AU"/>
        </w:rPr>
        <w:t xml:space="preserve">A breakout room is a separate room designed to respond to the individual disability related needs of the participant. It is not a study or living/dining area but is intended to be dedicated and used to enhance learning, exploration or positively impact mood. Only dwellings that are in the Robust Design Category can have an additional breakout room. </w:t>
      </w:r>
      <w:r w:rsidRPr="00F64913">
        <w:rPr>
          <w:rFonts w:eastAsia="Times New Roman" w:cs="Arial"/>
          <w:szCs w:val="18"/>
          <w:lang w:val="en-AU"/>
        </w:rPr>
        <w:t xml:space="preserve">Some </w:t>
      </w:r>
      <w:r w:rsidRPr="00F64913">
        <w:rPr>
          <w:lang w:val="en-AU"/>
        </w:rPr>
        <w:t>dwellings may have both an OOA and a breakout room.</w:t>
      </w:r>
      <w:r w:rsidR="001229C3" w:rsidRPr="00F64913">
        <w:rPr>
          <w:lang w:val="en-AU"/>
        </w:rPr>
        <w:t xml:space="preserve"> </w:t>
      </w:r>
      <w:r w:rsidRPr="00F64913">
        <w:rPr>
          <w:lang w:val="en-AU"/>
        </w:rPr>
        <w:t xml:space="preserve">The additional price associated with a breakout room are set out in the NDIS SDA Price Guide. No additional </w:t>
      </w:r>
      <w:r w:rsidR="00BD7D2C">
        <w:rPr>
          <w:lang w:val="en-AU"/>
        </w:rPr>
        <w:t>amount</w:t>
      </w:r>
      <w:r w:rsidR="00BD7D2C" w:rsidRPr="00F64913">
        <w:rPr>
          <w:lang w:val="en-AU"/>
        </w:rPr>
        <w:t xml:space="preserve"> </w:t>
      </w:r>
      <w:r w:rsidRPr="00F64913">
        <w:rPr>
          <w:lang w:val="en-AU"/>
        </w:rPr>
        <w:t>is associated with a breakout room for Legacy Stock.</w:t>
      </w:r>
    </w:p>
    <w:p w:rsidR="0064594E" w:rsidRPr="00F64913" w:rsidRDefault="0064594E" w:rsidP="00BF27E8">
      <w:pPr>
        <w:pStyle w:val="Heading3"/>
        <w:rPr>
          <w:szCs w:val="32"/>
        </w:rPr>
      </w:pPr>
      <w:bookmarkStart w:id="40" w:name="_Toc534203515"/>
      <w:bookmarkStart w:id="41" w:name="_Toc524706891"/>
      <w:r w:rsidRPr="00F64913">
        <w:t>Step 4: Location Factor</w:t>
      </w:r>
      <w:bookmarkEnd w:id="40"/>
      <w:bookmarkEnd w:id="41"/>
    </w:p>
    <w:p w:rsidR="0064594E" w:rsidRPr="00F64913" w:rsidRDefault="0064594E" w:rsidP="001229C3">
      <w:pPr>
        <w:rPr>
          <w:lang w:val="en-AU"/>
        </w:rPr>
      </w:pPr>
      <w:r w:rsidRPr="00114CDB">
        <w:rPr>
          <w:lang w:val="en-AU"/>
        </w:rPr>
        <w:t>The Location Factors applied in SDA pricing are based on Australian Bureau of Statistics (ABS) Statistical Area 4 regions.</w:t>
      </w:r>
      <w:r w:rsidRPr="00F64913">
        <w:rPr>
          <w:lang w:val="en-AU"/>
        </w:rPr>
        <w:t xml:space="preserve"> To derive a SDA </w:t>
      </w:r>
      <w:r w:rsidR="006773BA">
        <w:rPr>
          <w:lang w:val="en-AU"/>
        </w:rPr>
        <w:t>price cap</w:t>
      </w:r>
      <w:r w:rsidRPr="00F64913">
        <w:rPr>
          <w:lang w:val="en-AU"/>
        </w:rPr>
        <w:t xml:space="preserve"> for a particular dwelling, the Base Price</w:t>
      </w:r>
      <w:r w:rsidR="00BD7D2C">
        <w:rPr>
          <w:lang w:val="en-AU"/>
        </w:rPr>
        <w:t xml:space="preserve"> Cap</w:t>
      </w:r>
      <w:r w:rsidRPr="00F64913">
        <w:rPr>
          <w:lang w:val="en-AU"/>
        </w:rPr>
        <w:t xml:space="preserve"> (before the fire sprinkler allowance) is multiplied by the Location Factor relevant to the property’s location and Building Type. The location factors </w:t>
      </w:r>
      <w:r w:rsidRPr="00F64913">
        <w:rPr>
          <w:rFonts w:eastAsia="Times New Roman" w:cs="Arial"/>
          <w:szCs w:val="18"/>
          <w:lang w:val="en-AU"/>
        </w:rPr>
        <w:t xml:space="preserve">are set out in the </w:t>
      </w:r>
      <w:r w:rsidRPr="00F64913">
        <w:rPr>
          <w:lang w:val="en-AU"/>
        </w:rPr>
        <w:t>NDIS SDA Price Guide.</w:t>
      </w:r>
    </w:p>
    <w:p w:rsidR="0064594E" w:rsidRPr="00F64913" w:rsidRDefault="0064594E" w:rsidP="00BF27E8">
      <w:pPr>
        <w:pStyle w:val="Heading3"/>
      </w:pPr>
      <w:bookmarkStart w:id="42" w:name="_Toc534203516"/>
      <w:bookmarkStart w:id="43" w:name="_Toc524706892"/>
      <w:r w:rsidRPr="00F64913">
        <w:t>Step 5: Fire Sprinklers</w:t>
      </w:r>
      <w:bookmarkEnd w:id="42"/>
      <w:bookmarkEnd w:id="43"/>
    </w:p>
    <w:p w:rsidR="0064594E" w:rsidRDefault="0064594E" w:rsidP="001229C3">
      <w:pPr>
        <w:rPr>
          <w:rFonts w:cs="Arial"/>
          <w:lang w:val="en-AU"/>
        </w:rPr>
      </w:pPr>
      <w:r w:rsidRPr="00F64913">
        <w:rPr>
          <w:lang w:val="en-AU"/>
        </w:rPr>
        <w:t xml:space="preserve">A Fire Sprinkler Allowance is payable when fire sprinklers have been installed throughout the SDA dwelling and they comply with all relevant building codes and laws. For example, they comply with requirements in relation to installation, testing and maintenance. To adjust the SDA </w:t>
      </w:r>
      <w:r w:rsidR="006773BA">
        <w:rPr>
          <w:lang w:val="en-AU"/>
        </w:rPr>
        <w:t>price cap</w:t>
      </w:r>
      <w:r w:rsidRPr="00F64913">
        <w:rPr>
          <w:lang w:val="en-AU"/>
        </w:rPr>
        <w:t xml:space="preserve"> for fire sprinklers, the location-adjusted Base Price is multiplied by (1 + the Fire Sprinkler Allowance) for the Building Type. </w:t>
      </w:r>
      <w:r w:rsidRPr="00F64913">
        <w:rPr>
          <w:rFonts w:cs="Arial"/>
          <w:lang w:val="en-AU"/>
        </w:rPr>
        <w:t xml:space="preserve">The Fire </w:t>
      </w:r>
      <w:r w:rsidRPr="00F64913">
        <w:rPr>
          <w:lang w:val="en-AU"/>
        </w:rPr>
        <w:t>Sprinkler</w:t>
      </w:r>
      <w:r w:rsidRPr="00F64913">
        <w:rPr>
          <w:rFonts w:cs="Arial"/>
          <w:lang w:val="en-AU"/>
        </w:rPr>
        <w:t xml:space="preserve"> Allowance amount is: 1.2% for A</w:t>
      </w:r>
      <w:r w:rsidRPr="00F64913">
        <w:rPr>
          <w:lang w:val="en-AU"/>
        </w:rPr>
        <w:t>partments and 1.9% for other</w:t>
      </w:r>
      <w:r w:rsidRPr="00F64913">
        <w:rPr>
          <w:rFonts w:cs="Arial"/>
          <w:lang w:val="en-AU"/>
        </w:rPr>
        <w:t xml:space="preserve"> Building Types.</w:t>
      </w:r>
    </w:p>
    <w:p w:rsidR="0064594E" w:rsidRPr="00F64913" w:rsidRDefault="0064594E" w:rsidP="00F64913">
      <w:pPr>
        <w:pStyle w:val="Heading2"/>
      </w:pPr>
      <w:bookmarkStart w:id="44" w:name="_Toc534203519"/>
      <w:bookmarkStart w:id="45" w:name="_Toc23156377"/>
      <w:r w:rsidRPr="00F64913">
        <w:t>Key Assumptions for SDA Benchmark Pricing</w:t>
      </w:r>
      <w:bookmarkEnd w:id="44"/>
      <w:bookmarkEnd w:id="45"/>
    </w:p>
    <w:p w:rsidR="0064594E" w:rsidRPr="00F64913" w:rsidRDefault="002B3C6D" w:rsidP="00884404">
      <w:pPr>
        <w:rPr>
          <w:rFonts w:cstheme="minorHAnsi"/>
          <w:lang w:val="en-AU"/>
        </w:rPr>
      </w:pPr>
      <w:r w:rsidRPr="00F64913">
        <w:rPr>
          <w:rFonts w:cstheme="minorHAnsi"/>
          <w:lang w:val="en-AU"/>
        </w:rPr>
        <w:t xml:space="preserve">This Section sets out the costs assumptions that were in place prior to the </w:t>
      </w:r>
      <w:r w:rsidR="00F64913">
        <w:rPr>
          <w:rFonts w:cstheme="minorHAnsi"/>
          <w:lang w:val="en-AU"/>
        </w:rPr>
        <w:t>Review</w:t>
      </w:r>
      <w:r w:rsidRPr="00F64913">
        <w:rPr>
          <w:rFonts w:cstheme="minorHAnsi"/>
          <w:lang w:val="en-AU"/>
        </w:rPr>
        <w:t xml:space="preserve">. </w:t>
      </w:r>
      <w:r w:rsidR="0064594E" w:rsidRPr="00F64913">
        <w:rPr>
          <w:rFonts w:cstheme="minorHAnsi"/>
          <w:lang w:val="en-AU"/>
        </w:rPr>
        <w:t>Note: All assumptions are in 2016-17 dollars – SDA price</w:t>
      </w:r>
      <w:r w:rsidR="00BD7D2C">
        <w:rPr>
          <w:rFonts w:cstheme="minorHAnsi"/>
          <w:lang w:val="en-AU"/>
        </w:rPr>
        <w:t xml:space="preserve"> cap</w:t>
      </w:r>
      <w:r w:rsidR="0064594E" w:rsidRPr="00F64913">
        <w:rPr>
          <w:rFonts w:cstheme="minorHAnsi"/>
          <w:lang w:val="en-AU"/>
        </w:rPr>
        <w:t>s are indexed annually by CPI.</w:t>
      </w:r>
    </w:p>
    <w:p w:rsidR="00907C65" w:rsidRPr="007A3568" w:rsidRDefault="00907C65" w:rsidP="00907C65">
      <w:pPr>
        <w:keepNext/>
        <w:pBdr>
          <w:bottom w:val="single" w:sz="18" w:space="1" w:color="6B2976"/>
        </w:pBdr>
        <w:shd w:val="clear" w:color="auto" w:fill="FFFFFF"/>
        <w:spacing w:before="320"/>
        <w:jc w:val="center"/>
        <w:rPr>
          <w:rFonts w:ascii="Arial" w:eastAsia="Arial" w:hAnsi="Arial" w:cs="Times New Roman"/>
          <w:b/>
          <w:i/>
          <w:iCs/>
          <w:color w:val="6B2976"/>
          <w:sz w:val="20"/>
          <w:szCs w:val="20"/>
        </w:rPr>
      </w:pPr>
      <w:r w:rsidRPr="007A3568">
        <w:rPr>
          <w:rFonts w:ascii="Arial" w:eastAsia="Arial" w:hAnsi="Arial" w:cs="Times New Roman"/>
          <w:b/>
          <w:i/>
          <w:iCs/>
          <w:color w:val="6B2976"/>
          <w:sz w:val="20"/>
          <w:szCs w:val="20"/>
        </w:rPr>
        <w:t xml:space="preserve">Table </w:t>
      </w:r>
      <w:r w:rsidRPr="007A3568">
        <w:rPr>
          <w:rFonts w:ascii="Arial" w:eastAsia="Arial" w:hAnsi="Arial" w:cs="Times New Roman"/>
          <w:b/>
          <w:i/>
          <w:iCs/>
          <w:color w:val="6B2976"/>
          <w:sz w:val="20"/>
          <w:szCs w:val="20"/>
        </w:rPr>
        <w:fldChar w:fldCharType="begin"/>
      </w:r>
      <w:r w:rsidRPr="007A3568">
        <w:rPr>
          <w:rFonts w:ascii="Arial" w:eastAsia="Arial" w:hAnsi="Arial" w:cs="Times New Roman"/>
          <w:b/>
          <w:i/>
          <w:iCs/>
          <w:noProof/>
          <w:color w:val="6B2976"/>
          <w:sz w:val="20"/>
          <w:szCs w:val="20"/>
        </w:rPr>
        <w:instrText xml:space="preserve"> SEQ Table \* ARABIC </w:instrText>
      </w:r>
      <w:r w:rsidRPr="007A3568">
        <w:rPr>
          <w:rFonts w:ascii="Arial" w:eastAsia="Arial" w:hAnsi="Arial" w:cs="Times New Roman"/>
          <w:b/>
          <w:i/>
          <w:iCs/>
          <w:color w:val="6B2976"/>
          <w:sz w:val="20"/>
          <w:szCs w:val="20"/>
        </w:rPr>
        <w:fldChar w:fldCharType="separate"/>
      </w:r>
      <w:r w:rsidRPr="007A3568">
        <w:rPr>
          <w:rFonts w:ascii="Arial" w:eastAsia="Arial" w:hAnsi="Arial" w:cs="Times New Roman"/>
          <w:b/>
          <w:i/>
          <w:iCs/>
          <w:noProof/>
          <w:color w:val="6B2976"/>
          <w:sz w:val="20"/>
          <w:szCs w:val="20"/>
        </w:rPr>
        <w:t>6</w:t>
      </w:r>
      <w:r w:rsidRPr="007A3568">
        <w:rPr>
          <w:rFonts w:ascii="Arial" w:eastAsia="Arial" w:hAnsi="Arial" w:cs="Times New Roman"/>
          <w:b/>
          <w:i/>
          <w:iCs/>
          <w:color w:val="6B2976"/>
          <w:sz w:val="20"/>
          <w:szCs w:val="20"/>
        </w:rPr>
        <w:fldChar w:fldCharType="end"/>
      </w:r>
      <w:r w:rsidRPr="007A3568">
        <w:rPr>
          <w:rFonts w:ascii="Arial" w:eastAsia="Arial" w:hAnsi="Arial" w:cs="Times New Roman"/>
          <w:b/>
          <w:i/>
          <w:iCs/>
          <w:color w:val="6B2976"/>
          <w:sz w:val="20"/>
          <w:szCs w:val="20"/>
        </w:rPr>
        <w:t>: Key Assumptions for SDA Benchmark Pricing</w:t>
      </w:r>
    </w:p>
    <w:p w:rsidR="00907C65" w:rsidRPr="00DD2BC1" w:rsidRDefault="00530B2D" w:rsidP="00DD2BC1">
      <w:pPr>
        <w:rPr>
          <w:b/>
          <w:sz w:val="20"/>
          <w:szCs w:val="20"/>
        </w:rPr>
      </w:pPr>
      <w:r w:rsidRPr="00DD2BC1">
        <w:rPr>
          <w:b/>
          <w:sz w:val="20"/>
          <w:szCs w:val="20"/>
        </w:rPr>
        <w:t>Table 6.1 General Parameters</w:t>
      </w:r>
    </w:p>
    <w:tbl>
      <w:tblPr>
        <w:tblStyle w:val="GridTable4-Accent41"/>
        <w:tblW w:w="5000" w:type="pct"/>
        <w:tblLook w:val="0620" w:firstRow="1" w:lastRow="0" w:firstColumn="0" w:lastColumn="0" w:noHBand="1" w:noVBand="1"/>
        <w:tblDescription w:val="Key Assumptions for SDA Benchmark Pricing, General Paramaters. General Parameters is a merged cell as a second row heading."/>
      </w:tblPr>
      <w:tblGrid>
        <w:gridCol w:w="2705"/>
        <w:gridCol w:w="1803"/>
        <w:gridCol w:w="4508"/>
      </w:tblGrid>
      <w:tr w:rsidR="00530B2D" w:rsidRPr="007A3568" w:rsidTr="00F954AA">
        <w:trPr>
          <w:cnfStyle w:val="100000000000" w:firstRow="1" w:lastRow="0" w:firstColumn="0" w:lastColumn="0" w:oddVBand="0" w:evenVBand="0" w:oddHBand="0" w:evenHBand="0" w:firstRowFirstColumn="0" w:firstRowLastColumn="0" w:lastRowFirstColumn="0" w:lastRowLastColumn="0"/>
          <w:tblHeader/>
        </w:trPr>
        <w:tc>
          <w:tcPr>
            <w:tcW w:w="1500" w:type="pct"/>
            <w:hideMark/>
          </w:tcPr>
          <w:p w:rsidR="00530B2D" w:rsidRPr="007A3568" w:rsidRDefault="00530B2D" w:rsidP="00F954AA">
            <w:pPr>
              <w:rPr>
                <w:rFonts w:ascii="Arial" w:eastAsia="Arial" w:hAnsi="Arial" w:cs="Times New Roman"/>
              </w:rPr>
            </w:pPr>
            <w:r w:rsidRPr="007A3568">
              <w:rPr>
                <w:rFonts w:ascii="Arial" w:eastAsia="Arial" w:hAnsi="Arial" w:cs="Times New Roman"/>
              </w:rPr>
              <w:t>DESCRIPTION</w:t>
            </w:r>
          </w:p>
        </w:tc>
        <w:tc>
          <w:tcPr>
            <w:tcW w:w="1000" w:type="pct"/>
            <w:hideMark/>
          </w:tcPr>
          <w:p w:rsidR="00530B2D" w:rsidRPr="007A3568" w:rsidRDefault="00530B2D" w:rsidP="00F954AA">
            <w:pPr>
              <w:jc w:val="center"/>
              <w:rPr>
                <w:rFonts w:ascii="Arial" w:eastAsia="Arial" w:hAnsi="Arial" w:cs="Times New Roman"/>
              </w:rPr>
            </w:pPr>
            <w:r w:rsidRPr="007A3568">
              <w:rPr>
                <w:rFonts w:ascii="Arial" w:eastAsia="Arial" w:hAnsi="Arial" w:cs="Times New Roman"/>
              </w:rPr>
              <w:t>RANGE</w:t>
            </w:r>
          </w:p>
        </w:tc>
        <w:tc>
          <w:tcPr>
            <w:tcW w:w="2500" w:type="pct"/>
            <w:hideMark/>
          </w:tcPr>
          <w:p w:rsidR="00530B2D" w:rsidRPr="007A3568" w:rsidRDefault="00530B2D" w:rsidP="00F954AA">
            <w:pPr>
              <w:rPr>
                <w:rFonts w:ascii="Arial" w:eastAsia="Arial" w:hAnsi="Arial" w:cs="Times New Roman"/>
              </w:rPr>
            </w:pPr>
            <w:r w:rsidRPr="007A3568">
              <w:rPr>
                <w:rFonts w:ascii="Arial" w:eastAsia="Arial" w:hAnsi="Arial" w:cs="Times New Roman"/>
              </w:rPr>
              <w:t>SOURCE OR RATIONALE</w:t>
            </w:r>
          </w:p>
        </w:tc>
      </w:tr>
      <w:tr w:rsidR="00530B2D" w:rsidRPr="007A3568" w:rsidTr="00F954AA">
        <w:tc>
          <w:tcPr>
            <w:tcW w:w="5000" w:type="pct"/>
            <w:gridSpan w:val="3"/>
            <w:shd w:val="clear" w:color="auto" w:fill="auto"/>
          </w:tcPr>
          <w:p w:rsidR="00530B2D" w:rsidRPr="007A3568" w:rsidRDefault="00530B2D" w:rsidP="00F954AA">
            <w:pPr>
              <w:rPr>
                <w:rFonts w:ascii="Arial" w:eastAsia="Arial" w:hAnsi="Arial" w:cs="Times New Roman"/>
              </w:rPr>
            </w:pPr>
            <w:r w:rsidRPr="007A3568">
              <w:rPr>
                <w:rFonts w:ascii="Arial" w:eastAsia="Arial" w:hAnsi="Arial" w:cs="Times New Roman"/>
                <w:b/>
              </w:rPr>
              <w:t>General Parameters</w:t>
            </w:r>
          </w:p>
        </w:tc>
      </w:tr>
      <w:tr w:rsidR="00530B2D" w:rsidRPr="007A3568" w:rsidTr="00F954AA">
        <w:tc>
          <w:tcPr>
            <w:tcW w:w="1500" w:type="pct"/>
            <w:shd w:val="clear" w:color="auto" w:fill="auto"/>
            <w:hideMark/>
          </w:tcPr>
          <w:p w:rsidR="00530B2D" w:rsidRPr="007A3568" w:rsidRDefault="00530B2D" w:rsidP="00F954AA">
            <w:pPr>
              <w:rPr>
                <w:rFonts w:ascii="Arial" w:eastAsia="Arial" w:hAnsi="Arial" w:cs="Times New Roman"/>
              </w:rPr>
            </w:pPr>
            <w:r w:rsidRPr="007A3568">
              <w:rPr>
                <w:rFonts w:ascii="Arial" w:eastAsia="Arial" w:hAnsi="Arial" w:cs="Times New Roman"/>
              </w:rPr>
              <w:t>Investment horizon</w:t>
            </w:r>
          </w:p>
        </w:tc>
        <w:tc>
          <w:tcPr>
            <w:tcW w:w="1000" w:type="pct"/>
            <w:shd w:val="clear" w:color="auto" w:fill="auto"/>
            <w:hideMark/>
          </w:tcPr>
          <w:p w:rsidR="00530B2D" w:rsidRPr="007A3568" w:rsidRDefault="00530B2D" w:rsidP="00F954AA">
            <w:pPr>
              <w:jc w:val="center"/>
              <w:rPr>
                <w:rFonts w:ascii="Arial" w:eastAsia="Arial" w:hAnsi="Arial" w:cs="Times New Roman"/>
              </w:rPr>
            </w:pPr>
            <w:r w:rsidRPr="007A3568">
              <w:rPr>
                <w:rFonts w:ascii="Arial" w:eastAsia="Arial" w:hAnsi="Arial" w:cs="Times New Roman"/>
              </w:rPr>
              <w:t>20 years</w:t>
            </w:r>
          </w:p>
        </w:tc>
        <w:tc>
          <w:tcPr>
            <w:tcW w:w="2500" w:type="pct"/>
            <w:shd w:val="clear" w:color="auto" w:fill="auto"/>
            <w:hideMark/>
          </w:tcPr>
          <w:p w:rsidR="00530B2D" w:rsidRPr="007A3568" w:rsidRDefault="00530B2D" w:rsidP="00F954AA">
            <w:pPr>
              <w:rPr>
                <w:rFonts w:ascii="Arial" w:eastAsia="Arial" w:hAnsi="Arial" w:cs="Times New Roman"/>
              </w:rPr>
            </w:pPr>
            <w:r w:rsidRPr="007A3568">
              <w:rPr>
                <w:rFonts w:ascii="Arial" w:eastAsia="Arial" w:hAnsi="Arial" w:cs="Times New Roman"/>
              </w:rPr>
              <w:t>Consultation with investors and financiers</w:t>
            </w:r>
          </w:p>
        </w:tc>
      </w:tr>
    </w:tbl>
    <w:p w:rsidR="00530B2D" w:rsidRPr="00DD2BC1" w:rsidRDefault="00530B2D" w:rsidP="00DD2BC1">
      <w:pPr>
        <w:rPr>
          <w:b/>
          <w:sz w:val="20"/>
        </w:rPr>
      </w:pPr>
      <w:r w:rsidRPr="00DD2BC1">
        <w:rPr>
          <w:b/>
          <w:sz w:val="20"/>
        </w:rPr>
        <w:t xml:space="preserve">Table 6.2 Rental Contributions from Participant </w:t>
      </w:r>
    </w:p>
    <w:tbl>
      <w:tblPr>
        <w:tblStyle w:val="GridTable4-Accent41"/>
        <w:tblW w:w="5000" w:type="pct"/>
        <w:tblLook w:val="0620" w:firstRow="1" w:lastRow="0" w:firstColumn="0" w:lastColumn="0" w:noHBand="1" w:noVBand="1"/>
        <w:tblDescription w:val="Table 6.2 Rental Contributions from Participant. Rental contributions from participant is a merged cell"/>
      </w:tblPr>
      <w:tblGrid>
        <w:gridCol w:w="2705"/>
        <w:gridCol w:w="299"/>
        <w:gridCol w:w="1504"/>
        <w:gridCol w:w="1500"/>
        <w:gridCol w:w="3008"/>
      </w:tblGrid>
      <w:tr w:rsidR="00F85C0D" w:rsidRPr="00F64913" w:rsidTr="008D74FE">
        <w:trPr>
          <w:cnfStyle w:val="100000000000" w:firstRow="1" w:lastRow="0" w:firstColumn="0" w:lastColumn="0" w:oddVBand="0" w:evenVBand="0" w:oddHBand="0" w:evenHBand="0" w:firstRowFirstColumn="0" w:firstRowLastColumn="0" w:lastRowFirstColumn="0" w:lastRowLastColumn="0"/>
        </w:trPr>
        <w:tc>
          <w:tcPr>
            <w:tcW w:w="1666" w:type="pct"/>
            <w:gridSpan w:val="2"/>
          </w:tcPr>
          <w:p w:rsidR="00F85C0D" w:rsidRPr="008D74FE" w:rsidRDefault="00F85C0D" w:rsidP="00F954AA">
            <w:pPr>
              <w:rPr>
                <w:rFonts w:ascii="Arial" w:eastAsia="Arial" w:hAnsi="Arial" w:cs="Times New Roman"/>
              </w:rPr>
            </w:pPr>
            <w:r w:rsidRPr="008D74FE">
              <w:rPr>
                <w:rFonts w:ascii="Arial" w:eastAsia="Arial" w:hAnsi="Arial" w:cs="Times New Roman"/>
              </w:rPr>
              <w:t>DESCRIPTION</w:t>
            </w:r>
          </w:p>
        </w:tc>
        <w:tc>
          <w:tcPr>
            <w:tcW w:w="1666" w:type="pct"/>
            <w:gridSpan w:val="2"/>
          </w:tcPr>
          <w:p w:rsidR="00F85C0D" w:rsidRPr="008D74FE" w:rsidRDefault="00F85C0D" w:rsidP="00F954AA">
            <w:pPr>
              <w:rPr>
                <w:rFonts w:ascii="Arial" w:eastAsia="Arial" w:hAnsi="Arial" w:cs="Times New Roman"/>
              </w:rPr>
            </w:pPr>
            <w:r w:rsidRPr="008D74FE">
              <w:rPr>
                <w:rFonts w:ascii="Arial" w:eastAsia="Arial" w:hAnsi="Arial" w:cs="Times New Roman"/>
              </w:rPr>
              <w:t>R</w:t>
            </w:r>
            <w:r w:rsidR="008D74FE" w:rsidRPr="008D74FE">
              <w:rPr>
                <w:rFonts w:ascii="Arial" w:eastAsia="Arial" w:hAnsi="Arial" w:cs="Times New Roman"/>
              </w:rPr>
              <w:t>ANGE</w:t>
            </w:r>
          </w:p>
        </w:tc>
        <w:tc>
          <w:tcPr>
            <w:tcW w:w="1668" w:type="pct"/>
          </w:tcPr>
          <w:p w:rsidR="00F85C0D" w:rsidRPr="008D74FE" w:rsidRDefault="00F85C0D" w:rsidP="00F954AA">
            <w:pPr>
              <w:rPr>
                <w:rFonts w:ascii="Arial" w:eastAsia="Arial" w:hAnsi="Arial" w:cs="Times New Roman"/>
              </w:rPr>
            </w:pPr>
            <w:r w:rsidRPr="008D74FE">
              <w:rPr>
                <w:rFonts w:ascii="Arial" w:eastAsia="Arial" w:hAnsi="Arial" w:cs="Times New Roman"/>
              </w:rPr>
              <w:t>SOURCE OR RATIONALE</w:t>
            </w:r>
          </w:p>
        </w:tc>
      </w:tr>
      <w:tr w:rsidR="00687549" w:rsidRPr="00F64913" w:rsidTr="00F954AA">
        <w:tc>
          <w:tcPr>
            <w:tcW w:w="5000" w:type="pct"/>
            <w:gridSpan w:val="5"/>
            <w:shd w:val="clear" w:color="auto" w:fill="auto"/>
          </w:tcPr>
          <w:p w:rsidR="00687549" w:rsidRPr="007B345B" w:rsidRDefault="00687549" w:rsidP="00F954AA">
            <w:pPr>
              <w:rPr>
                <w:rFonts w:ascii="Arial" w:eastAsia="Arial" w:hAnsi="Arial" w:cs="Times New Roman"/>
                <w:b/>
                <w:bCs/>
                <w:lang w:val="en-AU"/>
              </w:rPr>
            </w:pPr>
            <w:r w:rsidRPr="007B345B">
              <w:rPr>
                <w:rFonts w:ascii="Arial" w:eastAsia="Arial" w:hAnsi="Arial" w:cs="Times New Roman"/>
                <w:b/>
                <w:bCs/>
                <w:lang w:val="en-AU"/>
              </w:rPr>
              <w:t>Rental contributions from participant</w:t>
            </w:r>
          </w:p>
        </w:tc>
      </w:tr>
      <w:tr w:rsidR="00907C65" w:rsidRPr="00F64913" w:rsidTr="00F954AA">
        <w:tc>
          <w:tcPr>
            <w:tcW w:w="1500" w:type="pct"/>
            <w:hideMark/>
          </w:tcPr>
          <w:p w:rsidR="00907C65" w:rsidRPr="00F64913" w:rsidRDefault="00907C65" w:rsidP="00F954AA">
            <w:pPr>
              <w:rPr>
                <w:lang w:val="en-AU"/>
              </w:rPr>
            </w:pPr>
            <w:r w:rsidRPr="00F64913">
              <w:rPr>
                <w:lang w:val="en-AU"/>
              </w:rPr>
              <w:t>Annual rental contribution p.p.</w:t>
            </w:r>
          </w:p>
        </w:tc>
        <w:tc>
          <w:tcPr>
            <w:tcW w:w="1000" w:type="pct"/>
            <w:gridSpan w:val="2"/>
            <w:hideMark/>
          </w:tcPr>
          <w:p w:rsidR="00907C65" w:rsidRPr="00F64913" w:rsidRDefault="00907C65" w:rsidP="00F954AA">
            <w:pPr>
              <w:jc w:val="center"/>
              <w:rPr>
                <w:lang w:val="en-AU"/>
              </w:rPr>
            </w:pPr>
            <w:r w:rsidRPr="00F64913">
              <w:rPr>
                <w:lang w:val="en-AU"/>
              </w:rPr>
              <w:t>$8,554</w:t>
            </w:r>
          </w:p>
        </w:tc>
        <w:tc>
          <w:tcPr>
            <w:tcW w:w="2500" w:type="pct"/>
            <w:gridSpan w:val="2"/>
            <w:hideMark/>
          </w:tcPr>
          <w:p w:rsidR="00907C65" w:rsidRPr="00F64913" w:rsidRDefault="00907C65" w:rsidP="00F954AA">
            <w:pPr>
              <w:rPr>
                <w:lang w:val="en-AU"/>
              </w:rPr>
            </w:pPr>
            <w:r w:rsidRPr="00F64913">
              <w:rPr>
                <w:lang w:val="en-AU"/>
              </w:rPr>
              <w:t>25 per cent Disability Support Pension + Commonwealth Rent Assistance (lower without CRA). Defined by framework.</w:t>
            </w:r>
          </w:p>
        </w:tc>
      </w:tr>
      <w:tr w:rsidR="00907C65" w:rsidRPr="00F64913" w:rsidTr="00F954AA">
        <w:tc>
          <w:tcPr>
            <w:tcW w:w="1500" w:type="pct"/>
            <w:hideMark/>
          </w:tcPr>
          <w:p w:rsidR="00907C65" w:rsidRPr="00F64913" w:rsidRDefault="00907C65" w:rsidP="00F954AA">
            <w:pPr>
              <w:rPr>
                <w:lang w:val="en-AU"/>
              </w:rPr>
            </w:pPr>
            <w:r w:rsidRPr="00F64913">
              <w:rPr>
                <w:lang w:val="en-AU"/>
              </w:rPr>
              <w:t>Growth in rental contribution</w:t>
            </w:r>
          </w:p>
        </w:tc>
        <w:tc>
          <w:tcPr>
            <w:tcW w:w="1000" w:type="pct"/>
            <w:gridSpan w:val="2"/>
            <w:hideMark/>
          </w:tcPr>
          <w:p w:rsidR="00907C65" w:rsidRPr="00F64913" w:rsidRDefault="00907C65" w:rsidP="00F954AA">
            <w:pPr>
              <w:jc w:val="center"/>
              <w:rPr>
                <w:lang w:val="en-AU"/>
              </w:rPr>
            </w:pPr>
            <w:r w:rsidRPr="00F64913">
              <w:rPr>
                <w:lang w:val="en-AU"/>
              </w:rPr>
              <w:t>CPI</w:t>
            </w:r>
          </w:p>
        </w:tc>
        <w:tc>
          <w:tcPr>
            <w:tcW w:w="2500" w:type="pct"/>
            <w:gridSpan w:val="2"/>
            <w:hideMark/>
          </w:tcPr>
          <w:p w:rsidR="00907C65" w:rsidRPr="00F64913" w:rsidRDefault="00907C65" w:rsidP="00F954AA">
            <w:pPr>
              <w:rPr>
                <w:lang w:val="en-AU"/>
              </w:rPr>
            </w:pPr>
            <w:r w:rsidRPr="00F64913">
              <w:rPr>
                <w:lang w:val="en-AU"/>
              </w:rPr>
              <w:t>Assumption.</w:t>
            </w:r>
          </w:p>
        </w:tc>
      </w:tr>
      <w:tr w:rsidR="00907C65" w:rsidRPr="00F64913" w:rsidTr="00F954AA">
        <w:tc>
          <w:tcPr>
            <w:tcW w:w="1500" w:type="pct"/>
            <w:hideMark/>
          </w:tcPr>
          <w:p w:rsidR="00907C65" w:rsidRPr="00F64913" w:rsidRDefault="00907C65" w:rsidP="00F954AA">
            <w:pPr>
              <w:rPr>
                <w:lang w:val="en-AU"/>
              </w:rPr>
            </w:pPr>
            <w:r w:rsidRPr="00F64913">
              <w:rPr>
                <w:lang w:val="en-AU"/>
              </w:rPr>
              <w:t>Vacancy rates – group homes</w:t>
            </w:r>
          </w:p>
        </w:tc>
        <w:tc>
          <w:tcPr>
            <w:tcW w:w="1000" w:type="pct"/>
            <w:gridSpan w:val="2"/>
            <w:hideMark/>
          </w:tcPr>
          <w:p w:rsidR="00907C65" w:rsidRPr="00F64913" w:rsidRDefault="00907C65" w:rsidP="00F954AA">
            <w:pPr>
              <w:jc w:val="center"/>
              <w:rPr>
                <w:lang w:val="en-AU"/>
              </w:rPr>
            </w:pPr>
            <w:r w:rsidRPr="00F64913">
              <w:rPr>
                <w:lang w:val="en-AU"/>
              </w:rPr>
              <w:t>3%-10%</w:t>
            </w:r>
          </w:p>
        </w:tc>
        <w:tc>
          <w:tcPr>
            <w:tcW w:w="2500" w:type="pct"/>
            <w:gridSpan w:val="2"/>
            <w:hideMark/>
          </w:tcPr>
          <w:p w:rsidR="00907C65" w:rsidRPr="00F64913" w:rsidRDefault="00907C65" w:rsidP="00F954AA">
            <w:pPr>
              <w:rPr>
                <w:lang w:val="en-AU"/>
              </w:rPr>
            </w:pPr>
            <w:r w:rsidRPr="00F64913">
              <w:rPr>
                <w:lang w:val="en-AU"/>
              </w:rPr>
              <w:t>Historic data indicates 3-7 per cent. Assume higher in group homes when choice available.</w:t>
            </w:r>
          </w:p>
        </w:tc>
      </w:tr>
      <w:tr w:rsidR="00907C65" w:rsidRPr="00F64913" w:rsidTr="00F954AA">
        <w:tc>
          <w:tcPr>
            <w:tcW w:w="1500" w:type="pct"/>
            <w:hideMark/>
          </w:tcPr>
          <w:p w:rsidR="00907C65" w:rsidRPr="00F64913" w:rsidRDefault="00907C65" w:rsidP="00F954AA">
            <w:pPr>
              <w:rPr>
                <w:lang w:val="en-AU"/>
              </w:rPr>
            </w:pPr>
            <w:r w:rsidRPr="00F64913">
              <w:rPr>
                <w:lang w:val="en-AU"/>
              </w:rPr>
              <w:t>Vacancy rates – smaller forms</w:t>
            </w:r>
          </w:p>
        </w:tc>
        <w:tc>
          <w:tcPr>
            <w:tcW w:w="1000" w:type="pct"/>
            <w:gridSpan w:val="2"/>
            <w:hideMark/>
          </w:tcPr>
          <w:p w:rsidR="00907C65" w:rsidRPr="00F64913" w:rsidRDefault="00907C65" w:rsidP="00F954AA">
            <w:pPr>
              <w:jc w:val="center"/>
              <w:rPr>
                <w:lang w:val="en-AU"/>
              </w:rPr>
            </w:pPr>
            <w:r w:rsidRPr="00F64913">
              <w:rPr>
                <w:lang w:val="en-AU"/>
              </w:rPr>
              <w:t>3-7%</w:t>
            </w:r>
          </w:p>
        </w:tc>
        <w:tc>
          <w:tcPr>
            <w:tcW w:w="2500" w:type="pct"/>
            <w:gridSpan w:val="2"/>
            <w:hideMark/>
          </w:tcPr>
          <w:p w:rsidR="00907C65" w:rsidRPr="00F64913" w:rsidRDefault="00907C65" w:rsidP="00F954AA">
            <w:pPr>
              <w:rPr>
                <w:lang w:val="en-AU"/>
              </w:rPr>
            </w:pPr>
            <w:r w:rsidRPr="00F64913">
              <w:rPr>
                <w:lang w:val="en-AU"/>
              </w:rPr>
              <w:t xml:space="preserve">Public housing vacancy rates around 3 per cent. Assume slightly higher when the dwelling is not a single occupancy. </w:t>
            </w:r>
          </w:p>
        </w:tc>
      </w:tr>
    </w:tbl>
    <w:p w:rsidR="00907C65" w:rsidRPr="00DD2BC1" w:rsidRDefault="00530B2D" w:rsidP="00907C65">
      <w:pPr>
        <w:rPr>
          <w:b/>
          <w:sz w:val="20"/>
          <w:szCs w:val="20"/>
        </w:rPr>
      </w:pPr>
      <w:r w:rsidRPr="00DD2BC1">
        <w:rPr>
          <w:b/>
          <w:sz w:val="20"/>
          <w:szCs w:val="20"/>
        </w:rPr>
        <w:t>Table 6.3 General Market Information</w:t>
      </w:r>
    </w:p>
    <w:tbl>
      <w:tblPr>
        <w:tblStyle w:val="GridTable4-Accent41"/>
        <w:tblW w:w="5000" w:type="pct"/>
        <w:tblLook w:val="0620" w:firstRow="1" w:lastRow="0" w:firstColumn="0" w:lastColumn="0" w:noHBand="1" w:noVBand="1"/>
        <w:tblDescription w:val="Table 6.3 General Market Information. General market information is a merged cell."/>
      </w:tblPr>
      <w:tblGrid>
        <w:gridCol w:w="2705"/>
        <w:gridCol w:w="1803"/>
        <w:gridCol w:w="4508"/>
      </w:tblGrid>
      <w:tr w:rsidR="00907C65" w:rsidRPr="007A3568" w:rsidTr="00F954AA">
        <w:trPr>
          <w:cnfStyle w:val="100000000000" w:firstRow="1" w:lastRow="0" w:firstColumn="0" w:lastColumn="0" w:oddVBand="0" w:evenVBand="0" w:oddHBand="0" w:evenHBand="0" w:firstRowFirstColumn="0" w:firstRowLastColumn="0" w:lastRowFirstColumn="0" w:lastRowLastColumn="0"/>
          <w:tblHeader/>
        </w:trPr>
        <w:tc>
          <w:tcPr>
            <w:tcW w:w="1500" w:type="pct"/>
            <w:hideMark/>
          </w:tcPr>
          <w:p w:rsidR="00907C65" w:rsidRPr="007A3568" w:rsidRDefault="00907C65" w:rsidP="00F954AA">
            <w:pPr>
              <w:rPr>
                <w:rFonts w:ascii="Arial" w:eastAsia="Arial" w:hAnsi="Arial" w:cs="Times New Roman"/>
              </w:rPr>
            </w:pPr>
            <w:r w:rsidRPr="007A3568">
              <w:rPr>
                <w:rFonts w:ascii="Arial" w:eastAsia="Arial" w:hAnsi="Arial" w:cs="Times New Roman"/>
              </w:rPr>
              <w:t>DESCRIPTION</w:t>
            </w:r>
          </w:p>
        </w:tc>
        <w:tc>
          <w:tcPr>
            <w:tcW w:w="1000" w:type="pct"/>
            <w:hideMark/>
          </w:tcPr>
          <w:p w:rsidR="00907C65" w:rsidRPr="007A3568" w:rsidRDefault="00907C65" w:rsidP="00F954AA">
            <w:pPr>
              <w:jc w:val="center"/>
              <w:rPr>
                <w:rFonts w:ascii="Arial" w:eastAsia="Arial" w:hAnsi="Arial" w:cs="Times New Roman"/>
              </w:rPr>
            </w:pPr>
            <w:r w:rsidRPr="007A3568">
              <w:rPr>
                <w:rFonts w:ascii="Arial" w:eastAsia="Arial" w:hAnsi="Arial" w:cs="Times New Roman"/>
              </w:rPr>
              <w:t>RANGE</w:t>
            </w:r>
          </w:p>
        </w:tc>
        <w:tc>
          <w:tcPr>
            <w:tcW w:w="2500" w:type="pct"/>
            <w:hideMark/>
          </w:tcPr>
          <w:p w:rsidR="00907C65" w:rsidRPr="007A3568" w:rsidRDefault="00907C65" w:rsidP="00F954AA">
            <w:pPr>
              <w:rPr>
                <w:rFonts w:ascii="Arial" w:eastAsia="Arial" w:hAnsi="Arial" w:cs="Times New Roman"/>
              </w:rPr>
            </w:pPr>
            <w:r w:rsidRPr="007A3568">
              <w:rPr>
                <w:rFonts w:ascii="Arial" w:eastAsia="Arial" w:hAnsi="Arial" w:cs="Times New Roman"/>
              </w:rPr>
              <w:t>SOURCE OR RATIONALE</w:t>
            </w:r>
          </w:p>
        </w:tc>
      </w:tr>
      <w:tr w:rsidR="00907C65" w:rsidRPr="007A3568" w:rsidTr="00F954AA">
        <w:tc>
          <w:tcPr>
            <w:tcW w:w="5000" w:type="pct"/>
            <w:gridSpan w:val="3"/>
            <w:hideMark/>
          </w:tcPr>
          <w:p w:rsidR="00907C65" w:rsidRPr="007A3568" w:rsidRDefault="00907C65" w:rsidP="00F954AA">
            <w:pPr>
              <w:rPr>
                <w:b/>
                <w:lang w:val="en-AU"/>
              </w:rPr>
            </w:pPr>
            <w:r w:rsidRPr="007A3568">
              <w:rPr>
                <w:rFonts w:ascii="Arial" w:eastAsia="Arial" w:hAnsi="Arial" w:cs="Times New Roman"/>
                <w:b/>
                <w:lang w:val="en-AU"/>
              </w:rPr>
              <w:t>General market information</w:t>
            </w:r>
          </w:p>
        </w:tc>
      </w:tr>
      <w:tr w:rsidR="00907C65" w:rsidRPr="007A3568" w:rsidTr="00F954AA">
        <w:tc>
          <w:tcPr>
            <w:tcW w:w="1500" w:type="pct"/>
            <w:hideMark/>
          </w:tcPr>
          <w:p w:rsidR="00907C65" w:rsidRPr="007A3568" w:rsidRDefault="00907C65" w:rsidP="00F954AA">
            <w:pPr>
              <w:rPr>
                <w:lang w:val="en-AU"/>
              </w:rPr>
            </w:pPr>
            <w:r w:rsidRPr="007A3568">
              <w:rPr>
                <w:lang w:val="en-AU"/>
              </w:rPr>
              <w:t>Median land values</w:t>
            </w:r>
          </w:p>
        </w:tc>
        <w:tc>
          <w:tcPr>
            <w:tcW w:w="1000" w:type="pct"/>
            <w:hideMark/>
          </w:tcPr>
          <w:p w:rsidR="00907C65" w:rsidRPr="007A3568" w:rsidRDefault="00907C65" w:rsidP="00F954AA">
            <w:pPr>
              <w:jc w:val="center"/>
              <w:rPr>
                <w:lang w:val="en-AU"/>
              </w:rPr>
            </w:pPr>
            <w:r w:rsidRPr="007A3568">
              <w:rPr>
                <w:lang w:val="en-AU"/>
              </w:rPr>
              <w:t>Varies by area</w:t>
            </w:r>
          </w:p>
          <w:p w:rsidR="00907C65" w:rsidRPr="007A3568" w:rsidRDefault="00907C65" w:rsidP="00F954AA">
            <w:pPr>
              <w:jc w:val="center"/>
              <w:rPr>
                <w:lang w:val="en-AU"/>
              </w:rPr>
            </w:pPr>
            <w:r w:rsidRPr="007A3568">
              <w:rPr>
                <w:lang w:val="en-AU"/>
              </w:rPr>
              <w:t>Base $552/sqm</w:t>
            </w:r>
          </w:p>
        </w:tc>
        <w:tc>
          <w:tcPr>
            <w:tcW w:w="2500" w:type="pct"/>
            <w:hideMark/>
          </w:tcPr>
          <w:p w:rsidR="00907C65" w:rsidRPr="007A3568" w:rsidRDefault="00907C65" w:rsidP="00F954AA">
            <w:pPr>
              <w:rPr>
                <w:lang w:val="en-AU"/>
              </w:rPr>
            </w:pPr>
            <w:r w:rsidRPr="007A3568">
              <w:rPr>
                <w:lang w:val="en-AU"/>
              </w:rPr>
              <w:t xml:space="preserve">State land agencies, aggregated to ABS statistical division. </w:t>
            </w:r>
          </w:p>
          <w:p w:rsidR="00907C65" w:rsidRPr="007A3568" w:rsidRDefault="00907C65" w:rsidP="00F954AA">
            <w:pPr>
              <w:rPr>
                <w:lang w:val="en-AU"/>
              </w:rPr>
            </w:pPr>
            <w:r w:rsidRPr="007A3568">
              <w:rPr>
                <w:lang w:val="en-AU"/>
              </w:rPr>
              <w:t>Base = median price combined capital cities.</w:t>
            </w:r>
          </w:p>
        </w:tc>
      </w:tr>
      <w:tr w:rsidR="00907C65" w:rsidRPr="007A3568" w:rsidTr="00F954AA">
        <w:tc>
          <w:tcPr>
            <w:tcW w:w="1500" w:type="pct"/>
            <w:hideMark/>
          </w:tcPr>
          <w:p w:rsidR="00907C65" w:rsidRPr="007A3568" w:rsidRDefault="00907C65" w:rsidP="00F954AA">
            <w:pPr>
              <w:rPr>
                <w:lang w:val="en-AU"/>
              </w:rPr>
            </w:pPr>
            <w:r w:rsidRPr="007A3568">
              <w:rPr>
                <w:lang w:val="en-AU"/>
              </w:rPr>
              <w:t>Long term land appreciation</w:t>
            </w:r>
          </w:p>
        </w:tc>
        <w:tc>
          <w:tcPr>
            <w:tcW w:w="1000" w:type="pct"/>
            <w:hideMark/>
          </w:tcPr>
          <w:p w:rsidR="00907C65" w:rsidRPr="007A3568" w:rsidRDefault="00907C65" w:rsidP="00F954AA">
            <w:pPr>
              <w:jc w:val="center"/>
              <w:rPr>
                <w:lang w:val="en-AU"/>
              </w:rPr>
            </w:pPr>
            <w:r w:rsidRPr="007A3568">
              <w:rPr>
                <w:lang w:val="en-AU"/>
              </w:rPr>
              <w:t>5% p.a.</w:t>
            </w:r>
          </w:p>
        </w:tc>
        <w:tc>
          <w:tcPr>
            <w:tcW w:w="2500" w:type="pct"/>
            <w:hideMark/>
          </w:tcPr>
          <w:p w:rsidR="00907C65" w:rsidRPr="007A3568" w:rsidRDefault="00907C65" w:rsidP="00F954AA">
            <w:pPr>
              <w:rPr>
                <w:lang w:val="en-AU"/>
              </w:rPr>
            </w:pPr>
            <w:r w:rsidRPr="007A3568">
              <w:rPr>
                <w:lang w:val="en-AU"/>
              </w:rPr>
              <w:t>Literature and State data indicates long term averages from 5-10 per cent or more. Assume low end due to high current property values.</w:t>
            </w:r>
          </w:p>
        </w:tc>
      </w:tr>
      <w:tr w:rsidR="00907C65" w:rsidRPr="007A3568" w:rsidTr="00F954AA">
        <w:tc>
          <w:tcPr>
            <w:tcW w:w="1500" w:type="pct"/>
            <w:hideMark/>
          </w:tcPr>
          <w:p w:rsidR="00907C65" w:rsidRPr="007A3568" w:rsidRDefault="00907C65" w:rsidP="00F954AA">
            <w:pPr>
              <w:rPr>
                <w:lang w:val="en-AU"/>
              </w:rPr>
            </w:pPr>
            <w:r w:rsidRPr="007A3568">
              <w:rPr>
                <w:lang w:val="en-AU"/>
              </w:rPr>
              <w:t>Increase in building costs</w:t>
            </w:r>
          </w:p>
        </w:tc>
        <w:tc>
          <w:tcPr>
            <w:tcW w:w="1000" w:type="pct"/>
            <w:hideMark/>
          </w:tcPr>
          <w:p w:rsidR="00907C65" w:rsidRPr="007A3568" w:rsidRDefault="00907C65" w:rsidP="00F954AA">
            <w:pPr>
              <w:jc w:val="center"/>
              <w:rPr>
                <w:lang w:val="en-AU"/>
              </w:rPr>
            </w:pPr>
            <w:r w:rsidRPr="007A3568">
              <w:rPr>
                <w:lang w:val="en-AU"/>
              </w:rPr>
              <w:t>CPI</w:t>
            </w:r>
          </w:p>
        </w:tc>
        <w:tc>
          <w:tcPr>
            <w:tcW w:w="2500" w:type="pct"/>
            <w:hideMark/>
          </w:tcPr>
          <w:p w:rsidR="00907C65" w:rsidRPr="007A3568" w:rsidRDefault="00907C65" w:rsidP="00F954AA">
            <w:pPr>
              <w:rPr>
                <w:lang w:val="en-AU"/>
              </w:rPr>
            </w:pPr>
            <w:r w:rsidRPr="007A3568">
              <w:rPr>
                <w:lang w:val="en-AU"/>
              </w:rPr>
              <w:t xml:space="preserve">ABS housing cost index similar to CPI over long term. </w:t>
            </w:r>
          </w:p>
        </w:tc>
      </w:tr>
      <w:tr w:rsidR="00907C65" w:rsidRPr="00F64913" w:rsidTr="00F954AA">
        <w:tc>
          <w:tcPr>
            <w:tcW w:w="1500" w:type="pct"/>
            <w:hideMark/>
          </w:tcPr>
          <w:p w:rsidR="00907C65" w:rsidRPr="007A3568" w:rsidRDefault="00907C65" w:rsidP="00F954AA">
            <w:pPr>
              <w:rPr>
                <w:lang w:val="en-AU"/>
              </w:rPr>
            </w:pPr>
            <w:r w:rsidRPr="007A3568">
              <w:rPr>
                <w:lang w:val="en-AU"/>
              </w:rPr>
              <w:t xml:space="preserve">Gross market yield for existing stock </w:t>
            </w:r>
          </w:p>
        </w:tc>
        <w:tc>
          <w:tcPr>
            <w:tcW w:w="1000" w:type="pct"/>
            <w:hideMark/>
          </w:tcPr>
          <w:p w:rsidR="00907C65" w:rsidRPr="007A3568" w:rsidRDefault="00907C65" w:rsidP="00F954AA">
            <w:pPr>
              <w:jc w:val="center"/>
              <w:rPr>
                <w:lang w:val="en-AU"/>
              </w:rPr>
            </w:pPr>
            <w:r w:rsidRPr="007A3568">
              <w:rPr>
                <w:lang w:val="en-AU"/>
              </w:rPr>
              <w:t>5.5% - 6.5%</w:t>
            </w:r>
          </w:p>
        </w:tc>
        <w:tc>
          <w:tcPr>
            <w:tcW w:w="2500" w:type="pct"/>
            <w:hideMark/>
          </w:tcPr>
          <w:p w:rsidR="00907C65" w:rsidRPr="00F64913" w:rsidRDefault="00907C65" w:rsidP="00F954AA">
            <w:pPr>
              <w:rPr>
                <w:lang w:val="en-AU"/>
              </w:rPr>
            </w:pPr>
            <w:r w:rsidRPr="007A3568">
              <w:rPr>
                <w:lang w:val="en-AU"/>
              </w:rPr>
              <w:t>Proportion of total property value. Based on RBA estimate of standard yield (4.2 per cent) plus 1-1.5 per cent additional cost for SDA based on review of State data. +1 per cent for apartments.</w:t>
            </w:r>
            <w:r w:rsidRPr="00F64913">
              <w:rPr>
                <w:lang w:val="en-AU"/>
              </w:rPr>
              <w:t xml:space="preserve"> </w:t>
            </w:r>
          </w:p>
        </w:tc>
      </w:tr>
    </w:tbl>
    <w:p w:rsidR="00907C65" w:rsidRPr="00530B2D" w:rsidRDefault="00530B2D" w:rsidP="00907C65">
      <w:pPr>
        <w:rPr>
          <w:b/>
          <w:sz w:val="20"/>
        </w:rPr>
      </w:pPr>
      <w:r w:rsidRPr="00530B2D">
        <w:rPr>
          <w:b/>
          <w:sz w:val="20"/>
        </w:rPr>
        <w:t>Table 6.4 Cost of Ownership</w:t>
      </w:r>
    </w:p>
    <w:tbl>
      <w:tblPr>
        <w:tblStyle w:val="GridTable4-Accent41"/>
        <w:tblW w:w="5000" w:type="pct"/>
        <w:tblLook w:val="0620" w:firstRow="1" w:lastRow="0" w:firstColumn="0" w:lastColumn="0" w:noHBand="1" w:noVBand="1"/>
        <w:tblDescription w:val="Table 6.4 Cost of ownership. Cost of ownership is a merged cell"/>
      </w:tblPr>
      <w:tblGrid>
        <w:gridCol w:w="2705"/>
        <w:gridCol w:w="1803"/>
        <w:gridCol w:w="4508"/>
      </w:tblGrid>
      <w:tr w:rsidR="00907C65" w:rsidRPr="007A3568" w:rsidTr="00F954AA">
        <w:trPr>
          <w:cnfStyle w:val="100000000000" w:firstRow="1" w:lastRow="0" w:firstColumn="0" w:lastColumn="0" w:oddVBand="0" w:evenVBand="0" w:oddHBand="0" w:evenHBand="0" w:firstRowFirstColumn="0" w:firstRowLastColumn="0" w:lastRowFirstColumn="0" w:lastRowLastColumn="0"/>
          <w:tblHeader/>
        </w:trPr>
        <w:tc>
          <w:tcPr>
            <w:tcW w:w="1500" w:type="pct"/>
            <w:hideMark/>
          </w:tcPr>
          <w:p w:rsidR="00907C65" w:rsidRPr="007A3568" w:rsidRDefault="00907C65" w:rsidP="00F954AA">
            <w:pPr>
              <w:rPr>
                <w:rFonts w:ascii="Arial" w:eastAsia="Arial" w:hAnsi="Arial" w:cs="Times New Roman"/>
                <w:bCs w:val="0"/>
                <w:color w:val="auto"/>
              </w:rPr>
            </w:pPr>
            <w:r w:rsidRPr="007A3568">
              <w:rPr>
                <w:rFonts w:ascii="Arial" w:eastAsia="Arial" w:hAnsi="Arial" w:cs="Times New Roman"/>
                <w:bCs w:val="0"/>
                <w:color w:val="FFFFFF" w:themeColor="background1"/>
              </w:rPr>
              <w:t>DESCRIPTION</w:t>
            </w:r>
          </w:p>
        </w:tc>
        <w:tc>
          <w:tcPr>
            <w:tcW w:w="1000" w:type="pct"/>
            <w:hideMark/>
          </w:tcPr>
          <w:p w:rsidR="00907C65" w:rsidRPr="007A3568" w:rsidRDefault="00907C65" w:rsidP="00F954AA">
            <w:pPr>
              <w:jc w:val="center"/>
              <w:rPr>
                <w:rFonts w:ascii="Arial" w:eastAsia="Arial" w:hAnsi="Arial" w:cs="Times New Roman"/>
              </w:rPr>
            </w:pPr>
            <w:r w:rsidRPr="007A3568">
              <w:rPr>
                <w:rFonts w:ascii="Arial" w:eastAsia="Arial" w:hAnsi="Arial" w:cs="Times New Roman"/>
              </w:rPr>
              <w:t>RANGE</w:t>
            </w:r>
          </w:p>
        </w:tc>
        <w:tc>
          <w:tcPr>
            <w:tcW w:w="2500" w:type="pct"/>
            <w:hideMark/>
          </w:tcPr>
          <w:p w:rsidR="00907C65" w:rsidRPr="007A3568" w:rsidRDefault="00907C65" w:rsidP="00F954AA">
            <w:pPr>
              <w:rPr>
                <w:rFonts w:ascii="Arial" w:eastAsia="Arial" w:hAnsi="Arial" w:cs="Times New Roman"/>
              </w:rPr>
            </w:pPr>
            <w:r w:rsidRPr="007A3568">
              <w:rPr>
                <w:rFonts w:ascii="Arial" w:eastAsia="Arial" w:hAnsi="Arial" w:cs="Times New Roman"/>
              </w:rPr>
              <w:t>SOURCE OR RATIONALE</w:t>
            </w:r>
          </w:p>
        </w:tc>
      </w:tr>
      <w:tr w:rsidR="00907C65" w:rsidRPr="00F64913" w:rsidTr="00F954AA">
        <w:tc>
          <w:tcPr>
            <w:tcW w:w="5000" w:type="pct"/>
            <w:gridSpan w:val="3"/>
            <w:hideMark/>
          </w:tcPr>
          <w:p w:rsidR="00907C65" w:rsidRPr="007A3568" w:rsidRDefault="00907C65" w:rsidP="00F954AA">
            <w:pPr>
              <w:keepNext/>
              <w:rPr>
                <w:rFonts w:ascii="Arial" w:eastAsia="Arial" w:hAnsi="Arial" w:cs="Times New Roman"/>
                <w:b/>
                <w:lang w:val="en-AU"/>
              </w:rPr>
            </w:pPr>
            <w:r w:rsidRPr="007A3568">
              <w:rPr>
                <w:rFonts w:ascii="Arial" w:eastAsia="Arial" w:hAnsi="Arial" w:cs="Times New Roman"/>
                <w:b/>
                <w:lang w:val="en-AU"/>
              </w:rPr>
              <w:t>Cost of ownership</w:t>
            </w:r>
          </w:p>
        </w:tc>
      </w:tr>
      <w:tr w:rsidR="00907C65" w:rsidRPr="00F64913" w:rsidTr="00F954AA">
        <w:tc>
          <w:tcPr>
            <w:tcW w:w="1500" w:type="pct"/>
            <w:hideMark/>
          </w:tcPr>
          <w:p w:rsidR="00907C65" w:rsidRPr="00F64913" w:rsidRDefault="00907C65" w:rsidP="00F954AA">
            <w:pPr>
              <w:rPr>
                <w:lang w:val="en-AU"/>
              </w:rPr>
            </w:pPr>
            <w:r w:rsidRPr="00F64913">
              <w:rPr>
                <w:lang w:val="en-AU"/>
              </w:rPr>
              <w:t>Maintenance and outgoings</w:t>
            </w:r>
          </w:p>
        </w:tc>
        <w:tc>
          <w:tcPr>
            <w:tcW w:w="1000" w:type="pct"/>
            <w:hideMark/>
          </w:tcPr>
          <w:p w:rsidR="00907C65" w:rsidRPr="00F64913" w:rsidRDefault="00907C65" w:rsidP="00F954AA">
            <w:pPr>
              <w:jc w:val="center"/>
              <w:rPr>
                <w:lang w:val="en-AU"/>
              </w:rPr>
            </w:pPr>
            <w:r w:rsidRPr="00F64913">
              <w:rPr>
                <w:lang w:val="en-AU"/>
              </w:rPr>
              <w:t>$15,000-$34,000</w:t>
            </w:r>
          </w:p>
        </w:tc>
        <w:tc>
          <w:tcPr>
            <w:tcW w:w="2500" w:type="pct"/>
            <w:hideMark/>
          </w:tcPr>
          <w:p w:rsidR="00907C65" w:rsidRPr="00F64913" w:rsidRDefault="00907C65" w:rsidP="00F954AA">
            <w:pPr>
              <w:rPr>
                <w:lang w:val="en-AU"/>
              </w:rPr>
            </w:pPr>
            <w:r w:rsidRPr="00F64913">
              <w:rPr>
                <w:lang w:val="en-AU"/>
              </w:rPr>
              <w:t>Depends on property type. Based on review of State data. Significantly higher than general (non-SDA) industry benchmarks.</w:t>
            </w:r>
          </w:p>
        </w:tc>
      </w:tr>
      <w:tr w:rsidR="00907C65" w:rsidRPr="00F64913" w:rsidTr="00F954AA">
        <w:tc>
          <w:tcPr>
            <w:tcW w:w="1500" w:type="pct"/>
            <w:hideMark/>
          </w:tcPr>
          <w:p w:rsidR="00907C65" w:rsidRPr="00F64913" w:rsidRDefault="00907C65" w:rsidP="00F954AA">
            <w:pPr>
              <w:rPr>
                <w:lang w:val="en-AU"/>
              </w:rPr>
            </w:pPr>
            <w:r w:rsidRPr="00F64913">
              <w:rPr>
                <w:lang w:val="en-AU"/>
              </w:rPr>
              <w:t>Property management</w:t>
            </w:r>
          </w:p>
        </w:tc>
        <w:tc>
          <w:tcPr>
            <w:tcW w:w="1000" w:type="pct"/>
            <w:hideMark/>
          </w:tcPr>
          <w:p w:rsidR="00907C65" w:rsidRPr="00F64913" w:rsidRDefault="00907C65" w:rsidP="00F954AA">
            <w:pPr>
              <w:jc w:val="center"/>
              <w:rPr>
                <w:lang w:val="en-AU"/>
              </w:rPr>
            </w:pPr>
            <w:r w:rsidRPr="00F64913">
              <w:rPr>
                <w:lang w:val="en-AU"/>
              </w:rPr>
              <w:t>0.4%</w:t>
            </w:r>
          </w:p>
        </w:tc>
        <w:tc>
          <w:tcPr>
            <w:tcW w:w="2500" w:type="pct"/>
            <w:hideMark/>
          </w:tcPr>
          <w:p w:rsidR="00907C65" w:rsidRPr="00F64913" w:rsidRDefault="00907C65" w:rsidP="00F954AA">
            <w:pPr>
              <w:rPr>
                <w:lang w:val="en-AU"/>
              </w:rPr>
            </w:pPr>
            <w:r w:rsidRPr="00F64913">
              <w:rPr>
                <w:lang w:val="en-AU"/>
              </w:rPr>
              <w:t>Proportion of total property value. From RBA analysis. Equivalent to industry benchmarks of 8-10 per cent of rental value.</w:t>
            </w:r>
          </w:p>
        </w:tc>
      </w:tr>
      <w:tr w:rsidR="00907C65" w:rsidRPr="00F64913" w:rsidTr="00F954AA">
        <w:tc>
          <w:tcPr>
            <w:tcW w:w="1500" w:type="pct"/>
            <w:hideMark/>
          </w:tcPr>
          <w:p w:rsidR="00907C65" w:rsidRPr="00F64913" w:rsidRDefault="00907C65" w:rsidP="00F954AA">
            <w:pPr>
              <w:rPr>
                <w:lang w:val="en-AU"/>
              </w:rPr>
            </w:pPr>
            <w:r w:rsidRPr="00F64913">
              <w:rPr>
                <w:lang w:val="en-AU"/>
              </w:rPr>
              <w:t>Vacancy management</w:t>
            </w:r>
          </w:p>
        </w:tc>
        <w:tc>
          <w:tcPr>
            <w:tcW w:w="1000" w:type="pct"/>
            <w:hideMark/>
          </w:tcPr>
          <w:p w:rsidR="00907C65" w:rsidRPr="00F64913" w:rsidRDefault="00907C65" w:rsidP="00F954AA">
            <w:pPr>
              <w:jc w:val="center"/>
              <w:rPr>
                <w:lang w:val="en-AU"/>
              </w:rPr>
            </w:pPr>
            <w:r w:rsidRPr="00F64913">
              <w:rPr>
                <w:lang w:val="en-AU"/>
              </w:rPr>
              <w:t>$4,000</w:t>
            </w:r>
          </w:p>
        </w:tc>
        <w:tc>
          <w:tcPr>
            <w:tcW w:w="2500" w:type="pct"/>
            <w:hideMark/>
          </w:tcPr>
          <w:p w:rsidR="00907C65" w:rsidRPr="00F64913" w:rsidRDefault="00907C65" w:rsidP="00F954AA">
            <w:pPr>
              <w:rPr>
                <w:lang w:val="en-AU"/>
              </w:rPr>
            </w:pPr>
            <w:r w:rsidRPr="00F64913">
              <w:rPr>
                <w:lang w:val="en-AU"/>
              </w:rPr>
              <w:t>Per vacancy. Equivalent to one FTE plus overheads for one month.</w:t>
            </w:r>
          </w:p>
        </w:tc>
      </w:tr>
    </w:tbl>
    <w:p w:rsidR="00907C65" w:rsidRPr="00530B2D" w:rsidRDefault="00530B2D" w:rsidP="00907C65">
      <w:pPr>
        <w:rPr>
          <w:b/>
          <w:sz w:val="20"/>
        </w:rPr>
      </w:pPr>
      <w:r w:rsidRPr="00530B2D">
        <w:rPr>
          <w:b/>
          <w:sz w:val="20"/>
        </w:rPr>
        <w:t>Table 6.5 Property Costs</w:t>
      </w:r>
    </w:p>
    <w:tbl>
      <w:tblPr>
        <w:tblStyle w:val="GridTable4-Accent41"/>
        <w:tblW w:w="5000" w:type="pct"/>
        <w:tblLook w:val="0620" w:firstRow="1" w:lastRow="0" w:firstColumn="0" w:lastColumn="0" w:noHBand="1" w:noVBand="1"/>
        <w:tblDescription w:val="Table 6.5 Property costs. Property costs is a merged cell"/>
      </w:tblPr>
      <w:tblGrid>
        <w:gridCol w:w="2705"/>
        <w:gridCol w:w="1803"/>
        <w:gridCol w:w="4508"/>
      </w:tblGrid>
      <w:tr w:rsidR="00907C65" w:rsidRPr="007A3568" w:rsidTr="00F954AA">
        <w:trPr>
          <w:cnfStyle w:val="100000000000" w:firstRow="1" w:lastRow="0" w:firstColumn="0" w:lastColumn="0" w:oddVBand="0" w:evenVBand="0" w:oddHBand="0" w:evenHBand="0" w:firstRowFirstColumn="0" w:firstRowLastColumn="0" w:lastRowFirstColumn="0" w:lastRowLastColumn="0"/>
          <w:tblHeader/>
        </w:trPr>
        <w:tc>
          <w:tcPr>
            <w:tcW w:w="1500" w:type="pct"/>
            <w:hideMark/>
          </w:tcPr>
          <w:p w:rsidR="00907C65" w:rsidRPr="007A3568" w:rsidRDefault="00907C65" w:rsidP="00F954AA">
            <w:pPr>
              <w:rPr>
                <w:rFonts w:ascii="Arial" w:eastAsia="Arial" w:hAnsi="Arial" w:cs="Times New Roman"/>
                <w:bCs w:val="0"/>
                <w:color w:val="auto"/>
              </w:rPr>
            </w:pPr>
            <w:r w:rsidRPr="007A3568">
              <w:rPr>
                <w:rFonts w:ascii="Arial" w:eastAsia="Arial" w:hAnsi="Arial" w:cs="Times New Roman"/>
                <w:bCs w:val="0"/>
                <w:color w:val="FFFFFF" w:themeColor="background1"/>
              </w:rPr>
              <w:t>DESCRIPTION</w:t>
            </w:r>
          </w:p>
        </w:tc>
        <w:tc>
          <w:tcPr>
            <w:tcW w:w="1000" w:type="pct"/>
            <w:hideMark/>
          </w:tcPr>
          <w:p w:rsidR="00907C65" w:rsidRPr="007A3568" w:rsidRDefault="00907C65" w:rsidP="00F954AA">
            <w:pPr>
              <w:jc w:val="center"/>
              <w:rPr>
                <w:rFonts w:ascii="Arial" w:eastAsia="Arial" w:hAnsi="Arial" w:cs="Times New Roman"/>
              </w:rPr>
            </w:pPr>
            <w:r w:rsidRPr="007A3568">
              <w:rPr>
                <w:rFonts w:ascii="Arial" w:eastAsia="Arial" w:hAnsi="Arial" w:cs="Times New Roman"/>
              </w:rPr>
              <w:t>RANGE</w:t>
            </w:r>
          </w:p>
        </w:tc>
        <w:tc>
          <w:tcPr>
            <w:tcW w:w="2500" w:type="pct"/>
            <w:hideMark/>
          </w:tcPr>
          <w:p w:rsidR="00907C65" w:rsidRPr="007A3568" w:rsidRDefault="00907C65" w:rsidP="00F954AA">
            <w:pPr>
              <w:rPr>
                <w:rFonts w:ascii="Arial" w:eastAsia="Arial" w:hAnsi="Arial" w:cs="Times New Roman"/>
              </w:rPr>
            </w:pPr>
            <w:r w:rsidRPr="007A3568">
              <w:rPr>
                <w:rFonts w:ascii="Arial" w:eastAsia="Arial" w:hAnsi="Arial" w:cs="Times New Roman"/>
              </w:rPr>
              <w:t>SOURCE OR RATIONALE</w:t>
            </w:r>
          </w:p>
        </w:tc>
      </w:tr>
      <w:tr w:rsidR="00907C65" w:rsidRPr="00F64913" w:rsidTr="00F954AA">
        <w:tc>
          <w:tcPr>
            <w:tcW w:w="1500" w:type="pct"/>
            <w:hideMark/>
          </w:tcPr>
          <w:p w:rsidR="00907C65" w:rsidRPr="00F64913" w:rsidRDefault="00907C65" w:rsidP="00F954AA">
            <w:pPr>
              <w:keepNext/>
              <w:rPr>
                <w:b/>
                <w:lang w:val="en-AU"/>
              </w:rPr>
            </w:pPr>
            <w:r w:rsidRPr="007A3568">
              <w:rPr>
                <w:rFonts w:ascii="Arial" w:eastAsia="Arial" w:hAnsi="Arial" w:cs="Times New Roman"/>
                <w:b/>
                <w:lang w:val="en-AU"/>
              </w:rPr>
              <w:t>Property costs</w:t>
            </w:r>
          </w:p>
        </w:tc>
        <w:tc>
          <w:tcPr>
            <w:tcW w:w="1000" w:type="pct"/>
            <w:hideMark/>
          </w:tcPr>
          <w:p w:rsidR="00907C65" w:rsidRPr="00F64913" w:rsidRDefault="00907C65" w:rsidP="00F954AA">
            <w:pPr>
              <w:keepNext/>
              <w:jc w:val="center"/>
              <w:rPr>
                <w:b/>
                <w:lang w:val="en-AU"/>
              </w:rPr>
            </w:pPr>
          </w:p>
        </w:tc>
        <w:tc>
          <w:tcPr>
            <w:tcW w:w="2500" w:type="pct"/>
            <w:hideMark/>
          </w:tcPr>
          <w:p w:rsidR="00907C65" w:rsidRPr="00F64913" w:rsidRDefault="00907C65" w:rsidP="00F954AA">
            <w:pPr>
              <w:keepNext/>
              <w:rPr>
                <w:b/>
                <w:lang w:val="en-AU"/>
              </w:rPr>
            </w:pPr>
          </w:p>
        </w:tc>
      </w:tr>
      <w:tr w:rsidR="00907C65" w:rsidRPr="00F64913" w:rsidTr="00F954AA">
        <w:tc>
          <w:tcPr>
            <w:tcW w:w="1500" w:type="pct"/>
            <w:hideMark/>
          </w:tcPr>
          <w:p w:rsidR="00907C65" w:rsidRPr="00F64913" w:rsidRDefault="00907C65" w:rsidP="00F954AA">
            <w:pPr>
              <w:rPr>
                <w:lang w:val="en-AU"/>
              </w:rPr>
            </w:pPr>
            <w:r w:rsidRPr="00F64913">
              <w:rPr>
                <w:lang w:val="en-AU"/>
              </w:rPr>
              <w:t>Build costs</w:t>
            </w:r>
          </w:p>
        </w:tc>
        <w:tc>
          <w:tcPr>
            <w:tcW w:w="1000" w:type="pct"/>
            <w:hideMark/>
          </w:tcPr>
          <w:p w:rsidR="00907C65" w:rsidRPr="00F64913" w:rsidRDefault="00907C65" w:rsidP="00F954AA">
            <w:pPr>
              <w:jc w:val="center"/>
              <w:rPr>
                <w:lang w:val="en-AU"/>
              </w:rPr>
            </w:pPr>
            <w:r w:rsidRPr="00F64913">
              <w:rPr>
                <w:lang w:val="en-AU"/>
              </w:rPr>
              <w:t>$0.4 - $1.6m</w:t>
            </w:r>
          </w:p>
        </w:tc>
        <w:tc>
          <w:tcPr>
            <w:tcW w:w="2500" w:type="pct"/>
            <w:hideMark/>
          </w:tcPr>
          <w:p w:rsidR="00907C65" w:rsidRPr="00F64913" w:rsidRDefault="00907C65" w:rsidP="00F954AA">
            <w:pPr>
              <w:rPr>
                <w:lang w:val="en-AU"/>
              </w:rPr>
            </w:pPr>
            <w:r w:rsidRPr="00F64913">
              <w:rPr>
                <w:lang w:val="en-AU"/>
              </w:rPr>
              <w:t xml:space="preserve">Varies by build type and design category. Advice from quantity surveyors with architectural design advice. </w:t>
            </w:r>
          </w:p>
        </w:tc>
      </w:tr>
      <w:tr w:rsidR="00907C65" w:rsidRPr="00F64913" w:rsidTr="00F954AA">
        <w:tc>
          <w:tcPr>
            <w:tcW w:w="1500" w:type="pct"/>
            <w:hideMark/>
          </w:tcPr>
          <w:p w:rsidR="00907C65" w:rsidRPr="00F64913" w:rsidRDefault="00907C65" w:rsidP="00F954AA">
            <w:pPr>
              <w:rPr>
                <w:lang w:val="en-AU"/>
              </w:rPr>
            </w:pPr>
            <w:r w:rsidRPr="00F64913">
              <w:rPr>
                <w:lang w:val="en-AU"/>
              </w:rPr>
              <w:t>Additional breakout or staff rooms</w:t>
            </w:r>
          </w:p>
        </w:tc>
        <w:tc>
          <w:tcPr>
            <w:tcW w:w="1000" w:type="pct"/>
            <w:hideMark/>
          </w:tcPr>
          <w:p w:rsidR="00907C65" w:rsidRPr="00F64913" w:rsidRDefault="00907C65" w:rsidP="00F954AA">
            <w:pPr>
              <w:jc w:val="center"/>
              <w:rPr>
                <w:lang w:val="en-AU"/>
              </w:rPr>
            </w:pPr>
            <w:r w:rsidRPr="00F64913">
              <w:rPr>
                <w:lang w:val="en-AU"/>
              </w:rPr>
              <w:t>$30,000-$40,000</w:t>
            </w:r>
          </w:p>
        </w:tc>
        <w:tc>
          <w:tcPr>
            <w:tcW w:w="2500" w:type="pct"/>
            <w:hideMark/>
          </w:tcPr>
          <w:p w:rsidR="00907C65" w:rsidRPr="00F64913" w:rsidRDefault="00907C65" w:rsidP="00F954AA">
            <w:pPr>
              <w:rPr>
                <w:lang w:val="en-AU"/>
              </w:rPr>
            </w:pPr>
            <w:r w:rsidRPr="00F64913">
              <w:rPr>
                <w:lang w:val="en-AU"/>
              </w:rPr>
              <w:t>As above.</w:t>
            </w:r>
          </w:p>
        </w:tc>
      </w:tr>
      <w:tr w:rsidR="00907C65" w:rsidRPr="00F64913" w:rsidTr="00F954AA">
        <w:tc>
          <w:tcPr>
            <w:tcW w:w="1500" w:type="pct"/>
            <w:hideMark/>
          </w:tcPr>
          <w:p w:rsidR="00907C65" w:rsidRPr="00F64913" w:rsidRDefault="00907C65" w:rsidP="00F954AA">
            <w:pPr>
              <w:rPr>
                <w:lang w:val="en-AU"/>
              </w:rPr>
            </w:pPr>
            <w:r w:rsidRPr="00F64913">
              <w:rPr>
                <w:lang w:val="en-AU"/>
              </w:rPr>
              <w:t>Major refurbishments</w:t>
            </w:r>
          </w:p>
        </w:tc>
        <w:tc>
          <w:tcPr>
            <w:tcW w:w="1000" w:type="pct"/>
            <w:hideMark/>
          </w:tcPr>
          <w:p w:rsidR="00907C65" w:rsidRPr="00F64913" w:rsidRDefault="00907C65" w:rsidP="00F954AA">
            <w:pPr>
              <w:jc w:val="center"/>
              <w:rPr>
                <w:lang w:val="en-AU"/>
              </w:rPr>
            </w:pPr>
            <w:r w:rsidRPr="00F64913">
              <w:rPr>
                <w:lang w:val="en-AU"/>
              </w:rPr>
              <w:t>20-25 years</w:t>
            </w:r>
          </w:p>
        </w:tc>
        <w:tc>
          <w:tcPr>
            <w:tcW w:w="2500" w:type="pct"/>
            <w:hideMark/>
          </w:tcPr>
          <w:p w:rsidR="00907C65" w:rsidRPr="00F64913" w:rsidRDefault="00907C65" w:rsidP="00F954AA">
            <w:pPr>
              <w:rPr>
                <w:lang w:val="en-AU"/>
              </w:rPr>
            </w:pPr>
            <w:r w:rsidRPr="00F64913">
              <w:rPr>
                <w:lang w:val="en-AU"/>
              </w:rPr>
              <w:t>Consultation advice.</w:t>
            </w:r>
          </w:p>
        </w:tc>
      </w:tr>
      <w:tr w:rsidR="00907C65" w:rsidRPr="00F64913" w:rsidTr="00F954AA">
        <w:tc>
          <w:tcPr>
            <w:tcW w:w="1500" w:type="pct"/>
            <w:hideMark/>
          </w:tcPr>
          <w:p w:rsidR="00907C65" w:rsidRPr="00F64913" w:rsidRDefault="00907C65" w:rsidP="00F954AA">
            <w:pPr>
              <w:rPr>
                <w:lang w:val="en-AU"/>
              </w:rPr>
            </w:pPr>
            <w:r w:rsidRPr="00F64913">
              <w:rPr>
                <w:lang w:val="en-AU"/>
              </w:rPr>
              <w:t>Major refurbishments costs</w:t>
            </w:r>
          </w:p>
        </w:tc>
        <w:tc>
          <w:tcPr>
            <w:tcW w:w="1000" w:type="pct"/>
            <w:hideMark/>
          </w:tcPr>
          <w:p w:rsidR="00907C65" w:rsidRPr="00F64913" w:rsidRDefault="00907C65" w:rsidP="00F954AA">
            <w:pPr>
              <w:jc w:val="center"/>
              <w:rPr>
                <w:lang w:val="en-AU"/>
              </w:rPr>
            </w:pPr>
            <w:r w:rsidRPr="00F64913">
              <w:rPr>
                <w:lang w:val="en-AU"/>
              </w:rPr>
              <w:t>$40,000-$80,000</w:t>
            </w:r>
          </w:p>
        </w:tc>
        <w:tc>
          <w:tcPr>
            <w:tcW w:w="2500" w:type="pct"/>
            <w:hideMark/>
          </w:tcPr>
          <w:p w:rsidR="00907C65" w:rsidRPr="00F64913" w:rsidRDefault="00907C65" w:rsidP="00F954AA">
            <w:pPr>
              <w:rPr>
                <w:lang w:val="en-AU"/>
              </w:rPr>
            </w:pPr>
            <w:r w:rsidRPr="00F64913">
              <w:rPr>
                <w:lang w:val="en-AU"/>
              </w:rPr>
              <w:t>Consultation advice.</w:t>
            </w:r>
          </w:p>
        </w:tc>
      </w:tr>
      <w:tr w:rsidR="00907C65" w:rsidRPr="00F64913" w:rsidTr="00F954AA">
        <w:tc>
          <w:tcPr>
            <w:tcW w:w="1500" w:type="pct"/>
            <w:hideMark/>
          </w:tcPr>
          <w:p w:rsidR="00907C65" w:rsidRPr="00F64913" w:rsidRDefault="00907C65" w:rsidP="00F954AA">
            <w:pPr>
              <w:rPr>
                <w:lang w:val="en-AU"/>
              </w:rPr>
            </w:pPr>
            <w:r w:rsidRPr="00F64913">
              <w:rPr>
                <w:lang w:val="en-AU"/>
              </w:rPr>
              <w:t>Asset life of building</w:t>
            </w:r>
          </w:p>
        </w:tc>
        <w:tc>
          <w:tcPr>
            <w:tcW w:w="1000" w:type="pct"/>
            <w:hideMark/>
          </w:tcPr>
          <w:p w:rsidR="00907C65" w:rsidRPr="00F64913" w:rsidRDefault="00907C65" w:rsidP="00F954AA">
            <w:pPr>
              <w:jc w:val="center"/>
              <w:rPr>
                <w:lang w:val="en-AU"/>
              </w:rPr>
            </w:pPr>
            <w:r w:rsidRPr="00F64913">
              <w:rPr>
                <w:lang w:val="en-AU"/>
              </w:rPr>
              <w:t>60 years</w:t>
            </w:r>
          </w:p>
        </w:tc>
        <w:tc>
          <w:tcPr>
            <w:tcW w:w="2500" w:type="pct"/>
            <w:hideMark/>
          </w:tcPr>
          <w:p w:rsidR="00907C65" w:rsidRPr="00F64913" w:rsidRDefault="00907C65" w:rsidP="00F954AA">
            <w:pPr>
              <w:rPr>
                <w:lang w:val="en-AU"/>
              </w:rPr>
            </w:pPr>
            <w:r w:rsidRPr="00F64913">
              <w:rPr>
                <w:lang w:val="en-AU"/>
              </w:rPr>
              <w:t>Consultation advice. Assumes property is well maintained and regularly refurbished.</w:t>
            </w:r>
          </w:p>
        </w:tc>
      </w:tr>
      <w:tr w:rsidR="00907C65" w:rsidRPr="00F64913" w:rsidTr="00F954AA">
        <w:tc>
          <w:tcPr>
            <w:tcW w:w="1500" w:type="pct"/>
            <w:hideMark/>
          </w:tcPr>
          <w:p w:rsidR="00907C65" w:rsidRPr="00F64913" w:rsidRDefault="00907C65" w:rsidP="00F954AA">
            <w:pPr>
              <w:rPr>
                <w:lang w:val="en-AU"/>
              </w:rPr>
            </w:pPr>
            <w:r w:rsidRPr="00F64913">
              <w:rPr>
                <w:lang w:val="en-AU"/>
              </w:rPr>
              <w:t>Loss on building costs when sold</w:t>
            </w:r>
          </w:p>
        </w:tc>
        <w:tc>
          <w:tcPr>
            <w:tcW w:w="1000" w:type="pct"/>
            <w:hideMark/>
          </w:tcPr>
          <w:p w:rsidR="00907C65" w:rsidRPr="00F64913" w:rsidRDefault="00907C65" w:rsidP="00F954AA">
            <w:pPr>
              <w:jc w:val="center"/>
              <w:rPr>
                <w:lang w:val="en-AU"/>
              </w:rPr>
            </w:pPr>
            <w:r w:rsidRPr="00F64913">
              <w:rPr>
                <w:lang w:val="en-AU"/>
              </w:rPr>
              <w:t>20% - 40%</w:t>
            </w:r>
          </w:p>
        </w:tc>
        <w:tc>
          <w:tcPr>
            <w:tcW w:w="2500" w:type="pct"/>
            <w:hideMark/>
          </w:tcPr>
          <w:p w:rsidR="00907C65" w:rsidRPr="00F64913" w:rsidRDefault="00907C65" w:rsidP="00F954AA">
            <w:pPr>
              <w:rPr>
                <w:lang w:val="en-AU"/>
              </w:rPr>
            </w:pPr>
            <w:r w:rsidRPr="00F64913">
              <w:rPr>
                <w:lang w:val="en-AU"/>
              </w:rPr>
              <w:t xml:space="preserve">Assumption. Loss of building value on sale because building is designed as SDA. Higher end represents loss on group homes. Homes with higher specifications than platinum are treated in accordance with platinum homes. </w:t>
            </w:r>
          </w:p>
        </w:tc>
      </w:tr>
      <w:tr w:rsidR="00907C65" w:rsidRPr="00F64913" w:rsidTr="00F954AA">
        <w:tc>
          <w:tcPr>
            <w:tcW w:w="1500" w:type="pct"/>
            <w:hideMark/>
          </w:tcPr>
          <w:p w:rsidR="00907C65" w:rsidRPr="00F64913" w:rsidRDefault="00907C65" w:rsidP="00F954AA">
            <w:pPr>
              <w:rPr>
                <w:lang w:val="en-AU"/>
              </w:rPr>
            </w:pPr>
            <w:r w:rsidRPr="00F64913">
              <w:rPr>
                <w:lang w:val="en-AU"/>
              </w:rPr>
              <w:t>Fees on sale of property</w:t>
            </w:r>
          </w:p>
        </w:tc>
        <w:tc>
          <w:tcPr>
            <w:tcW w:w="1000" w:type="pct"/>
            <w:hideMark/>
          </w:tcPr>
          <w:p w:rsidR="00907C65" w:rsidRPr="00F64913" w:rsidRDefault="00907C65" w:rsidP="00F954AA">
            <w:pPr>
              <w:jc w:val="center"/>
              <w:rPr>
                <w:lang w:val="en-AU"/>
              </w:rPr>
            </w:pPr>
            <w:r w:rsidRPr="00F64913">
              <w:rPr>
                <w:lang w:val="en-AU"/>
              </w:rPr>
              <w:t>7.3%</w:t>
            </w:r>
          </w:p>
        </w:tc>
        <w:tc>
          <w:tcPr>
            <w:tcW w:w="2500" w:type="pct"/>
            <w:hideMark/>
          </w:tcPr>
          <w:p w:rsidR="00907C65" w:rsidRPr="00F64913" w:rsidRDefault="00907C65" w:rsidP="00F954AA">
            <w:pPr>
              <w:rPr>
                <w:lang w:val="en-AU"/>
              </w:rPr>
            </w:pPr>
            <w:r w:rsidRPr="00F64913">
              <w:rPr>
                <w:lang w:val="en-AU"/>
              </w:rPr>
              <w:t>Transaction fees, stamp duty, etc. Industry average estimated by RBA.</w:t>
            </w:r>
          </w:p>
        </w:tc>
      </w:tr>
    </w:tbl>
    <w:p w:rsidR="00907C65" w:rsidRPr="00530B2D" w:rsidRDefault="00530B2D" w:rsidP="00907C65">
      <w:pPr>
        <w:rPr>
          <w:b/>
          <w:sz w:val="20"/>
        </w:rPr>
      </w:pPr>
      <w:r w:rsidRPr="00530B2D">
        <w:rPr>
          <w:b/>
          <w:sz w:val="20"/>
        </w:rPr>
        <w:t xml:space="preserve">Table 6.6 Financing </w:t>
      </w:r>
    </w:p>
    <w:tbl>
      <w:tblPr>
        <w:tblStyle w:val="GridTable4-Accent41"/>
        <w:tblW w:w="5000" w:type="pct"/>
        <w:tblLook w:val="0620" w:firstRow="1" w:lastRow="0" w:firstColumn="0" w:lastColumn="0" w:noHBand="1" w:noVBand="1"/>
        <w:tblDescription w:val="Table 6.6 Financing. Financing is a merged cell"/>
      </w:tblPr>
      <w:tblGrid>
        <w:gridCol w:w="2705"/>
        <w:gridCol w:w="1803"/>
        <w:gridCol w:w="4508"/>
      </w:tblGrid>
      <w:tr w:rsidR="00907C65" w:rsidRPr="007A3568" w:rsidTr="00F954AA">
        <w:trPr>
          <w:cnfStyle w:val="100000000000" w:firstRow="1" w:lastRow="0" w:firstColumn="0" w:lastColumn="0" w:oddVBand="0" w:evenVBand="0" w:oddHBand="0" w:evenHBand="0" w:firstRowFirstColumn="0" w:firstRowLastColumn="0" w:lastRowFirstColumn="0" w:lastRowLastColumn="0"/>
          <w:tblHeader/>
        </w:trPr>
        <w:tc>
          <w:tcPr>
            <w:tcW w:w="1500" w:type="pct"/>
            <w:hideMark/>
          </w:tcPr>
          <w:p w:rsidR="00907C65" w:rsidRPr="007A3568" w:rsidRDefault="00907C65" w:rsidP="00F954AA">
            <w:pPr>
              <w:rPr>
                <w:rFonts w:ascii="Arial" w:eastAsia="Arial" w:hAnsi="Arial" w:cs="Times New Roman"/>
                <w:bCs w:val="0"/>
                <w:color w:val="auto"/>
              </w:rPr>
            </w:pPr>
            <w:r w:rsidRPr="007A3568">
              <w:rPr>
                <w:rFonts w:ascii="Arial" w:eastAsia="Arial" w:hAnsi="Arial" w:cs="Times New Roman"/>
                <w:bCs w:val="0"/>
                <w:color w:val="FFFFFF" w:themeColor="background1"/>
              </w:rPr>
              <w:t>DESCRIPTION</w:t>
            </w:r>
          </w:p>
        </w:tc>
        <w:tc>
          <w:tcPr>
            <w:tcW w:w="1000" w:type="pct"/>
            <w:hideMark/>
          </w:tcPr>
          <w:p w:rsidR="00907C65" w:rsidRPr="007A3568" w:rsidRDefault="00907C65" w:rsidP="00F954AA">
            <w:pPr>
              <w:jc w:val="center"/>
              <w:rPr>
                <w:rFonts w:ascii="Arial" w:eastAsia="Arial" w:hAnsi="Arial" w:cs="Times New Roman"/>
              </w:rPr>
            </w:pPr>
            <w:r w:rsidRPr="007A3568">
              <w:rPr>
                <w:rFonts w:ascii="Arial" w:eastAsia="Arial" w:hAnsi="Arial" w:cs="Times New Roman"/>
              </w:rPr>
              <w:t>RANGE</w:t>
            </w:r>
          </w:p>
        </w:tc>
        <w:tc>
          <w:tcPr>
            <w:tcW w:w="2500" w:type="pct"/>
            <w:hideMark/>
          </w:tcPr>
          <w:p w:rsidR="00907C65" w:rsidRPr="007A3568" w:rsidRDefault="00907C65" w:rsidP="00F954AA">
            <w:pPr>
              <w:rPr>
                <w:rFonts w:ascii="Arial" w:eastAsia="Arial" w:hAnsi="Arial" w:cs="Times New Roman"/>
              </w:rPr>
            </w:pPr>
            <w:r w:rsidRPr="007A3568">
              <w:rPr>
                <w:rFonts w:ascii="Arial" w:eastAsia="Arial" w:hAnsi="Arial" w:cs="Times New Roman"/>
              </w:rPr>
              <w:t>SOURCE OR RATIONALE</w:t>
            </w:r>
          </w:p>
        </w:tc>
      </w:tr>
      <w:tr w:rsidR="00907C65" w:rsidRPr="00F64913" w:rsidTr="00F954AA">
        <w:tc>
          <w:tcPr>
            <w:tcW w:w="1500" w:type="pct"/>
            <w:hideMark/>
          </w:tcPr>
          <w:p w:rsidR="00907C65" w:rsidRPr="00F64913" w:rsidRDefault="00907C65" w:rsidP="00F954AA">
            <w:pPr>
              <w:keepNext/>
              <w:rPr>
                <w:b/>
                <w:lang w:val="en-AU"/>
              </w:rPr>
            </w:pPr>
            <w:r w:rsidRPr="007A3568">
              <w:rPr>
                <w:rFonts w:ascii="Arial" w:eastAsia="Arial" w:hAnsi="Arial" w:cs="Times New Roman"/>
                <w:b/>
                <w:lang w:val="en-AU"/>
              </w:rPr>
              <w:t>Financing</w:t>
            </w:r>
          </w:p>
        </w:tc>
        <w:tc>
          <w:tcPr>
            <w:tcW w:w="1000" w:type="pct"/>
            <w:hideMark/>
          </w:tcPr>
          <w:p w:rsidR="00907C65" w:rsidRPr="00F64913" w:rsidRDefault="00907C65" w:rsidP="00F954AA">
            <w:pPr>
              <w:jc w:val="center"/>
              <w:rPr>
                <w:b/>
                <w:lang w:val="en-AU"/>
              </w:rPr>
            </w:pPr>
          </w:p>
        </w:tc>
        <w:tc>
          <w:tcPr>
            <w:tcW w:w="2500" w:type="pct"/>
            <w:hideMark/>
          </w:tcPr>
          <w:p w:rsidR="00907C65" w:rsidRPr="00F64913" w:rsidRDefault="00907C65" w:rsidP="00F954AA">
            <w:pPr>
              <w:rPr>
                <w:b/>
                <w:lang w:val="en-AU"/>
              </w:rPr>
            </w:pPr>
          </w:p>
        </w:tc>
      </w:tr>
      <w:tr w:rsidR="00907C65" w:rsidRPr="00F64913" w:rsidTr="00F954AA">
        <w:tc>
          <w:tcPr>
            <w:tcW w:w="1500" w:type="pct"/>
            <w:hideMark/>
          </w:tcPr>
          <w:p w:rsidR="00907C65" w:rsidRPr="00F64913" w:rsidRDefault="00907C65" w:rsidP="00F954AA">
            <w:pPr>
              <w:rPr>
                <w:lang w:val="en-AU"/>
              </w:rPr>
            </w:pPr>
            <w:r w:rsidRPr="00F64913">
              <w:rPr>
                <w:lang w:val="en-AU"/>
              </w:rPr>
              <w:t>Debt rate</w:t>
            </w:r>
          </w:p>
        </w:tc>
        <w:tc>
          <w:tcPr>
            <w:tcW w:w="1000" w:type="pct"/>
            <w:hideMark/>
          </w:tcPr>
          <w:p w:rsidR="00907C65" w:rsidRPr="00F64913" w:rsidRDefault="00907C65" w:rsidP="00F954AA">
            <w:pPr>
              <w:jc w:val="center"/>
              <w:rPr>
                <w:lang w:val="en-AU"/>
              </w:rPr>
            </w:pPr>
            <w:r w:rsidRPr="00F64913">
              <w:rPr>
                <w:lang w:val="en-AU"/>
              </w:rPr>
              <w:t>5.2%</w:t>
            </w:r>
          </w:p>
        </w:tc>
        <w:tc>
          <w:tcPr>
            <w:tcW w:w="2500" w:type="pct"/>
            <w:hideMark/>
          </w:tcPr>
          <w:p w:rsidR="00907C65" w:rsidRPr="00F64913" w:rsidRDefault="00907C65" w:rsidP="00F954AA">
            <w:pPr>
              <w:rPr>
                <w:lang w:val="en-AU"/>
              </w:rPr>
            </w:pPr>
            <w:r w:rsidRPr="00F64913">
              <w:rPr>
                <w:lang w:val="en-AU"/>
              </w:rPr>
              <w:t>Ten year Commonwealth Bond rate plus 2.5 per cent debt margin.</w:t>
            </w:r>
          </w:p>
        </w:tc>
      </w:tr>
      <w:tr w:rsidR="00907C65" w:rsidRPr="00F64913" w:rsidTr="00F954AA">
        <w:tc>
          <w:tcPr>
            <w:tcW w:w="1500" w:type="pct"/>
            <w:hideMark/>
          </w:tcPr>
          <w:p w:rsidR="00907C65" w:rsidRPr="00F64913" w:rsidRDefault="00907C65" w:rsidP="00F954AA">
            <w:pPr>
              <w:rPr>
                <w:lang w:val="en-AU"/>
              </w:rPr>
            </w:pPr>
            <w:r w:rsidRPr="00F64913">
              <w:rPr>
                <w:lang w:val="en-AU"/>
              </w:rPr>
              <w:t xml:space="preserve">Pre-tax equity return </w:t>
            </w:r>
          </w:p>
        </w:tc>
        <w:tc>
          <w:tcPr>
            <w:tcW w:w="1000" w:type="pct"/>
            <w:hideMark/>
          </w:tcPr>
          <w:p w:rsidR="00907C65" w:rsidRPr="00F64913" w:rsidRDefault="00907C65" w:rsidP="00F954AA">
            <w:pPr>
              <w:jc w:val="center"/>
              <w:rPr>
                <w:lang w:val="en-AU"/>
              </w:rPr>
            </w:pPr>
            <w:r w:rsidRPr="00F64913">
              <w:rPr>
                <w:lang w:val="en-AU"/>
              </w:rPr>
              <w:t>11.6%</w:t>
            </w:r>
          </w:p>
        </w:tc>
        <w:tc>
          <w:tcPr>
            <w:tcW w:w="2500" w:type="pct"/>
            <w:hideMark/>
          </w:tcPr>
          <w:p w:rsidR="00907C65" w:rsidRPr="00F64913" w:rsidRDefault="00907C65" w:rsidP="00F954AA">
            <w:pPr>
              <w:rPr>
                <w:lang w:val="en-AU"/>
              </w:rPr>
            </w:pPr>
            <w:r w:rsidRPr="00F64913">
              <w:rPr>
                <w:lang w:val="en-AU"/>
              </w:rPr>
              <w:t>CAPM, based on comparison with aged care and other health care investments.</w:t>
            </w:r>
          </w:p>
        </w:tc>
      </w:tr>
      <w:tr w:rsidR="00907C65" w:rsidRPr="00F64913" w:rsidTr="00F954AA">
        <w:tc>
          <w:tcPr>
            <w:tcW w:w="1500" w:type="pct"/>
            <w:hideMark/>
          </w:tcPr>
          <w:p w:rsidR="00907C65" w:rsidRPr="00F64913" w:rsidRDefault="00907C65" w:rsidP="00F954AA">
            <w:pPr>
              <w:rPr>
                <w:lang w:val="en-AU"/>
              </w:rPr>
            </w:pPr>
            <w:r w:rsidRPr="00F64913">
              <w:rPr>
                <w:lang w:val="en-AU"/>
              </w:rPr>
              <w:t>Level of debt</w:t>
            </w:r>
          </w:p>
        </w:tc>
        <w:tc>
          <w:tcPr>
            <w:tcW w:w="1000" w:type="pct"/>
            <w:hideMark/>
          </w:tcPr>
          <w:p w:rsidR="00907C65" w:rsidRPr="00F64913" w:rsidRDefault="00907C65" w:rsidP="00F954AA">
            <w:pPr>
              <w:jc w:val="center"/>
              <w:rPr>
                <w:lang w:val="en-AU"/>
              </w:rPr>
            </w:pPr>
            <w:r w:rsidRPr="00F64913">
              <w:rPr>
                <w:lang w:val="en-AU"/>
              </w:rPr>
              <w:t>60%</w:t>
            </w:r>
          </w:p>
        </w:tc>
        <w:tc>
          <w:tcPr>
            <w:tcW w:w="2500" w:type="pct"/>
            <w:hideMark/>
          </w:tcPr>
          <w:p w:rsidR="00907C65" w:rsidRPr="00F64913" w:rsidRDefault="00907C65" w:rsidP="00F954AA">
            <w:pPr>
              <w:rPr>
                <w:lang w:val="en-AU"/>
              </w:rPr>
            </w:pPr>
            <w:r w:rsidRPr="00F64913">
              <w:rPr>
                <w:lang w:val="en-AU"/>
              </w:rPr>
              <w:t>Comparison with financing assumptions applied in the aged care sector and other regulated industries.</w:t>
            </w:r>
          </w:p>
        </w:tc>
      </w:tr>
    </w:tbl>
    <w:p w:rsidR="00907C65" w:rsidRPr="00F64913" w:rsidRDefault="00907C65" w:rsidP="00907C65">
      <w:pPr>
        <w:rPr>
          <w:lang w:val="en-AU"/>
        </w:rPr>
      </w:pPr>
    </w:p>
    <w:p w:rsidR="009C2220" w:rsidRPr="00F64913" w:rsidRDefault="009C2220" w:rsidP="00140C00">
      <w:pPr>
        <w:rPr>
          <w:lang w:val="en-AU"/>
        </w:rPr>
      </w:pPr>
    </w:p>
    <w:p w:rsidR="007865D3" w:rsidRPr="00507084" w:rsidRDefault="00F513CD" w:rsidP="00507084">
      <w:pPr>
        <w:pStyle w:val="Heading1"/>
      </w:pPr>
      <w:bookmarkStart w:id="46" w:name="_Toc23156378"/>
      <w:r w:rsidRPr="00507084">
        <w:t>Location factor i</w:t>
      </w:r>
      <w:r w:rsidR="006A4A64" w:rsidRPr="00507084">
        <w:t>ssues and recommendations</w:t>
      </w:r>
      <w:bookmarkEnd w:id="46"/>
    </w:p>
    <w:p w:rsidR="00FF0A9A" w:rsidRPr="00114CDB" w:rsidRDefault="00780334" w:rsidP="00650839">
      <w:r w:rsidRPr="00114CDB">
        <w:t xml:space="preserve">In accordance with the Terms of Reference, the Review was tasked with analysing location factors where providers viewed there to be barriers to investment. </w:t>
      </w:r>
      <w:r w:rsidR="00FF0A9A" w:rsidRPr="00114CDB">
        <w:t>While the Review examined other locations to determine the veracity of those locations submitted, the Review was designed to address specific concerns identified by providers, rather than to conduct a wholesale re-evaluation of every SA4 location.</w:t>
      </w:r>
      <w:r w:rsidR="00DA6CD7">
        <w:t xml:space="preserve"> </w:t>
      </w:r>
      <w:r w:rsidR="00DA6CD7">
        <w:rPr>
          <w:lang w:val="en-AU"/>
        </w:rPr>
        <w:t>More broad monitoring and intervention with respect to SA4 location factors will be handled through the NDIA’s Market Enablement Framework, as described in part 6 of this report</w:t>
      </w:r>
      <w:r w:rsidR="006C28D9">
        <w:rPr>
          <w:lang w:val="en-AU"/>
        </w:rPr>
        <w:t>.</w:t>
      </w:r>
    </w:p>
    <w:p w:rsidR="00780334" w:rsidRDefault="009A174A" w:rsidP="00650839">
      <w:pPr>
        <w:rPr>
          <w:lang w:val="en-AU"/>
        </w:rPr>
      </w:pPr>
      <w:r w:rsidRPr="00114CDB">
        <w:t xml:space="preserve">Thirteen (13) regions </w:t>
      </w:r>
      <w:r w:rsidR="00CD3F85" w:rsidRPr="00114CDB">
        <w:t xml:space="preserve">were identified </w:t>
      </w:r>
      <w:r w:rsidRPr="00114CDB">
        <w:t xml:space="preserve">in submissions </w:t>
      </w:r>
      <w:r w:rsidR="00CD3F85" w:rsidRPr="00114CDB">
        <w:t>as being of</w:t>
      </w:r>
      <w:r w:rsidR="00CD3F85" w:rsidRPr="00114CDB">
        <w:rPr>
          <w:lang w:val="en-AU"/>
        </w:rPr>
        <w:t xml:space="preserve"> particular concern</w:t>
      </w:r>
      <w:r w:rsidRPr="00114CDB">
        <w:rPr>
          <w:lang w:val="en-AU"/>
        </w:rPr>
        <w:t>.</w:t>
      </w:r>
    </w:p>
    <w:p w:rsidR="009A174A" w:rsidRDefault="009A174A" w:rsidP="00650839">
      <w:pPr>
        <w:rPr>
          <w:lang w:val="en-AU"/>
        </w:rPr>
      </w:pPr>
      <w:r>
        <w:fldChar w:fldCharType="begin"/>
      </w:r>
      <w:r>
        <w:instrText xml:space="preserve"> REF _Ref18263185 \h </w:instrText>
      </w:r>
      <w:r>
        <w:fldChar w:fldCharType="separate"/>
      </w:r>
      <w:r w:rsidR="00A3319D" w:rsidRPr="00F64913">
        <w:rPr>
          <w:lang w:val="en-AU"/>
        </w:rPr>
        <w:t xml:space="preserve">Table </w:t>
      </w:r>
      <w:r w:rsidR="00A3319D">
        <w:rPr>
          <w:noProof/>
          <w:lang w:val="en-AU"/>
        </w:rPr>
        <w:t>7</w:t>
      </w:r>
      <w:r>
        <w:fldChar w:fldCharType="end"/>
      </w:r>
      <w:r>
        <w:t xml:space="preserve"> below provides some information on SDA in these regions.</w:t>
      </w:r>
    </w:p>
    <w:p w:rsidR="009A174A" w:rsidRPr="00F64913" w:rsidRDefault="009A174A" w:rsidP="009A174A">
      <w:pPr>
        <w:pStyle w:val="Caption"/>
        <w:rPr>
          <w:lang w:val="en-AU"/>
        </w:rPr>
      </w:pPr>
      <w:bookmarkStart w:id="47" w:name="_Ref18263185"/>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7</w:t>
      </w:r>
      <w:r w:rsidRPr="00F64913">
        <w:rPr>
          <w:lang w:val="en-AU"/>
        </w:rPr>
        <w:fldChar w:fldCharType="end"/>
      </w:r>
      <w:bookmarkEnd w:id="47"/>
      <w:r w:rsidRPr="00F64913">
        <w:rPr>
          <w:lang w:val="en-AU"/>
        </w:rPr>
        <w:t xml:space="preserve">: </w:t>
      </w:r>
      <w:r w:rsidR="009079D2">
        <w:rPr>
          <w:lang w:val="en-AU"/>
        </w:rPr>
        <w:t>SA4 locations by submissions received and number of SDA Dwelling Placements per 1000 participants</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4248"/>
        <w:gridCol w:w="1906"/>
        <w:gridCol w:w="1431"/>
        <w:gridCol w:w="1431"/>
      </w:tblGrid>
      <w:tr w:rsidR="009A174A" w:rsidRPr="00F64913" w:rsidTr="009A17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hideMark/>
          </w:tcPr>
          <w:p w:rsidR="009A174A" w:rsidRPr="00F64913" w:rsidRDefault="009A174A" w:rsidP="00A3319D">
            <w:pPr>
              <w:keepNext/>
              <w:rPr>
                <w:szCs w:val="18"/>
                <w:lang w:val="en-AU"/>
              </w:rPr>
            </w:pPr>
            <w:r>
              <w:rPr>
                <w:szCs w:val="18"/>
                <w:lang w:val="en-AU"/>
              </w:rPr>
              <w:t>Regions</w:t>
            </w:r>
          </w:p>
        </w:tc>
        <w:tc>
          <w:tcPr>
            <w:tcW w:w="1906" w:type="dxa"/>
            <w:hideMark/>
          </w:tcPr>
          <w:p w:rsidR="009A174A" w:rsidRPr="00F64913" w:rsidRDefault="009A174A" w:rsidP="009A174A">
            <w:pPr>
              <w:keepNext/>
              <w:jc w:val="center"/>
              <w:cnfStyle w:val="100000000000" w:firstRow="1" w:lastRow="0" w:firstColumn="0" w:lastColumn="0" w:oddVBand="0" w:evenVBand="0" w:oddHBand="0" w:evenHBand="0" w:firstRowFirstColumn="0" w:firstRowLastColumn="0" w:lastRowFirstColumn="0" w:lastRowLastColumn="0"/>
              <w:rPr>
                <w:szCs w:val="18"/>
                <w:lang w:val="en-AU"/>
              </w:rPr>
            </w:pPr>
            <w:r>
              <w:rPr>
                <w:szCs w:val="18"/>
                <w:lang w:val="en-AU"/>
              </w:rPr>
              <w:t>Number of submissions</w:t>
            </w:r>
          </w:p>
        </w:tc>
        <w:tc>
          <w:tcPr>
            <w:tcW w:w="1431" w:type="dxa"/>
          </w:tcPr>
          <w:p w:rsidR="009A174A" w:rsidRDefault="009A174A" w:rsidP="009A174A">
            <w:pPr>
              <w:keepNext/>
              <w:jc w:val="center"/>
              <w:cnfStyle w:val="100000000000" w:firstRow="1" w:lastRow="0" w:firstColumn="0" w:lastColumn="0" w:oddVBand="0" w:evenVBand="0" w:oddHBand="0" w:evenHBand="0" w:firstRowFirstColumn="0" w:firstRowLastColumn="0" w:lastRowFirstColumn="0" w:lastRowLastColumn="0"/>
              <w:rPr>
                <w:szCs w:val="18"/>
                <w:lang w:val="en-AU"/>
              </w:rPr>
            </w:pPr>
            <w:r>
              <w:rPr>
                <w:szCs w:val="18"/>
                <w:lang w:val="en-AU"/>
              </w:rPr>
              <w:t>Number of SDA Dwelling Placements per 1000 participants</w:t>
            </w:r>
          </w:p>
          <w:p w:rsidR="00B466FE" w:rsidRDefault="00B466FE" w:rsidP="009A174A">
            <w:pPr>
              <w:keepNext/>
              <w:jc w:val="center"/>
              <w:cnfStyle w:val="100000000000" w:firstRow="1" w:lastRow="0" w:firstColumn="0" w:lastColumn="0" w:oddVBand="0" w:evenVBand="0" w:oddHBand="0" w:evenHBand="0" w:firstRowFirstColumn="0" w:firstRowLastColumn="0" w:lastRowFirstColumn="0" w:lastRowLastColumn="0"/>
              <w:rPr>
                <w:szCs w:val="18"/>
                <w:lang w:val="en-AU"/>
              </w:rPr>
            </w:pPr>
            <w:r>
              <w:rPr>
                <w:szCs w:val="18"/>
                <w:lang w:val="en-AU"/>
              </w:rPr>
              <w:t>(Total)</w:t>
            </w:r>
          </w:p>
        </w:tc>
        <w:tc>
          <w:tcPr>
            <w:tcW w:w="1431" w:type="dxa"/>
          </w:tcPr>
          <w:p w:rsidR="009A174A" w:rsidRDefault="009A174A" w:rsidP="00B466FE">
            <w:pPr>
              <w:keepNext/>
              <w:jc w:val="center"/>
              <w:cnfStyle w:val="100000000000" w:firstRow="1" w:lastRow="0" w:firstColumn="0" w:lastColumn="0" w:oddVBand="0" w:evenVBand="0" w:oddHBand="0" w:evenHBand="0" w:firstRowFirstColumn="0" w:firstRowLastColumn="0" w:lastRowFirstColumn="0" w:lastRowLastColumn="0"/>
              <w:rPr>
                <w:szCs w:val="18"/>
                <w:lang w:val="en-AU"/>
              </w:rPr>
            </w:pPr>
            <w:r>
              <w:rPr>
                <w:szCs w:val="18"/>
                <w:lang w:val="en-AU"/>
              </w:rPr>
              <w:t>Number of SDA Dwelling Placements per 1000 participants</w:t>
            </w:r>
          </w:p>
          <w:p w:rsidR="009A174A" w:rsidRDefault="009A174A" w:rsidP="009A174A">
            <w:pPr>
              <w:keepNext/>
              <w:jc w:val="center"/>
              <w:cnfStyle w:val="100000000000" w:firstRow="1" w:lastRow="0" w:firstColumn="0" w:lastColumn="0" w:oddVBand="0" w:evenVBand="0" w:oddHBand="0" w:evenHBand="0" w:firstRowFirstColumn="0" w:firstRowLastColumn="0" w:lastRowFirstColumn="0" w:lastRowLastColumn="0"/>
              <w:rPr>
                <w:szCs w:val="18"/>
                <w:lang w:val="en-AU"/>
              </w:rPr>
            </w:pPr>
            <w:r>
              <w:rPr>
                <w:szCs w:val="18"/>
                <w:lang w:val="en-AU"/>
              </w:rPr>
              <w:t>(New)</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VIC - Melbourne - Inner</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5.7</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1.8</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VIC - Melbourne - South East</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6</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11.7</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1.5</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VIC - Melbourne - Outer East</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4</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12.1</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r>
              <w:rPr>
                <w:rFonts w:ascii="Arial" w:eastAsia="Times New Roman" w:hAnsi="Arial" w:cs="Arial"/>
                <w:color w:val="000000"/>
                <w:lang w:val="en-AU" w:eastAsia="en-AU"/>
              </w:rPr>
              <w:t>.0</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City &amp; Inner South</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4</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12.6</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0</w:t>
            </w:r>
            <w:r>
              <w:rPr>
                <w:rFonts w:ascii="Arial" w:eastAsia="Times New Roman" w:hAnsi="Arial" w:cs="Arial"/>
                <w:color w:val="000000"/>
                <w:lang w:val="en-AU" w:eastAsia="en-AU"/>
              </w:rPr>
              <w:t>.0</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QLD - Townsville</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14.1</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2.4</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Eastern Suburbs</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4</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15.6</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0.3</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Outer South West</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18.5</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0.8</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VIC - Melbourne - Inner East</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4</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19.8</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0</w:t>
            </w:r>
            <w:r>
              <w:rPr>
                <w:rFonts w:ascii="Arial" w:eastAsia="Times New Roman" w:hAnsi="Arial" w:cs="Arial"/>
                <w:color w:val="000000"/>
                <w:lang w:val="en-AU" w:eastAsia="en-AU"/>
              </w:rPr>
              <w:t>.0</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Inner West</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4</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20</w:t>
            </w:r>
            <w:r w:rsidR="003E1EF5">
              <w:rPr>
                <w:rFonts w:ascii="Arial" w:eastAsia="Times New Roman" w:hAnsi="Arial" w:cs="Arial"/>
                <w:color w:val="000000"/>
                <w:lang w:val="en-AU" w:eastAsia="en-AU"/>
              </w:rPr>
              <w:t>.0</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0</w:t>
            </w:r>
            <w:r>
              <w:rPr>
                <w:rFonts w:ascii="Arial" w:eastAsia="Times New Roman" w:hAnsi="Arial" w:cs="Arial"/>
                <w:color w:val="000000"/>
                <w:lang w:val="en-AU" w:eastAsia="en-AU"/>
              </w:rPr>
              <w:t>.0</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VIC - Melbourne - Inner South</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2</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24.1</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1.2</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Parramatta</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p>
        </w:tc>
        <w:tc>
          <w:tcPr>
            <w:tcW w:w="1431" w:type="dxa"/>
            <w:vAlign w:val="center"/>
          </w:tcPr>
          <w:p w:rsidR="00B466FE" w:rsidRPr="00D42D06"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D42D06">
              <w:rPr>
                <w:rFonts w:ascii="Arial" w:eastAsia="Times New Roman" w:hAnsi="Arial" w:cs="Arial"/>
                <w:color w:val="000000"/>
                <w:lang w:val="en-AU" w:eastAsia="en-AU"/>
              </w:rPr>
              <w:t>35.5</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11.9</w:t>
            </w:r>
          </w:p>
        </w:tc>
      </w:tr>
      <w:tr w:rsidR="00B466FE" w:rsidRPr="00B466FE"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Northern Beaches</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18"/>
                <w:lang w:val="en-AU" w:eastAsia="en-AU"/>
              </w:rPr>
            </w:pPr>
            <w:r w:rsidRPr="00B466FE">
              <w:rPr>
                <w:rFonts w:ascii="Arial" w:eastAsia="Times New Roman" w:hAnsi="Arial" w:cs="Arial"/>
                <w:bCs/>
                <w:szCs w:val="18"/>
                <w:lang w:val="en-AU" w:eastAsia="en-AU"/>
              </w:rPr>
              <w:t>7</w:t>
            </w:r>
          </w:p>
        </w:tc>
        <w:tc>
          <w:tcPr>
            <w:tcW w:w="1431" w:type="dxa"/>
            <w:vAlign w:val="center"/>
          </w:tcPr>
          <w:p w:rsidR="00B466FE" w:rsidRPr="00D42D06"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18"/>
                <w:lang w:val="en-AU" w:eastAsia="en-AU"/>
              </w:rPr>
            </w:pPr>
            <w:r w:rsidRPr="00D42D06">
              <w:rPr>
                <w:rFonts w:ascii="Arial" w:eastAsia="Times New Roman" w:hAnsi="Arial" w:cs="Arial"/>
                <w:bCs/>
                <w:szCs w:val="18"/>
                <w:lang w:val="en-AU" w:eastAsia="en-AU"/>
              </w:rPr>
              <w:t>51.2</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Cs w:val="18"/>
                <w:lang w:val="en-AU" w:eastAsia="en-AU"/>
              </w:rPr>
            </w:pPr>
            <w:r w:rsidRPr="00B466FE">
              <w:rPr>
                <w:rFonts w:ascii="Arial" w:eastAsia="Times New Roman" w:hAnsi="Arial" w:cs="Arial"/>
                <w:bCs/>
                <w:szCs w:val="18"/>
                <w:lang w:val="en-AU" w:eastAsia="en-AU"/>
              </w:rPr>
              <w:t>9</w:t>
            </w:r>
            <w:r>
              <w:rPr>
                <w:rFonts w:ascii="Arial" w:eastAsia="Times New Roman" w:hAnsi="Arial" w:cs="Arial"/>
                <w:bCs/>
                <w:szCs w:val="18"/>
                <w:lang w:val="en-AU" w:eastAsia="en-AU"/>
              </w:rPr>
              <w:t>.0</w:t>
            </w:r>
          </w:p>
        </w:tc>
      </w:tr>
      <w:tr w:rsidR="00B466FE" w:rsidRPr="009A174A" w:rsidTr="00A33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b w:val="0"/>
                <w:szCs w:val="18"/>
                <w:lang w:val="en-AU" w:eastAsia="en-AU"/>
              </w:rPr>
            </w:pPr>
            <w:r w:rsidRPr="00B466FE">
              <w:rPr>
                <w:rFonts w:ascii="Arial" w:eastAsia="Times New Roman" w:hAnsi="Arial" w:cs="Arial"/>
                <w:b w:val="0"/>
                <w:szCs w:val="18"/>
                <w:lang w:val="en-AU" w:eastAsia="en-AU"/>
              </w:rPr>
              <w:t>NSW - Sydney - Ryde</w:t>
            </w:r>
          </w:p>
        </w:tc>
        <w:tc>
          <w:tcPr>
            <w:tcW w:w="1906"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w:t>
            </w:r>
          </w:p>
        </w:tc>
        <w:tc>
          <w:tcPr>
            <w:tcW w:w="1431" w:type="dxa"/>
            <w:vAlign w:val="center"/>
          </w:tcPr>
          <w:p w:rsidR="00B466FE" w:rsidRPr="00D42D06"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D42D06">
              <w:rPr>
                <w:rFonts w:ascii="Arial" w:eastAsia="Times New Roman" w:hAnsi="Arial" w:cs="Arial"/>
                <w:color w:val="000000"/>
                <w:lang w:val="en-AU" w:eastAsia="en-AU"/>
              </w:rPr>
              <w:t>105.0</w:t>
            </w:r>
          </w:p>
        </w:tc>
        <w:tc>
          <w:tcPr>
            <w:tcW w:w="1431" w:type="dxa"/>
            <w:vAlign w:val="center"/>
          </w:tcPr>
          <w:p w:rsidR="00B466FE" w:rsidRPr="00B466FE" w:rsidRDefault="00B466FE" w:rsidP="00B466F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18.4</w:t>
            </w:r>
          </w:p>
        </w:tc>
      </w:tr>
      <w:tr w:rsidR="00B466FE" w:rsidRPr="009A174A" w:rsidTr="00A3319D">
        <w:tc>
          <w:tcPr>
            <w:cnfStyle w:val="001000000000" w:firstRow="0" w:lastRow="0" w:firstColumn="1" w:lastColumn="0" w:oddVBand="0" w:evenVBand="0" w:oddHBand="0" w:evenHBand="0" w:firstRowFirstColumn="0" w:firstRowLastColumn="0" w:lastRowFirstColumn="0" w:lastRowLastColumn="0"/>
            <w:tcW w:w="4248" w:type="dxa"/>
            <w:vAlign w:val="center"/>
          </w:tcPr>
          <w:p w:rsidR="00B466FE" w:rsidRPr="00B466FE" w:rsidRDefault="00B466FE" w:rsidP="00B466FE">
            <w:pPr>
              <w:spacing w:before="0" w:after="0" w:line="240" w:lineRule="auto"/>
              <w:rPr>
                <w:rFonts w:ascii="Arial" w:eastAsia="Times New Roman" w:hAnsi="Arial" w:cs="Arial"/>
                <w:color w:val="000000"/>
                <w:szCs w:val="18"/>
                <w:lang w:val="en-AU" w:eastAsia="en-AU"/>
              </w:rPr>
            </w:pPr>
            <w:r w:rsidRPr="00B466FE">
              <w:rPr>
                <w:rFonts w:ascii="Arial" w:eastAsia="Times New Roman" w:hAnsi="Arial" w:cs="Arial"/>
                <w:color w:val="000000"/>
                <w:lang w:val="en-AU" w:eastAsia="en-AU"/>
              </w:rPr>
              <w:t>Australia</w:t>
            </w:r>
          </w:p>
        </w:tc>
        <w:tc>
          <w:tcPr>
            <w:tcW w:w="1906"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Cs w:val="18"/>
                <w:lang w:val="en-AU" w:eastAsia="en-AU"/>
              </w:rPr>
            </w:pPr>
            <w:r w:rsidRPr="00B466FE">
              <w:rPr>
                <w:rFonts w:ascii="Arial" w:eastAsia="Times New Roman" w:hAnsi="Arial" w:cs="Arial"/>
                <w:b/>
                <w:bCs/>
                <w:color w:val="000000"/>
                <w:lang w:val="en-AU" w:eastAsia="en-AU"/>
              </w:rPr>
              <w:t> </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Cs w:val="18"/>
                <w:lang w:val="en-AU" w:eastAsia="en-AU"/>
              </w:rPr>
            </w:pPr>
            <w:r w:rsidRPr="00B466FE">
              <w:rPr>
                <w:rFonts w:ascii="Arial" w:eastAsia="Times New Roman" w:hAnsi="Arial" w:cs="Arial"/>
                <w:b/>
                <w:bCs/>
                <w:color w:val="000000"/>
                <w:lang w:val="en-AU" w:eastAsia="en-AU"/>
              </w:rPr>
              <w:t>18.5</w:t>
            </w:r>
          </w:p>
        </w:tc>
        <w:tc>
          <w:tcPr>
            <w:tcW w:w="1431" w:type="dxa"/>
            <w:vAlign w:val="center"/>
          </w:tcPr>
          <w:p w:rsidR="00B466FE" w:rsidRPr="00B466FE" w:rsidRDefault="00B466FE" w:rsidP="00B466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Cs w:val="18"/>
                <w:lang w:val="en-AU" w:eastAsia="en-AU"/>
              </w:rPr>
            </w:pPr>
            <w:r w:rsidRPr="00B466FE">
              <w:rPr>
                <w:rFonts w:ascii="Arial" w:eastAsia="Times New Roman" w:hAnsi="Arial" w:cs="Arial"/>
                <w:b/>
                <w:bCs/>
                <w:color w:val="000000"/>
                <w:lang w:val="en-AU" w:eastAsia="en-AU"/>
              </w:rPr>
              <w:t>1.8</w:t>
            </w:r>
          </w:p>
        </w:tc>
      </w:tr>
    </w:tbl>
    <w:p w:rsidR="006C5BC1" w:rsidRDefault="00B466FE" w:rsidP="006C5BC1">
      <w:pPr>
        <w:rPr>
          <w:lang w:val="en-AU"/>
        </w:rPr>
      </w:pPr>
      <w:r>
        <w:rPr>
          <w:lang w:val="en-AU"/>
        </w:rPr>
        <w:t>The regions fall into</w:t>
      </w:r>
      <w:r w:rsidR="006C5BC1">
        <w:rPr>
          <w:lang w:val="en-AU"/>
        </w:rPr>
        <w:t xml:space="preserve"> four broad categories. </w:t>
      </w:r>
    </w:p>
    <w:p w:rsidR="003E1EF5" w:rsidRDefault="006C5BC1" w:rsidP="006C5BC1">
      <w:pPr>
        <w:rPr>
          <w:lang w:val="en-AU"/>
        </w:rPr>
      </w:pPr>
      <w:r>
        <w:rPr>
          <w:lang w:val="en-AU"/>
        </w:rPr>
        <w:t>First, three regions</w:t>
      </w:r>
      <w:r w:rsidR="00B466FE" w:rsidRPr="00B466FE">
        <w:rPr>
          <w:lang w:val="en-AU"/>
        </w:rPr>
        <w:t xml:space="preserve"> </w:t>
      </w:r>
      <w:r w:rsidR="00B466FE">
        <w:rPr>
          <w:lang w:val="en-AU"/>
        </w:rPr>
        <w:t>already have more than the national average of SDA dwelling placements relative their population and also already have more new investment in SDA relative to their population</w:t>
      </w:r>
      <w:r w:rsidR="003E1EF5">
        <w:rPr>
          <w:lang w:val="en-AU"/>
        </w:rPr>
        <w:t xml:space="preserve"> than the national average</w:t>
      </w:r>
      <w:r w:rsidR="00B466FE">
        <w:rPr>
          <w:lang w:val="en-AU"/>
        </w:rPr>
        <w:t xml:space="preserve">. </w:t>
      </w:r>
      <w:r>
        <w:rPr>
          <w:lang w:val="en-AU"/>
        </w:rPr>
        <w:t xml:space="preserve">These regions are: </w:t>
      </w:r>
    </w:p>
    <w:p w:rsidR="003E1EF5" w:rsidRDefault="006C5BC1" w:rsidP="003E1EF5">
      <w:pPr>
        <w:pStyle w:val="ListParagraph"/>
        <w:numPr>
          <w:ilvl w:val="0"/>
          <w:numId w:val="20"/>
        </w:numPr>
        <w:rPr>
          <w:lang w:val="en-AU"/>
        </w:rPr>
      </w:pPr>
      <w:r w:rsidRPr="003E1EF5">
        <w:rPr>
          <w:lang w:val="en-AU"/>
        </w:rPr>
        <w:t>NSW - Sydney – Parramatta</w:t>
      </w:r>
      <w:r w:rsidR="003E1EF5">
        <w:rPr>
          <w:lang w:val="en-AU"/>
        </w:rPr>
        <w:t>;</w:t>
      </w:r>
    </w:p>
    <w:p w:rsidR="003E1EF5" w:rsidRDefault="006C5BC1" w:rsidP="003E1EF5">
      <w:pPr>
        <w:pStyle w:val="ListParagraph"/>
        <w:numPr>
          <w:ilvl w:val="0"/>
          <w:numId w:val="20"/>
        </w:numPr>
        <w:rPr>
          <w:lang w:val="en-AU"/>
        </w:rPr>
      </w:pPr>
      <w:r w:rsidRPr="003E1EF5">
        <w:rPr>
          <w:lang w:val="en-AU"/>
        </w:rPr>
        <w:t xml:space="preserve">NSW - Sydney </w:t>
      </w:r>
      <w:r w:rsidR="005F3B4D">
        <w:rPr>
          <w:lang w:val="en-AU"/>
        </w:rPr>
        <w:t>–</w:t>
      </w:r>
      <w:r w:rsidRPr="003E1EF5">
        <w:rPr>
          <w:lang w:val="en-AU"/>
        </w:rPr>
        <w:t xml:space="preserve"> Northern</w:t>
      </w:r>
      <w:r w:rsidR="005F3B4D">
        <w:rPr>
          <w:lang w:val="en-AU"/>
        </w:rPr>
        <w:t xml:space="preserve"> </w:t>
      </w:r>
      <w:r w:rsidRPr="003E1EF5">
        <w:rPr>
          <w:lang w:val="en-AU"/>
        </w:rPr>
        <w:t>Beaches</w:t>
      </w:r>
      <w:r w:rsidR="003E1EF5">
        <w:rPr>
          <w:lang w:val="en-AU"/>
        </w:rPr>
        <w:t>; and</w:t>
      </w:r>
    </w:p>
    <w:p w:rsidR="003E1EF5" w:rsidRPr="003E1EF5" w:rsidRDefault="006C5BC1" w:rsidP="003E1EF5">
      <w:pPr>
        <w:pStyle w:val="ListParagraph"/>
        <w:numPr>
          <w:ilvl w:val="0"/>
          <w:numId w:val="20"/>
        </w:numPr>
        <w:rPr>
          <w:lang w:val="en-AU"/>
        </w:rPr>
      </w:pPr>
      <w:r w:rsidRPr="003E1EF5">
        <w:rPr>
          <w:lang w:val="en-AU"/>
        </w:rPr>
        <w:t xml:space="preserve">NSW - Sydney – Ryde. </w:t>
      </w:r>
    </w:p>
    <w:p w:rsidR="009A174A" w:rsidRDefault="006C5BC1" w:rsidP="006C5BC1">
      <w:pPr>
        <w:rPr>
          <w:lang w:val="en-AU"/>
        </w:rPr>
      </w:pPr>
      <w:r>
        <w:rPr>
          <w:lang w:val="en-AU"/>
        </w:rPr>
        <w:t>Although these regions were mentioned in submissions, the Review did not consider there was any reason to adjust location factors for these regions, as they were clearly already attracting a significant level of investment. For example, although seven (7) s</w:t>
      </w:r>
      <w:r w:rsidRPr="006C5BC1">
        <w:rPr>
          <w:lang w:val="en-AU"/>
        </w:rPr>
        <w:t>ubmissions raised concerns about the investability of SDA in the Sy</w:t>
      </w:r>
      <w:r>
        <w:rPr>
          <w:lang w:val="en-AU"/>
        </w:rPr>
        <w:t xml:space="preserve">dney – Northern Beaches region, the Review noted that </w:t>
      </w:r>
      <w:r w:rsidRPr="006C5BC1">
        <w:rPr>
          <w:lang w:val="en-AU"/>
        </w:rPr>
        <w:t xml:space="preserve">there </w:t>
      </w:r>
      <w:r>
        <w:rPr>
          <w:lang w:val="en-AU"/>
        </w:rPr>
        <w:t xml:space="preserve">had already been eight (8) New Builds </w:t>
      </w:r>
      <w:r w:rsidRPr="006C5BC1">
        <w:rPr>
          <w:lang w:val="en-AU"/>
        </w:rPr>
        <w:t>in the region</w:t>
      </w:r>
      <w:r w:rsidR="00F17772">
        <w:rPr>
          <w:lang w:val="en-AU"/>
        </w:rPr>
        <w:t xml:space="preserve"> as at the last quarter – a doubling from the previous quarter –</w:t>
      </w:r>
      <w:r w:rsidR="00F17772" w:rsidRPr="006C5BC1">
        <w:rPr>
          <w:lang w:val="en-AU"/>
        </w:rPr>
        <w:t xml:space="preserve"> </w:t>
      </w:r>
      <w:r w:rsidRPr="006C5BC1">
        <w:rPr>
          <w:lang w:val="en-AU"/>
        </w:rPr>
        <w:t>so the case for an increased location factor for this re</w:t>
      </w:r>
      <w:r>
        <w:rPr>
          <w:lang w:val="en-AU"/>
        </w:rPr>
        <w:t>gion was no</w:t>
      </w:r>
      <w:r w:rsidR="003E1EF5">
        <w:rPr>
          <w:lang w:val="en-AU"/>
        </w:rPr>
        <w:t>t</w:t>
      </w:r>
      <w:r>
        <w:rPr>
          <w:lang w:val="en-AU"/>
        </w:rPr>
        <w:t xml:space="preserve"> considered to be </w:t>
      </w:r>
      <w:r w:rsidRPr="006C5BC1">
        <w:rPr>
          <w:lang w:val="en-AU"/>
        </w:rPr>
        <w:t>strong.</w:t>
      </w:r>
    </w:p>
    <w:p w:rsidR="003E1EF5" w:rsidRDefault="006C5BC1" w:rsidP="006C5BC1">
      <w:pPr>
        <w:rPr>
          <w:lang w:val="en-AU"/>
        </w:rPr>
      </w:pPr>
      <w:r>
        <w:rPr>
          <w:lang w:val="en-AU"/>
        </w:rPr>
        <w:t>Second, two regions already have more new investment in SDA relative to their population</w:t>
      </w:r>
      <w:r w:rsidR="003E1EF5">
        <w:rPr>
          <w:lang w:val="en-AU"/>
        </w:rPr>
        <w:t xml:space="preserve"> than the national average</w:t>
      </w:r>
      <w:r>
        <w:rPr>
          <w:lang w:val="en-AU"/>
        </w:rPr>
        <w:t xml:space="preserve"> but have less than the national average of SDA dwelling placements relative their population. These regions are: </w:t>
      </w:r>
    </w:p>
    <w:p w:rsidR="003E1EF5" w:rsidRDefault="006C5BC1" w:rsidP="003E1EF5">
      <w:pPr>
        <w:pStyle w:val="ListParagraph"/>
        <w:numPr>
          <w:ilvl w:val="0"/>
          <w:numId w:val="20"/>
        </w:numPr>
        <w:rPr>
          <w:lang w:val="en-AU"/>
        </w:rPr>
      </w:pPr>
      <w:r>
        <w:rPr>
          <w:lang w:val="en-AU"/>
        </w:rPr>
        <w:t>VIC – Melbourne – Inner</w:t>
      </w:r>
      <w:r w:rsidR="003E1EF5">
        <w:rPr>
          <w:lang w:val="en-AU"/>
        </w:rPr>
        <w:t>; and</w:t>
      </w:r>
    </w:p>
    <w:p w:rsidR="003E1EF5" w:rsidRDefault="006C5BC1" w:rsidP="003E1EF5">
      <w:pPr>
        <w:pStyle w:val="ListParagraph"/>
        <w:numPr>
          <w:ilvl w:val="0"/>
          <w:numId w:val="20"/>
        </w:numPr>
        <w:rPr>
          <w:lang w:val="en-AU"/>
        </w:rPr>
      </w:pPr>
      <w:r>
        <w:rPr>
          <w:lang w:val="en-AU"/>
        </w:rPr>
        <w:t>QLD –</w:t>
      </w:r>
      <w:r w:rsidR="003E1EF5">
        <w:rPr>
          <w:lang w:val="en-AU"/>
        </w:rPr>
        <w:t xml:space="preserve"> Townsville.</w:t>
      </w:r>
    </w:p>
    <w:p w:rsidR="006C5BC1" w:rsidRDefault="006C5BC1" w:rsidP="006C5BC1">
      <w:pPr>
        <w:rPr>
          <w:lang w:val="en-AU"/>
        </w:rPr>
      </w:pPr>
      <w:r>
        <w:rPr>
          <w:lang w:val="en-AU"/>
        </w:rPr>
        <w:t>Although these regions were mentioned in submissions and are currently undersupplied relative to population, the Revi</w:t>
      </w:r>
      <w:r w:rsidR="00535E2B">
        <w:rPr>
          <w:lang w:val="en-AU"/>
        </w:rPr>
        <w:t>ew did not consider there was a strong</w:t>
      </w:r>
      <w:r>
        <w:rPr>
          <w:lang w:val="en-AU"/>
        </w:rPr>
        <w:t xml:space="preserve"> reason to adjust location factors for these regions, as they were also clearly already attracting a significant level of investment.</w:t>
      </w:r>
    </w:p>
    <w:p w:rsidR="003E1EF5" w:rsidRDefault="003E1EF5" w:rsidP="003E1EF5">
      <w:pPr>
        <w:rPr>
          <w:lang w:val="en-AU"/>
        </w:rPr>
      </w:pPr>
      <w:r>
        <w:rPr>
          <w:lang w:val="en-AU"/>
        </w:rPr>
        <w:t xml:space="preserve">Third, four regions already have more than the national average of SDA dwelling placements relative their population but also have less </w:t>
      </w:r>
      <w:r w:rsidR="00F17772">
        <w:rPr>
          <w:lang w:val="en-AU"/>
        </w:rPr>
        <w:t xml:space="preserve">overall </w:t>
      </w:r>
      <w:r>
        <w:rPr>
          <w:lang w:val="en-AU"/>
        </w:rPr>
        <w:t>investment in SDA relative to their population</w:t>
      </w:r>
      <w:r w:rsidR="00535E2B">
        <w:rPr>
          <w:lang w:val="en-AU"/>
        </w:rPr>
        <w:t xml:space="preserve"> than the national average</w:t>
      </w:r>
      <w:r>
        <w:rPr>
          <w:lang w:val="en-AU"/>
        </w:rPr>
        <w:t xml:space="preserve">. These regions are: </w:t>
      </w:r>
    </w:p>
    <w:p w:rsidR="003E1EF5" w:rsidRDefault="003E1EF5" w:rsidP="003E1EF5">
      <w:pPr>
        <w:pStyle w:val="ListParagraph"/>
        <w:numPr>
          <w:ilvl w:val="0"/>
          <w:numId w:val="20"/>
        </w:numPr>
        <w:rPr>
          <w:lang w:val="en-AU"/>
        </w:rPr>
      </w:pPr>
      <w:r>
        <w:rPr>
          <w:lang w:val="en-AU"/>
        </w:rPr>
        <w:t>NSW - Sydney - Outer South West;</w:t>
      </w:r>
    </w:p>
    <w:p w:rsidR="003E1EF5" w:rsidRDefault="003E1EF5" w:rsidP="003E1EF5">
      <w:pPr>
        <w:pStyle w:val="ListParagraph"/>
        <w:numPr>
          <w:ilvl w:val="0"/>
          <w:numId w:val="20"/>
        </w:numPr>
        <w:rPr>
          <w:lang w:val="en-AU"/>
        </w:rPr>
      </w:pPr>
      <w:r>
        <w:rPr>
          <w:lang w:val="en-AU"/>
        </w:rPr>
        <w:t>VIC - Melbourne - Inner East;</w:t>
      </w:r>
    </w:p>
    <w:p w:rsidR="003E1EF5" w:rsidRDefault="003E1EF5" w:rsidP="003E1EF5">
      <w:pPr>
        <w:pStyle w:val="ListParagraph"/>
        <w:numPr>
          <w:ilvl w:val="0"/>
          <w:numId w:val="20"/>
        </w:numPr>
        <w:rPr>
          <w:lang w:val="en-AU"/>
        </w:rPr>
      </w:pPr>
      <w:r>
        <w:rPr>
          <w:lang w:val="en-AU"/>
        </w:rPr>
        <w:t>NSW - Sydney - Inner West; and</w:t>
      </w:r>
    </w:p>
    <w:p w:rsidR="003E1EF5" w:rsidRDefault="003E1EF5" w:rsidP="003E1EF5">
      <w:pPr>
        <w:pStyle w:val="ListParagraph"/>
        <w:numPr>
          <w:ilvl w:val="0"/>
          <w:numId w:val="20"/>
        </w:numPr>
        <w:rPr>
          <w:lang w:val="en-AU"/>
        </w:rPr>
      </w:pPr>
      <w:r w:rsidRPr="003E1EF5">
        <w:rPr>
          <w:lang w:val="en-AU"/>
        </w:rPr>
        <w:t>VIC - Melbourne - Inner South</w:t>
      </w:r>
      <w:r w:rsidR="00114CDB">
        <w:rPr>
          <w:lang w:val="en-AU"/>
        </w:rPr>
        <w:t>.</w:t>
      </w:r>
    </w:p>
    <w:p w:rsidR="003E1EF5" w:rsidRPr="00B466FE" w:rsidRDefault="003E1EF5" w:rsidP="0063536A">
      <w:pPr>
        <w:rPr>
          <w:lang w:val="en-AU"/>
        </w:rPr>
      </w:pPr>
      <w:r>
        <w:rPr>
          <w:lang w:val="en-AU"/>
        </w:rPr>
        <w:t xml:space="preserve">The Review </w:t>
      </w:r>
      <w:r w:rsidR="0063536A">
        <w:rPr>
          <w:lang w:val="en-AU"/>
        </w:rPr>
        <w:t>did not consider that there was a strong case to increase location factors for two of these regions</w:t>
      </w:r>
      <w:r w:rsidR="00436997">
        <w:rPr>
          <w:lang w:val="en-AU"/>
        </w:rPr>
        <w:t>:</w:t>
      </w:r>
      <w:r w:rsidR="0063536A">
        <w:rPr>
          <w:lang w:val="en-AU"/>
        </w:rPr>
        <w:t xml:space="preserve"> </w:t>
      </w:r>
      <w:r w:rsidR="0063536A" w:rsidRPr="0063536A">
        <w:rPr>
          <w:lang w:val="en-AU"/>
        </w:rPr>
        <w:t>Sydn</w:t>
      </w:r>
      <w:r w:rsidR="0063536A">
        <w:rPr>
          <w:lang w:val="en-AU"/>
        </w:rPr>
        <w:t xml:space="preserve">ey - Outer South West and Melbourne - Inner South, as there was </w:t>
      </w:r>
      <w:r w:rsidR="00F17772">
        <w:rPr>
          <w:lang w:val="en-AU"/>
        </w:rPr>
        <w:t xml:space="preserve">increased </w:t>
      </w:r>
      <w:r w:rsidR="0063536A">
        <w:rPr>
          <w:lang w:val="en-AU"/>
        </w:rPr>
        <w:t xml:space="preserve">new investment occurring in these regions. However, the Review </w:t>
      </w:r>
      <w:r>
        <w:rPr>
          <w:lang w:val="en-AU"/>
        </w:rPr>
        <w:t>noted that in two of the regions (</w:t>
      </w:r>
      <w:r w:rsidR="00535E2B">
        <w:rPr>
          <w:lang w:val="en-AU"/>
        </w:rPr>
        <w:t>Melbourne - Inner East and Sydney - Inner West) there has not yet been any new investment in SDA</w:t>
      </w:r>
      <w:r w:rsidR="0063536A">
        <w:rPr>
          <w:lang w:val="en-AU"/>
        </w:rPr>
        <w:t xml:space="preserve"> and that there was therefore some evidence of a need to increase the location factors for these regions</w:t>
      </w:r>
      <w:r w:rsidR="00535E2B">
        <w:rPr>
          <w:lang w:val="en-AU"/>
        </w:rPr>
        <w:t>.</w:t>
      </w:r>
      <w:r w:rsidR="0063536A">
        <w:rPr>
          <w:lang w:val="en-AU"/>
        </w:rPr>
        <w:t xml:space="preserve"> </w:t>
      </w:r>
    </w:p>
    <w:p w:rsidR="00535E2B" w:rsidRDefault="003E1EF5" w:rsidP="006C5BC1">
      <w:pPr>
        <w:rPr>
          <w:lang w:val="en-AU"/>
        </w:rPr>
      </w:pPr>
      <w:r>
        <w:rPr>
          <w:lang w:val="en-AU"/>
        </w:rPr>
        <w:t>Finally</w:t>
      </w:r>
      <w:r w:rsidR="006C5BC1">
        <w:rPr>
          <w:lang w:val="en-AU"/>
        </w:rPr>
        <w:t xml:space="preserve">, four regions have less than the national average of SDA dwelling placements relative their population and also have less new investment in SDA relative to their population. These regions are: </w:t>
      </w:r>
    </w:p>
    <w:p w:rsidR="00535E2B" w:rsidRDefault="006C5BC1" w:rsidP="00535E2B">
      <w:pPr>
        <w:pStyle w:val="ListParagraph"/>
        <w:numPr>
          <w:ilvl w:val="0"/>
          <w:numId w:val="20"/>
        </w:numPr>
        <w:rPr>
          <w:lang w:val="en-AU"/>
        </w:rPr>
      </w:pPr>
      <w:r>
        <w:rPr>
          <w:lang w:val="en-AU"/>
        </w:rPr>
        <w:t>VIC - Melbourne - South East</w:t>
      </w:r>
      <w:r w:rsidR="00535E2B">
        <w:rPr>
          <w:lang w:val="en-AU"/>
        </w:rPr>
        <w:t>;</w:t>
      </w:r>
    </w:p>
    <w:p w:rsidR="00535E2B" w:rsidRDefault="006C5BC1" w:rsidP="00535E2B">
      <w:pPr>
        <w:pStyle w:val="ListParagraph"/>
        <w:numPr>
          <w:ilvl w:val="0"/>
          <w:numId w:val="20"/>
        </w:numPr>
        <w:rPr>
          <w:lang w:val="en-AU"/>
        </w:rPr>
      </w:pPr>
      <w:r w:rsidRPr="006C5BC1">
        <w:rPr>
          <w:lang w:val="en-AU"/>
        </w:rPr>
        <w:t>VIC - Melbourne - Outer East</w:t>
      </w:r>
      <w:r w:rsidR="00535E2B">
        <w:rPr>
          <w:lang w:val="en-AU"/>
        </w:rPr>
        <w:t>;</w:t>
      </w:r>
    </w:p>
    <w:p w:rsidR="00535E2B" w:rsidRDefault="006C5BC1" w:rsidP="00535E2B">
      <w:pPr>
        <w:pStyle w:val="ListParagraph"/>
        <w:numPr>
          <w:ilvl w:val="0"/>
          <w:numId w:val="20"/>
        </w:numPr>
        <w:rPr>
          <w:lang w:val="en-AU"/>
        </w:rPr>
      </w:pPr>
      <w:r w:rsidRPr="006C5BC1">
        <w:rPr>
          <w:lang w:val="en-AU"/>
        </w:rPr>
        <w:t>NSW - Sydney - City &amp; Inner South</w:t>
      </w:r>
      <w:r w:rsidR="00535E2B">
        <w:rPr>
          <w:lang w:val="en-AU"/>
        </w:rPr>
        <w:t xml:space="preserve">; </w:t>
      </w:r>
      <w:r>
        <w:rPr>
          <w:lang w:val="en-AU"/>
        </w:rPr>
        <w:t xml:space="preserve">and </w:t>
      </w:r>
    </w:p>
    <w:p w:rsidR="006C5BC1" w:rsidRDefault="006C5BC1" w:rsidP="00535E2B">
      <w:pPr>
        <w:pStyle w:val="ListParagraph"/>
        <w:numPr>
          <w:ilvl w:val="0"/>
          <w:numId w:val="20"/>
        </w:numPr>
        <w:rPr>
          <w:lang w:val="en-AU"/>
        </w:rPr>
      </w:pPr>
      <w:r w:rsidRPr="006C5BC1">
        <w:rPr>
          <w:lang w:val="en-AU"/>
        </w:rPr>
        <w:t>NSW - Sydney - Eastern Suburbs</w:t>
      </w:r>
      <w:r>
        <w:rPr>
          <w:lang w:val="en-AU"/>
        </w:rPr>
        <w:t xml:space="preserve">. </w:t>
      </w:r>
    </w:p>
    <w:p w:rsidR="00535E2B" w:rsidRDefault="0063536A" w:rsidP="00535E2B">
      <w:pPr>
        <w:rPr>
          <w:lang w:val="en-AU"/>
        </w:rPr>
      </w:pPr>
      <w:r>
        <w:rPr>
          <w:lang w:val="en-AU"/>
        </w:rPr>
        <w:t>This</w:t>
      </w:r>
      <w:r w:rsidR="00040BFA">
        <w:rPr>
          <w:lang w:val="en-AU"/>
        </w:rPr>
        <w:t xml:space="preserve"> evidence suggests</w:t>
      </w:r>
      <w:r w:rsidR="00466CD9" w:rsidRPr="00F64913">
        <w:rPr>
          <w:lang w:val="en-AU"/>
        </w:rPr>
        <w:t xml:space="preserve"> the current </w:t>
      </w:r>
      <w:r w:rsidR="00140C00">
        <w:rPr>
          <w:lang w:val="en-AU"/>
        </w:rPr>
        <w:t>location factors for</w:t>
      </w:r>
      <w:r w:rsidR="00466CD9" w:rsidRPr="00F64913">
        <w:rPr>
          <w:lang w:val="en-AU"/>
        </w:rPr>
        <w:t xml:space="preserve"> these locations </w:t>
      </w:r>
      <w:r w:rsidR="00F513CD" w:rsidRPr="00F64913">
        <w:rPr>
          <w:lang w:val="en-AU"/>
        </w:rPr>
        <w:t>a</w:t>
      </w:r>
      <w:r w:rsidR="00466CD9" w:rsidRPr="00F64913">
        <w:rPr>
          <w:lang w:val="en-AU"/>
        </w:rPr>
        <w:t xml:space="preserve">s too low to support </w:t>
      </w:r>
      <w:r w:rsidR="008433E6" w:rsidRPr="00F64913">
        <w:rPr>
          <w:lang w:val="en-AU"/>
        </w:rPr>
        <w:t xml:space="preserve">sufficient </w:t>
      </w:r>
      <w:r w:rsidR="00466CD9" w:rsidRPr="00F64913">
        <w:rPr>
          <w:lang w:val="en-AU"/>
        </w:rPr>
        <w:t xml:space="preserve">investment in the whole </w:t>
      </w:r>
      <w:r w:rsidR="00140C00">
        <w:rPr>
          <w:lang w:val="en-AU"/>
        </w:rPr>
        <w:t xml:space="preserve">area </w:t>
      </w:r>
      <w:r w:rsidR="00466CD9" w:rsidRPr="00F64913">
        <w:rPr>
          <w:lang w:val="en-AU"/>
        </w:rPr>
        <w:t xml:space="preserve">or within key parts of the </w:t>
      </w:r>
      <w:r w:rsidR="00140C00">
        <w:rPr>
          <w:lang w:val="en-AU"/>
        </w:rPr>
        <w:t>area</w:t>
      </w:r>
      <w:r w:rsidR="00466CD9" w:rsidRPr="00F64913">
        <w:rPr>
          <w:lang w:val="en-AU"/>
        </w:rPr>
        <w:t>.</w:t>
      </w:r>
    </w:p>
    <w:p w:rsidR="00535E2B" w:rsidRDefault="00535E2B" w:rsidP="00535E2B">
      <w:pPr>
        <w:rPr>
          <w:lang w:val="en-AU"/>
        </w:rPr>
      </w:pPr>
      <w:r>
        <w:rPr>
          <w:lang w:val="en-AU"/>
        </w:rPr>
        <w:t>Submissions also indicated that c</w:t>
      </w:r>
      <w:r w:rsidRPr="00F64913">
        <w:rPr>
          <w:lang w:val="en-AU"/>
        </w:rPr>
        <w:t xml:space="preserve">hanges </w:t>
      </w:r>
      <w:r>
        <w:rPr>
          <w:lang w:val="en-AU"/>
        </w:rPr>
        <w:t>were</w:t>
      </w:r>
      <w:r w:rsidRPr="00F64913">
        <w:rPr>
          <w:lang w:val="en-AU"/>
        </w:rPr>
        <w:t xml:space="preserve"> mostly required to</w:t>
      </w:r>
      <w:r w:rsidR="0063536A">
        <w:rPr>
          <w:lang w:val="en-AU"/>
        </w:rPr>
        <w:t xml:space="preserve"> location factors for apartments, with the exception of the Melbourne – South East region</w:t>
      </w:r>
      <w:r w:rsidRPr="00F64913">
        <w:rPr>
          <w:lang w:val="en-AU"/>
        </w:rPr>
        <w:t>. This reflects the importance of apartments to participant choices in areas where lower density housing is not common and where other factors are likely to be affecting the viability of freestanding projects, such as th</w:t>
      </w:r>
      <w:r w:rsidR="00A3319D">
        <w:rPr>
          <w:lang w:val="en-AU"/>
        </w:rPr>
        <w:t>e scarcity of appropriate land</w:t>
      </w:r>
      <w:r w:rsidR="0063536A">
        <w:rPr>
          <w:lang w:val="en-AU"/>
        </w:rPr>
        <w:t>.</w:t>
      </w:r>
      <w:r w:rsidR="00436997">
        <w:rPr>
          <w:lang w:val="en-AU"/>
        </w:rPr>
        <w:t xml:space="preserve">  Conversely, Melbourne – South East extends into outer </w:t>
      </w:r>
      <w:r w:rsidR="00592F14">
        <w:rPr>
          <w:lang w:val="en-AU"/>
        </w:rPr>
        <w:t>suburban areas where there is ongoing building of new houses, and hence a need to address location factors for this type of dwelling.</w:t>
      </w:r>
    </w:p>
    <w:p w:rsidR="00826924" w:rsidRDefault="00826924" w:rsidP="00826924">
      <w:pPr>
        <w:rPr>
          <w:b/>
          <w:lang w:val="en-AU"/>
        </w:rPr>
      </w:pPr>
      <w:r>
        <w:rPr>
          <w:b/>
          <w:lang w:val="en-AU"/>
        </w:rPr>
        <w:t>T</w:t>
      </w:r>
      <w:r w:rsidRPr="00685937">
        <w:rPr>
          <w:b/>
          <w:lang w:val="en-AU"/>
        </w:rPr>
        <w:t xml:space="preserve">he Review therefore recommends that </w:t>
      </w:r>
      <w:r>
        <w:rPr>
          <w:b/>
          <w:lang w:val="en-AU"/>
        </w:rPr>
        <w:t xml:space="preserve">the NDIA should increase </w:t>
      </w:r>
      <w:r w:rsidRPr="00685937">
        <w:rPr>
          <w:b/>
          <w:lang w:val="en-AU"/>
        </w:rPr>
        <w:t xml:space="preserve">the location factors for the locations </w:t>
      </w:r>
      <w:r w:rsidR="0063536A">
        <w:rPr>
          <w:b/>
          <w:lang w:val="en-AU"/>
        </w:rPr>
        <w:t xml:space="preserve">set </w:t>
      </w:r>
      <w:r w:rsidR="0063536A" w:rsidRPr="00357512">
        <w:rPr>
          <w:b/>
          <w:lang w:val="en-AU"/>
        </w:rPr>
        <w:t xml:space="preserve">out in </w:t>
      </w:r>
      <w:r w:rsidR="0063536A" w:rsidRPr="00357512">
        <w:rPr>
          <w:b/>
          <w:lang w:val="en-AU"/>
        </w:rPr>
        <w:fldChar w:fldCharType="begin"/>
      </w:r>
      <w:r w:rsidR="0063536A" w:rsidRPr="00357512">
        <w:rPr>
          <w:b/>
          <w:lang w:val="en-AU"/>
        </w:rPr>
        <w:instrText xml:space="preserve"> REF _Ref16544418 \h  \* MERGEFORMAT </w:instrText>
      </w:r>
      <w:r w:rsidR="0063536A" w:rsidRPr="00357512">
        <w:rPr>
          <w:b/>
          <w:lang w:val="en-AU"/>
        </w:rPr>
      </w:r>
      <w:r w:rsidR="0063536A" w:rsidRPr="00357512">
        <w:rPr>
          <w:b/>
          <w:lang w:val="en-AU"/>
        </w:rPr>
        <w:fldChar w:fldCharType="separate"/>
      </w:r>
      <w:r w:rsidR="00A3319D" w:rsidRPr="00A3319D">
        <w:rPr>
          <w:b/>
          <w:lang w:val="en-AU"/>
        </w:rPr>
        <w:t xml:space="preserve">Table </w:t>
      </w:r>
      <w:r w:rsidR="00A3319D" w:rsidRPr="00A3319D">
        <w:rPr>
          <w:b/>
          <w:noProof/>
          <w:lang w:val="en-AU"/>
        </w:rPr>
        <w:t>8</w:t>
      </w:r>
      <w:r w:rsidR="0063536A" w:rsidRPr="00357512">
        <w:rPr>
          <w:b/>
          <w:lang w:val="en-AU"/>
        </w:rPr>
        <w:fldChar w:fldCharType="end"/>
      </w:r>
      <w:r w:rsidR="0063536A">
        <w:rPr>
          <w:b/>
          <w:lang w:val="en-AU"/>
        </w:rPr>
        <w:t xml:space="preserve"> on page </w:t>
      </w:r>
      <w:r w:rsidR="0063536A">
        <w:rPr>
          <w:b/>
          <w:lang w:val="en-AU"/>
        </w:rPr>
        <w:fldChar w:fldCharType="begin"/>
      </w:r>
      <w:r w:rsidR="0063536A">
        <w:rPr>
          <w:b/>
          <w:lang w:val="en-AU"/>
        </w:rPr>
        <w:instrText xml:space="preserve"> PAGEREF _Ref16546078 \h </w:instrText>
      </w:r>
      <w:r w:rsidR="0063536A">
        <w:rPr>
          <w:b/>
          <w:lang w:val="en-AU"/>
        </w:rPr>
      </w:r>
      <w:r w:rsidR="0063536A">
        <w:rPr>
          <w:b/>
          <w:lang w:val="en-AU"/>
        </w:rPr>
        <w:fldChar w:fldCharType="separate"/>
      </w:r>
      <w:r w:rsidR="00A3319D">
        <w:rPr>
          <w:b/>
          <w:noProof/>
          <w:lang w:val="en-AU"/>
        </w:rPr>
        <w:t>20</w:t>
      </w:r>
      <w:r w:rsidR="0063536A">
        <w:rPr>
          <w:b/>
          <w:lang w:val="en-AU"/>
        </w:rPr>
        <w:fldChar w:fldCharType="end"/>
      </w:r>
      <w:r w:rsidR="0063536A">
        <w:rPr>
          <w:b/>
          <w:lang w:val="en-AU"/>
        </w:rPr>
        <w:t xml:space="preserve"> below</w:t>
      </w:r>
      <w:r w:rsidR="0063536A" w:rsidRPr="00685937">
        <w:rPr>
          <w:b/>
          <w:lang w:val="en-AU"/>
        </w:rPr>
        <w:t xml:space="preserve"> </w:t>
      </w:r>
      <w:r w:rsidRPr="00685937">
        <w:rPr>
          <w:b/>
          <w:lang w:val="en-AU"/>
        </w:rPr>
        <w:t xml:space="preserve">by </w:t>
      </w:r>
      <w:r>
        <w:rPr>
          <w:b/>
          <w:lang w:val="en-AU"/>
        </w:rPr>
        <w:t>b</w:t>
      </w:r>
      <w:r w:rsidRPr="00685937">
        <w:rPr>
          <w:b/>
          <w:lang w:val="en-AU"/>
        </w:rPr>
        <w:t xml:space="preserve">etween </w:t>
      </w:r>
      <w:r w:rsidR="00D4736D">
        <w:rPr>
          <w:b/>
          <w:lang w:val="en-AU"/>
        </w:rPr>
        <w:t>4.0</w:t>
      </w:r>
      <w:r w:rsidRPr="00685937">
        <w:rPr>
          <w:b/>
          <w:lang w:val="en-AU"/>
        </w:rPr>
        <w:t xml:space="preserve"> per cent and </w:t>
      </w:r>
      <w:r>
        <w:rPr>
          <w:b/>
          <w:lang w:val="en-AU"/>
        </w:rPr>
        <w:t xml:space="preserve">10.5 per cent, </w:t>
      </w:r>
      <w:r w:rsidRPr="00685937">
        <w:rPr>
          <w:b/>
          <w:lang w:val="en-AU"/>
        </w:rPr>
        <w:t>depending on location and type of building</w:t>
      </w:r>
      <w:r>
        <w:rPr>
          <w:b/>
          <w:lang w:val="en-AU"/>
        </w:rPr>
        <w:t>, to stimulate supply</w:t>
      </w:r>
      <w:r w:rsidRPr="00685937">
        <w:rPr>
          <w:b/>
          <w:lang w:val="en-AU"/>
        </w:rPr>
        <w:t xml:space="preserve">. </w:t>
      </w:r>
    </w:p>
    <w:p w:rsidR="00321A40" w:rsidRDefault="00321A40" w:rsidP="004C1D90">
      <w:pPr>
        <w:pStyle w:val="ListParagraph"/>
        <w:numPr>
          <w:ilvl w:val="0"/>
          <w:numId w:val="20"/>
        </w:numPr>
        <w:rPr>
          <w:lang w:val="en-AU"/>
        </w:rPr>
      </w:pPr>
      <w:r>
        <w:rPr>
          <w:lang w:val="en-AU"/>
        </w:rPr>
        <w:t xml:space="preserve">For most of these regions, the recommended price limit increases are </w:t>
      </w:r>
      <w:r w:rsidR="00D4736D">
        <w:rPr>
          <w:lang w:val="en-AU"/>
        </w:rPr>
        <w:t>between</w:t>
      </w:r>
      <w:r>
        <w:rPr>
          <w:lang w:val="en-AU"/>
        </w:rPr>
        <w:t xml:space="preserve"> 4 </w:t>
      </w:r>
      <w:r w:rsidR="00D4736D">
        <w:rPr>
          <w:lang w:val="en-AU"/>
        </w:rPr>
        <w:t>and</w:t>
      </w:r>
      <w:r>
        <w:rPr>
          <w:lang w:val="en-AU"/>
        </w:rPr>
        <w:t xml:space="preserve"> 5</w:t>
      </w:r>
      <w:r w:rsidR="00D4736D">
        <w:rPr>
          <w:lang w:val="en-AU"/>
        </w:rPr>
        <w:t>.5</w:t>
      </w:r>
      <w:r>
        <w:rPr>
          <w:lang w:val="en-AU"/>
        </w:rPr>
        <w:t xml:space="preserve"> per cent.  </w:t>
      </w:r>
      <w:r w:rsidR="00592F14">
        <w:rPr>
          <w:lang w:val="en-AU"/>
        </w:rPr>
        <w:t>However, f</w:t>
      </w:r>
      <w:r>
        <w:rPr>
          <w:lang w:val="en-AU"/>
        </w:rPr>
        <w:t xml:space="preserve">or Sydney-Inner West </w:t>
      </w:r>
      <w:r w:rsidR="00A328EC">
        <w:rPr>
          <w:lang w:val="en-AU"/>
        </w:rPr>
        <w:t xml:space="preserve">there is a </w:t>
      </w:r>
      <w:r>
        <w:rPr>
          <w:lang w:val="en-AU"/>
        </w:rPr>
        <w:t xml:space="preserve">dearth of new builds </w:t>
      </w:r>
      <w:r w:rsidR="00D4736D">
        <w:rPr>
          <w:lang w:val="en-AU"/>
        </w:rPr>
        <w:t xml:space="preserve">- </w:t>
      </w:r>
      <w:r w:rsidR="00592F14">
        <w:rPr>
          <w:lang w:val="en-AU"/>
        </w:rPr>
        <w:t xml:space="preserve">against </w:t>
      </w:r>
      <w:r>
        <w:rPr>
          <w:lang w:val="en-AU"/>
        </w:rPr>
        <w:t>large numbers of new builds in neighbouring regions</w:t>
      </w:r>
      <w:r w:rsidR="00592F14">
        <w:rPr>
          <w:lang w:val="en-AU"/>
        </w:rPr>
        <w:t>.  Accordingly</w:t>
      </w:r>
      <w:r w:rsidR="00A328EC">
        <w:rPr>
          <w:lang w:val="en-AU"/>
        </w:rPr>
        <w:t xml:space="preserve">, location </w:t>
      </w:r>
      <w:r w:rsidR="00592F14">
        <w:rPr>
          <w:lang w:val="en-AU"/>
        </w:rPr>
        <w:t>factors</w:t>
      </w:r>
      <w:r w:rsidR="00A328EC">
        <w:rPr>
          <w:lang w:val="en-AU"/>
        </w:rPr>
        <w:t xml:space="preserve"> for Sydney-Inner West ha</w:t>
      </w:r>
      <w:r w:rsidR="00592F14">
        <w:rPr>
          <w:lang w:val="en-AU"/>
        </w:rPr>
        <w:t>ve</w:t>
      </w:r>
      <w:r w:rsidR="00A328EC">
        <w:rPr>
          <w:lang w:val="en-AU"/>
        </w:rPr>
        <w:t xml:space="preserve"> been increased to comparable </w:t>
      </w:r>
      <w:r w:rsidR="00592F14">
        <w:rPr>
          <w:lang w:val="en-AU"/>
        </w:rPr>
        <w:t>absolute levels for Sydney-</w:t>
      </w:r>
      <w:r w:rsidR="00A328EC">
        <w:rPr>
          <w:lang w:val="en-AU"/>
        </w:rPr>
        <w:t xml:space="preserve"> </w:t>
      </w:r>
      <w:r w:rsidR="00436997">
        <w:rPr>
          <w:lang w:val="en-AU"/>
        </w:rPr>
        <w:t>City and Inner South, and Sydney-Eastern Suburbs</w:t>
      </w:r>
      <w:r>
        <w:rPr>
          <w:lang w:val="en-AU"/>
        </w:rPr>
        <w:t>.</w:t>
      </w:r>
    </w:p>
    <w:p w:rsidR="00826924" w:rsidRPr="00EA479A" w:rsidRDefault="00826924" w:rsidP="00826924">
      <w:pPr>
        <w:rPr>
          <w:lang w:val="en-AU"/>
        </w:rPr>
      </w:pPr>
      <w:r>
        <w:rPr>
          <w:lang w:val="en-AU"/>
        </w:rPr>
        <w:t>The pro</w:t>
      </w:r>
      <w:r w:rsidRPr="00EA479A">
        <w:rPr>
          <w:lang w:val="en-AU"/>
        </w:rPr>
        <w:t>posed</w:t>
      </w:r>
      <w:r>
        <w:rPr>
          <w:lang w:val="en-AU"/>
        </w:rPr>
        <w:t xml:space="preserve"> new location factors are based on</w:t>
      </w:r>
      <w:r w:rsidR="00A3319D">
        <w:rPr>
          <w:lang w:val="en-AU"/>
        </w:rPr>
        <w:t xml:space="preserve"> those in surrounding areas where investment i</w:t>
      </w:r>
      <w:r w:rsidR="00632A03">
        <w:rPr>
          <w:lang w:val="en-AU"/>
        </w:rPr>
        <w:t>s</w:t>
      </w:r>
      <w:r w:rsidR="00A3319D">
        <w:rPr>
          <w:lang w:val="en-AU"/>
        </w:rPr>
        <w:t xml:space="preserve"> occurring and on</w:t>
      </w:r>
      <w:r>
        <w:rPr>
          <w:lang w:val="en-AU"/>
        </w:rPr>
        <w:t xml:space="preserve"> </w:t>
      </w:r>
      <w:r w:rsidR="00A3319D">
        <w:rPr>
          <w:lang w:val="en-AU"/>
        </w:rPr>
        <w:t xml:space="preserve">the </w:t>
      </w:r>
      <w:r>
        <w:rPr>
          <w:lang w:val="en-AU"/>
        </w:rPr>
        <w:t>conservative approach that a gradual increase in the</w:t>
      </w:r>
      <w:r w:rsidRPr="00F64913">
        <w:rPr>
          <w:lang w:val="en-AU"/>
        </w:rPr>
        <w:t xml:space="preserve"> </w:t>
      </w:r>
      <w:r w:rsidR="006773BA">
        <w:rPr>
          <w:lang w:val="en-AU"/>
        </w:rPr>
        <w:t>price cap</w:t>
      </w:r>
      <w:r w:rsidRPr="00F64913">
        <w:rPr>
          <w:lang w:val="en-AU"/>
        </w:rPr>
        <w:t xml:space="preserve">s </w:t>
      </w:r>
      <w:r>
        <w:rPr>
          <w:lang w:val="en-AU"/>
        </w:rPr>
        <w:t xml:space="preserve">is the most appropriate way to find the </w:t>
      </w:r>
      <w:r w:rsidR="006773BA">
        <w:rPr>
          <w:lang w:val="en-AU"/>
        </w:rPr>
        <w:t>price cap</w:t>
      </w:r>
      <w:r>
        <w:rPr>
          <w:lang w:val="en-AU"/>
        </w:rPr>
        <w:t xml:space="preserve"> at which additional supply </w:t>
      </w:r>
      <w:r w:rsidR="00A3319D">
        <w:rPr>
          <w:lang w:val="en-AU"/>
        </w:rPr>
        <w:t>will</w:t>
      </w:r>
      <w:r>
        <w:rPr>
          <w:lang w:val="en-AU"/>
        </w:rPr>
        <w:t xml:space="preserve"> be generated.</w:t>
      </w:r>
    </w:p>
    <w:p w:rsidR="00873314" w:rsidRDefault="00873314" w:rsidP="00685937">
      <w:pPr>
        <w:rPr>
          <w:b/>
          <w:lang w:val="en-AU"/>
        </w:rPr>
        <w:sectPr w:rsidR="00873314" w:rsidSect="003E7742">
          <w:pgSz w:w="11906" w:h="16838" w:code="9"/>
          <w:pgMar w:top="1440" w:right="1440" w:bottom="1440" w:left="1440" w:header="709" w:footer="709" w:gutter="0"/>
          <w:pgNumType w:start="9"/>
          <w:cols w:space="708"/>
          <w:docGrid w:linePitch="360"/>
        </w:sectPr>
      </w:pPr>
    </w:p>
    <w:p w:rsidR="00685937" w:rsidRPr="00685937" w:rsidRDefault="00685937" w:rsidP="00685937">
      <w:pPr>
        <w:pStyle w:val="Caption"/>
        <w:rPr>
          <w:lang w:val="en-AU"/>
        </w:rPr>
      </w:pPr>
      <w:bookmarkStart w:id="48" w:name="_Ref16544418"/>
      <w:bookmarkStart w:id="49" w:name="_Ref16546078"/>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8</w:t>
      </w:r>
      <w:r w:rsidRPr="00F64913">
        <w:rPr>
          <w:lang w:val="en-AU"/>
        </w:rPr>
        <w:fldChar w:fldCharType="end"/>
      </w:r>
      <w:bookmarkEnd w:id="48"/>
      <w:r w:rsidRPr="00F64913">
        <w:rPr>
          <w:lang w:val="en-AU"/>
        </w:rPr>
        <w:t xml:space="preserve">: </w:t>
      </w:r>
      <w:r w:rsidR="00357512">
        <w:rPr>
          <w:lang w:val="en-AU"/>
        </w:rPr>
        <w:t>Recommended Adjustments to Location Factors</w:t>
      </w:r>
      <w:bookmarkEnd w:id="49"/>
    </w:p>
    <w:tbl>
      <w:tblPr>
        <w:tblStyle w:val="GridTable4-Accent4"/>
        <w:tblW w:w="5000" w:type="pct"/>
        <w:tblLook w:val="04A0" w:firstRow="1" w:lastRow="0" w:firstColumn="1" w:lastColumn="0" w:noHBand="0" w:noVBand="1"/>
        <w:tblCaption w:val="Location Factors"/>
        <w:tblDescription w:val="Table describes the weighting factors applied by location to various accommodation types"/>
      </w:tblPr>
      <w:tblGrid>
        <w:gridCol w:w="4694"/>
        <w:gridCol w:w="789"/>
        <w:gridCol w:w="789"/>
        <w:gridCol w:w="789"/>
        <w:gridCol w:w="792"/>
        <w:gridCol w:w="829"/>
        <w:gridCol w:w="829"/>
        <w:gridCol w:w="831"/>
        <w:gridCol w:w="672"/>
        <w:gridCol w:w="789"/>
        <w:gridCol w:w="1308"/>
        <w:gridCol w:w="837"/>
      </w:tblGrid>
      <w:tr w:rsidR="00762D79" w:rsidRPr="00357512" w:rsidTr="006353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3" w:type="pct"/>
            <w:noWrap/>
            <w:vAlign w:val="center"/>
          </w:tcPr>
          <w:p w:rsidR="00762D79" w:rsidRPr="00357512" w:rsidRDefault="00762D79" w:rsidP="00357512">
            <w:pPr>
              <w:spacing w:before="40" w:after="40" w:line="200" w:lineRule="atLeast"/>
              <w:ind w:left="108"/>
              <w:jc w:val="right"/>
              <w:rPr>
                <w:rFonts w:cstheme="minorHAnsi"/>
                <w:szCs w:val="18"/>
                <w:lang w:val="en-AU"/>
              </w:rPr>
            </w:pPr>
            <w:r w:rsidRPr="00357512">
              <w:rPr>
                <w:rFonts w:cstheme="minorHAnsi"/>
                <w:szCs w:val="18"/>
                <w:lang w:val="en-AU"/>
              </w:rPr>
              <w:t>Building Type</w:t>
            </w:r>
          </w:p>
        </w:tc>
        <w:tc>
          <w:tcPr>
            <w:tcW w:w="1133" w:type="pct"/>
            <w:gridSpan w:val="4"/>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Apartment</w:t>
            </w:r>
          </w:p>
        </w:tc>
        <w:tc>
          <w:tcPr>
            <w:tcW w:w="892" w:type="pct"/>
            <w:gridSpan w:val="3"/>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Villa / Duplex / Townhouse</w:t>
            </w:r>
          </w:p>
        </w:tc>
        <w:tc>
          <w:tcPr>
            <w:tcW w:w="524" w:type="pct"/>
            <w:gridSpan w:val="2"/>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House</w:t>
            </w:r>
          </w:p>
        </w:tc>
        <w:tc>
          <w:tcPr>
            <w:tcW w:w="469" w:type="pct"/>
            <w:noWrap/>
            <w:vAlign w:val="center"/>
          </w:tcPr>
          <w:p w:rsidR="00762D79" w:rsidRPr="00357512" w:rsidRDefault="00762D79" w:rsidP="00762D79">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Group Home</w:t>
            </w:r>
          </w:p>
        </w:tc>
        <w:tc>
          <w:tcPr>
            <w:tcW w:w="300" w:type="pct"/>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Legacy</w:t>
            </w:r>
          </w:p>
        </w:tc>
      </w:tr>
      <w:tr w:rsidR="00762D79" w:rsidRPr="00357512" w:rsidTr="006353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3" w:type="pct"/>
            <w:noWrap/>
            <w:vAlign w:val="center"/>
          </w:tcPr>
          <w:p w:rsidR="00762D79" w:rsidRPr="00357512" w:rsidRDefault="00762D79" w:rsidP="00357512">
            <w:pPr>
              <w:spacing w:before="40" w:after="40" w:line="200" w:lineRule="atLeast"/>
              <w:ind w:left="108"/>
              <w:jc w:val="right"/>
              <w:rPr>
                <w:rFonts w:cstheme="minorHAnsi"/>
                <w:szCs w:val="18"/>
                <w:lang w:val="en-AU"/>
              </w:rPr>
            </w:pPr>
            <w:r w:rsidRPr="00357512">
              <w:rPr>
                <w:rFonts w:cstheme="minorHAnsi"/>
                <w:szCs w:val="18"/>
                <w:lang w:val="en-AU"/>
              </w:rPr>
              <w:t>Bedrooms</w:t>
            </w:r>
          </w:p>
        </w:tc>
        <w:tc>
          <w:tcPr>
            <w:tcW w:w="283" w:type="pct"/>
            <w:noWrap/>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w:t>
            </w:r>
          </w:p>
        </w:tc>
        <w:tc>
          <w:tcPr>
            <w:tcW w:w="283" w:type="pct"/>
            <w:noWrap/>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83"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83"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3</w:t>
            </w: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241"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283"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469"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300" w:type="pct"/>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r>
      <w:tr w:rsidR="00762D79" w:rsidRPr="00357512" w:rsidTr="006353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3" w:type="pct"/>
            <w:noWrap/>
            <w:vAlign w:val="center"/>
          </w:tcPr>
          <w:p w:rsidR="00762D79" w:rsidRPr="00357512" w:rsidRDefault="00762D79" w:rsidP="00357512">
            <w:pPr>
              <w:spacing w:before="40" w:after="40" w:line="200" w:lineRule="atLeast"/>
              <w:ind w:left="108"/>
              <w:jc w:val="right"/>
              <w:rPr>
                <w:rFonts w:cstheme="minorHAnsi"/>
                <w:szCs w:val="18"/>
                <w:lang w:val="en-AU"/>
              </w:rPr>
            </w:pPr>
            <w:r w:rsidRPr="00357512">
              <w:rPr>
                <w:rFonts w:cstheme="minorHAnsi"/>
                <w:szCs w:val="18"/>
                <w:lang w:val="en-AU"/>
              </w:rPr>
              <w:t>Residents</w:t>
            </w:r>
          </w:p>
        </w:tc>
        <w:tc>
          <w:tcPr>
            <w:tcW w:w="283" w:type="pct"/>
            <w:noWrap/>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w:t>
            </w:r>
          </w:p>
        </w:tc>
        <w:tc>
          <w:tcPr>
            <w:tcW w:w="283" w:type="pct"/>
            <w:noWrap/>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w:t>
            </w:r>
          </w:p>
        </w:tc>
        <w:tc>
          <w:tcPr>
            <w:tcW w:w="283"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83"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w:t>
            </w: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97"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3</w:t>
            </w:r>
          </w:p>
        </w:tc>
        <w:tc>
          <w:tcPr>
            <w:tcW w:w="241" w:type="pct"/>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2</w:t>
            </w:r>
          </w:p>
        </w:tc>
        <w:tc>
          <w:tcPr>
            <w:tcW w:w="283"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3</w:t>
            </w:r>
          </w:p>
        </w:tc>
        <w:tc>
          <w:tcPr>
            <w:tcW w:w="469" w:type="pct"/>
            <w:noWrap/>
            <w:vAlign w:val="center"/>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c>
          <w:tcPr>
            <w:tcW w:w="300" w:type="pct"/>
          </w:tcPr>
          <w:p w:rsidR="00762D79" w:rsidRPr="00357512" w:rsidRDefault="00762D79" w:rsidP="00357512">
            <w:pPr>
              <w:spacing w:before="40" w:after="40" w:line="20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Cs w:val="18"/>
                <w:lang w:val="en-AU"/>
              </w:rPr>
            </w:pPr>
          </w:p>
        </w:tc>
      </w:tr>
      <w:tr w:rsidR="00762D79"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noWrap/>
            <w:vAlign w:val="center"/>
            <w:hideMark/>
          </w:tcPr>
          <w:p w:rsidR="00762D79" w:rsidRPr="00357512" w:rsidRDefault="00762D79" w:rsidP="00762D79">
            <w:pPr>
              <w:spacing w:before="40" w:after="40" w:line="200" w:lineRule="atLeast"/>
              <w:rPr>
                <w:rFonts w:cstheme="minorHAnsi"/>
                <w:color w:val="000000"/>
                <w:szCs w:val="18"/>
                <w:lang w:val="en-AU" w:eastAsia="en-AU"/>
              </w:rPr>
            </w:pPr>
            <w:r w:rsidRPr="00357512">
              <w:rPr>
                <w:rFonts w:cstheme="minorHAnsi"/>
                <w:color w:val="000000"/>
                <w:szCs w:val="18"/>
                <w:lang w:val="en-AU"/>
              </w:rPr>
              <w:t>NSW - Sydney - City and Inner South</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1.14</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1.12</w:t>
            </w:r>
          </w:p>
        </w:tc>
        <w:tc>
          <w:tcPr>
            <w:tcW w:w="283"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1.12</w:t>
            </w:r>
          </w:p>
        </w:tc>
        <w:tc>
          <w:tcPr>
            <w:tcW w:w="283"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1.10</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1.76</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2.25</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2.53</w:t>
            </w:r>
          </w:p>
        </w:tc>
        <w:tc>
          <w:tcPr>
            <w:tcW w:w="241"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1.93</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2.15</w:t>
            </w:r>
          </w:p>
        </w:tc>
        <w:tc>
          <w:tcPr>
            <w:tcW w:w="469"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2.31</w:t>
            </w:r>
          </w:p>
        </w:tc>
        <w:tc>
          <w:tcPr>
            <w:tcW w:w="300" w:type="pct"/>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2.31</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1.20</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1.18</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1.18</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1.16</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eastAsia="en-AU"/>
              </w:rPr>
            </w:pPr>
            <w:r w:rsidRPr="00357512">
              <w:rPr>
                <w:rFonts w:cstheme="minorHAnsi"/>
                <w:color w:val="000000"/>
                <w:szCs w:val="18"/>
                <w:lang w:val="en-AU"/>
              </w:rPr>
              <w:t>1.76</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2.25</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2.53</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1.93</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2.15</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2.31</w:t>
            </w: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2.31</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5.3%</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5.4%</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5.4%</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5.5%</w:t>
            </w: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41"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469"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E8CAED" w:themeFill="accent4" w:themeFillTint="33"/>
            <w:noWrap/>
            <w:vAlign w:val="center"/>
            <w:hideMark/>
          </w:tcPr>
          <w:p w:rsidR="00762D79" w:rsidRPr="00357512" w:rsidRDefault="00762D79" w:rsidP="00762D79">
            <w:pPr>
              <w:spacing w:before="40" w:after="40" w:line="200" w:lineRule="atLeast"/>
              <w:contextualSpacing/>
              <w:rPr>
                <w:rFonts w:cstheme="minorHAnsi"/>
                <w:color w:val="000000"/>
                <w:szCs w:val="18"/>
                <w:lang w:val="en-AU" w:eastAsia="en-AU"/>
              </w:rPr>
            </w:pPr>
            <w:r w:rsidRPr="00357512">
              <w:rPr>
                <w:rFonts w:cstheme="minorHAnsi"/>
                <w:color w:val="000000"/>
                <w:szCs w:val="18"/>
                <w:lang w:val="en-AU"/>
              </w:rPr>
              <w:t>NSW - Sydney - Eastern Suburbs</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1.12</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1.10</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1.10</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1.09</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1.63</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2.04</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2.27</w:t>
            </w:r>
          </w:p>
        </w:tc>
        <w:tc>
          <w:tcPr>
            <w:tcW w:w="241"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1.78</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1.96</w:t>
            </w:r>
          </w:p>
        </w:tc>
        <w:tc>
          <w:tcPr>
            <w:tcW w:w="469"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2.09</w:t>
            </w:r>
          </w:p>
        </w:tc>
        <w:tc>
          <w:tcPr>
            <w:tcW w:w="300" w:type="pct"/>
            <w:shd w:val="clear" w:color="auto" w:fill="E8CAED" w:themeFill="accent4" w:themeFillTint="33"/>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2.09</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1.18</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1.16</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1.16</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1.15</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1.63</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2.04</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2.27</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1.78</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1.96</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2.09</w:t>
            </w: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2.09</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Pr>
                <w:rFonts w:cstheme="minorHAnsi"/>
                <w:color w:val="000000"/>
                <w:szCs w:val="18"/>
                <w:lang w:val="en-AU"/>
              </w:rPr>
              <w:t>5.4%</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Pr>
                <w:rFonts w:cstheme="minorHAnsi"/>
                <w:color w:val="000000"/>
                <w:szCs w:val="18"/>
                <w:lang w:val="en-AU"/>
              </w:rPr>
              <w:t>5.5%</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Pr>
                <w:rFonts w:cstheme="minorHAnsi"/>
                <w:color w:val="000000"/>
                <w:szCs w:val="18"/>
                <w:lang w:val="en-AU"/>
              </w:rPr>
              <w:t>5.5%</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Pr>
                <w:rFonts w:cstheme="minorHAnsi"/>
                <w:color w:val="000000"/>
                <w:szCs w:val="18"/>
                <w:lang w:val="en-AU"/>
              </w:rPr>
              <w:t>5.5%</w:t>
            </w: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241"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469"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p>
        </w:tc>
      </w:tr>
      <w:tr w:rsidR="00762D79"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noWrap/>
            <w:vAlign w:val="center"/>
            <w:hideMark/>
          </w:tcPr>
          <w:p w:rsidR="00762D79" w:rsidRPr="00357512" w:rsidRDefault="00762D79" w:rsidP="00762D79">
            <w:pPr>
              <w:spacing w:before="40" w:after="40" w:line="200" w:lineRule="atLeast"/>
              <w:contextualSpacing/>
              <w:rPr>
                <w:rFonts w:cstheme="minorHAnsi"/>
                <w:color w:val="000000"/>
                <w:szCs w:val="18"/>
                <w:lang w:val="en-AU" w:eastAsia="en-AU"/>
              </w:rPr>
            </w:pPr>
            <w:r w:rsidRPr="00357512">
              <w:rPr>
                <w:rFonts w:cstheme="minorHAnsi"/>
                <w:color w:val="000000"/>
                <w:szCs w:val="18"/>
                <w:lang w:val="en-AU"/>
              </w:rPr>
              <w:t>NSW - Sydney - Inner West</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1.07</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1.06</w:t>
            </w:r>
          </w:p>
        </w:tc>
        <w:tc>
          <w:tcPr>
            <w:tcW w:w="283"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1.06</w:t>
            </w:r>
          </w:p>
        </w:tc>
        <w:tc>
          <w:tcPr>
            <w:tcW w:w="283"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1.05</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1.36</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1.59</w:t>
            </w:r>
          </w:p>
        </w:tc>
        <w:tc>
          <w:tcPr>
            <w:tcW w:w="297"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1.71</w:t>
            </w:r>
          </w:p>
        </w:tc>
        <w:tc>
          <w:tcPr>
            <w:tcW w:w="241" w:type="pct"/>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1.44</w:t>
            </w:r>
          </w:p>
        </w:tc>
        <w:tc>
          <w:tcPr>
            <w:tcW w:w="283"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1.54</w:t>
            </w:r>
          </w:p>
        </w:tc>
        <w:tc>
          <w:tcPr>
            <w:tcW w:w="469" w:type="pct"/>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1.61</w:t>
            </w:r>
          </w:p>
        </w:tc>
        <w:tc>
          <w:tcPr>
            <w:tcW w:w="300" w:type="pct"/>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1.61</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1.18</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1.17</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1.17</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highlight w:val="yellow"/>
                <w:lang w:val="en-AU"/>
              </w:rPr>
            </w:pPr>
            <w:r w:rsidRPr="00357512">
              <w:rPr>
                <w:rFonts w:cstheme="minorHAnsi"/>
                <w:color w:val="000000"/>
                <w:szCs w:val="18"/>
                <w:highlight w:val="yellow"/>
                <w:lang w:val="en-AU"/>
              </w:rPr>
              <w:t>1.16</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1.36</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1.59</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1.71</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rPr>
            </w:pPr>
            <w:r w:rsidRPr="00357512">
              <w:rPr>
                <w:rFonts w:cstheme="minorHAnsi"/>
                <w:color w:val="000000"/>
                <w:szCs w:val="18"/>
                <w:lang w:val="en-AU"/>
              </w:rPr>
              <w:t>1.44</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1.54</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1.61</w:t>
            </w: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18"/>
                <w:lang w:val="en-AU" w:eastAsia="en-AU"/>
              </w:rPr>
            </w:pPr>
            <w:r w:rsidRPr="00357512">
              <w:rPr>
                <w:rFonts w:cstheme="minorHAnsi"/>
                <w:color w:val="000000"/>
                <w:szCs w:val="18"/>
                <w:lang w:val="en-AU"/>
              </w:rPr>
              <w:t>1.61</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10.3%</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10.3%</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10.4%</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r>
              <w:rPr>
                <w:rFonts w:cstheme="minorHAnsi"/>
                <w:color w:val="000000"/>
                <w:szCs w:val="18"/>
                <w:lang w:val="en-AU"/>
              </w:rPr>
              <w:t>10.5%</w:t>
            </w: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41"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469"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18"/>
                <w:lang w:val="en-AU"/>
              </w:rPr>
            </w:pP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E8CAED" w:themeFill="accent4" w:themeFillTint="33"/>
            <w:noWrap/>
            <w:vAlign w:val="center"/>
            <w:hideMark/>
          </w:tcPr>
          <w:p w:rsidR="00762D79" w:rsidRPr="00357512" w:rsidRDefault="00762D79" w:rsidP="00762D79">
            <w:pPr>
              <w:spacing w:before="40" w:after="40" w:line="200" w:lineRule="atLeast"/>
              <w:contextualSpacing/>
              <w:rPr>
                <w:rFonts w:cstheme="minorHAnsi"/>
                <w:color w:val="000000"/>
                <w:szCs w:val="18"/>
                <w:lang w:val="en-AU" w:eastAsia="en-AU"/>
              </w:rPr>
            </w:pPr>
            <w:r w:rsidRPr="00357512">
              <w:rPr>
                <w:rFonts w:cstheme="minorHAnsi"/>
                <w:color w:val="000000"/>
                <w:szCs w:val="18"/>
                <w:lang w:val="en-AU"/>
              </w:rPr>
              <w:t>VIC - Melbourne - Inner East</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0.99</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0.99</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0.99</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0.98</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1.06</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1.11</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1.14</w:t>
            </w:r>
          </w:p>
        </w:tc>
        <w:tc>
          <w:tcPr>
            <w:tcW w:w="241"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1.08</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1.10</w:t>
            </w:r>
          </w:p>
        </w:tc>
        <w:tc>
          <w:tcPr>
            <w:tcW w:w="469"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1.12</w:t>
            </w:r>
          </w:p>
        </w:tc>
        <w:tc>
          <w:tcPr>
            <w:tcW w:w="300" w:type="pct"/>
            <w:shd w:val="clear" w:color="auto" w:fill="E8CAED" w:themeFill="accent4" w:themeFillTint="33"/>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1.12</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1.02</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sidRPr="00357512">
              <w:rPr>
                <w:rFonts w:cstheme="minorHAnsi"/>
                <w:szCs w:val="18"/>
                <w:lang w:val="en-AU"/>
              </w:rPr>
              <w:t>1.06</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sidRPr="00357512">
              <w:rPr>
                <w:rFonts w:cstheme="minorHAnsi"/>
                <w:szCs w:val="18"/>
                <w:lang w:val="en-AU"/>
              </w:rPr>
              <w:t>1.11</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sidRPr="00357512">
              <w:rPr>
                <w:rFonts w:cstheme="minorHAnsi"/>
                <w:szCs w:val="18"/>
                <w:lang w:val="en-AU"/>
              </w:rPr>
              <w:t>1.14</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sidRPr="00357512">
              <w:rPr>
                <w:rFonts w:cstheme="minorHAnsi"/>
                <w:szCs w:val="18"/>
                <w:lang w:val="en-AU"/>
              </w:rPr>
              <w:t>1.08</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eastAsia="en-AU"/>
              </w:rPr>
            </w:pPr>
            <w:r w:rsidRPr="00357512">
              <w:rPr>
                <w:rFonts w:cstheme="minorHAnsi"/>
                <w:szCs w:val="18"/>
                <w:lang w:val="en-AU"/>
              </w:rPr>
              <w:t>1.10</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eastAsia="en-AU"/>
              </w:rPr>
            </w:pPr>
            <w:r w:rsidRPr="00357512">
              <w:rPr>
                <w:rFonts w:cstheme="minorHAnsi"/>
                <w:szCs w:val="18"/>
                <w:lang w:val="en-AU"/>
              </w:rPr>
              <w:t>1.12</w:t>
            </w: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eastAsia="en-AU"/>
              </w:rPr>
            </w:pPr>
            <w:r w:rsidRPr="00357512">
              <w:rPr>
                <w:rFonts w:cstheme="minorHAnsi"/>
                <w:szCs w:val="18"/>
                <w:lang w:val="en-AU"/>
              </w:rPr>
              <w:t>1.12</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r>
              <w:rPr>
                <w:rFonts w:eastAsia="Times New Roman" w:cstheme="minorHAnsi"/>
                <w:color w:val="000000"/>
                <w:szCs w:val="18"/>
                <w:lang w:val="en-AU" w:eastAsia="en-AU"/>
              </w:rPr>
              <w:t>4.0%</w:t>
            </w:r>
          </w:p>
        </w:tc>
        <w:tc>
          <w:tcPr>
            <w:tcW w:w="283"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r>
              <w:rPr>
                <w:rFonts w:eastAsia="Times New Roman" w:cstheme="minorHAnsi"/>
                <w:color w:val="000000"/>
                <w:szCs w:val="18"/>
                <w:lang w:val="en-AU" w:eastAsia="en-AU"/>
              </w:rPr>
              <w:t>4.0%</w:t>
            </w:r>
          </w:p>
        </w:tc>
        <w:tc>
          <w:tcPr>
            <w:tcW w:w="283" w:type="pct"/>
            <w:shd w:val="clear" w:color="auto" w:fill="FFFFFF" w:themeFill="background1"/>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r>
              <w:rPr>
                <w:rFonts w:eastAsia="Times New Roman" w:cstheme="minorHAnsi"/>
                <w:color w:val="000000"/>
                <w:szCs w:val="18"/>
                <w:lang w:val="en-AU" w:eastAsia="en-AU"/>
              </w:rPr>
              <w:t>4.0%</w:t>
            </w:r>
          </w:p>
        </w:tc>
        <w:tc>
          <w:tcPr>
            <w:tcW w:w="283" w:type="pct"/>
            <w:shd w:val="clear" w:color="auto" w:fill="FFFFFF" w:themeFill="background1"/>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r>
              <w:rPr>
                <w:rFonts w:eastAsia="Times New Roman" w:cstheme="minorHAnsi"/>
                <w:color w:val="000000"/>
                <w:szCs w:val="18"/>
                <w:lang w:val="en-AU" w:eastAsia="en-AU"/>
              </w:rPr>
              <w:t>4.1%</w:t>
            </w:r>
          </w:p>
        </w:tc>
        <w:tc>
          <w:tcPr>
            <w:tcW w:w="297"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297"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297"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241" w:type="pct"/>
            <w:shd w:val="clear" w:color="auto" w:fill="FFFFFF" w:themeFill="background1"/>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283"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469" w:type="pct"/>
            <w:shd w:val="clear" w:color="auto" w:fill="FFFFFF" w:themeFill="background1"/>
            <w:noWrap/>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c>
          <w:tcPr>
            <w:tcW w:w="300" w:type="pct"/>
            <w:shd w:val="clear" w:color="auto" w:fill="FFFFFF" w:themeFill="background1"/>
            <w:vAlign w:val="center"/>
          </w:tcPr>
          <w:p w:rsidR="00762D79" w:rsidRPr="00357512" w:rsidRDefault="00762D79" w:rsidP="00762D79">
            <w:pPr>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8"/>
                <w:lang w:val="en-AU" w:eastAsia="en-AU"/>
              </w:rPr>
            </w:pPr>
          </w:p>
        </w:tc>
      </w:tr>
      <w:tr w:rsidR="00762D79"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noWrap/>
            <w:vAlign w:val="center"/>
            <w:hideMark/>
          </w:tcPr>
          <w:p w:rsidR="00762D79" w:rsidRPr="00357512" w:rsidRDefault="00762D79" w:rsidP="00762D79">
            <w:pPr>
              <w:spacing w:before="40" w:after="40" w:line="200" w:lineRule="atLeast"/>
              <w:rPr>
                <w:rFonts w:eastAsia="Times New Roman" w:cstheme="minorHAnsi"/>
                <w:color w:val="000000"/>
                <w:szCs w:val="18"/>
                <w:lang w:val="en-AU" w:eastAsia="en-AU"/>
              </w:rPr>
            </w:pPr>
            <w:r w:rsidRPr="00357512">
              <w:rPr>
                <w:rFonts w:eastAsia="Times New Roman" w:cstheme="minorHAnsi"/>
                <w:color w:val="000000"/>
                <w:szCs w:val="18"/>
                <w:lang w:val="en-AU" w:eastAsia="en-AU"/>
              </w:rPr>
              <w:t>VIC - Melbourne - Outer East</w:t>
            </w:r>
          </w:p>
        </w:tc>
        <w:tc>
          <w:tcPr>
            <w:tcW w:w="283"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0.97</w:t>
            </w:r>
          </w:p>
        </w:tc>
        <w:tc>
          <w:tcPr>
            <w:tcW w:w="283"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0.97</w:t>
            </w:r>
          </w:p>
        </w:tc>
        <w:tc>
          <w:tcPr>
            <w:tcW w:w="283" w:type="pct"/>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0.97</w:t>
            </w:r>
          </w:p>
        </w:tc>
        <w:tc>
          <w:tcPr>
            <w:tcW w:w="283" w:type="pct"/>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0.96</w:t>
            </w:r>
          </w:p>
        </w:tc>
        <w:tc>
          <w:tcPr>
            <w:tcW w:w="297"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0.94</w:t>
            </w:r>
          </w:p>
        </w:tc>
        <w:tc>
          <w:tcPr>
            <w:tcW w:w="297"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0.91</w:t>
            </w:r>
          </w:p>
        </w:tc>
        <w:tc>
          <w:tcPr>
            <w:tcW w:w="297"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0.90</w:t>
            </w:r>
          </w:p>
        </w:tc>
        <w:tc>
          <w:tcPr>
            <w:tcW w:w="241" w:type="pct"/>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0.93</w:t>
            </w:r>
          </w:p>
        </w:tc>
        <w:tc>
          <w:tcPr>
            <w:tcW w:w="283"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0.92</w:t>
            </w:r>
          </w:p>
        </w:tc>
        <w:tc>
          <w:tcPr>
            <w:tcW w:w="469" w:type="pct"/>
            <w:noWrap/>
            <w:vAlign w:val="center"/>
            <w:hideMark/>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0.91</w:t>
            </w:r>
          </w:p>
        </w:tc>
        <w:tc>
          <w:tcPr>
            <w:tcW w:w="300" w:type="pct"/>
            <w:vAlign w:val="center"/>
          </w:tcPr>
          <w:p w:rsidR="00762D79" w:rsidRPr="00357512" w:rsidRDefault="00762D79" w:rsidP="00762D79">
            <w:pPr>
              <w:spacing w:before="40" w:after="40" w:line="2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val="en-AU" w:eastAsia="en-AU"/>
              </w:rPr>
            </w:pPr>
            <w:r w:rsidRPr="00357512">
              <w:rPr>
                <w:rFonts w:eastAsia="Times New Roman" w:cstheme="minorHAnsi"/>
                <w:color w:val="000000"/>
                <w:szCs w:val="18"/>
                <w:lang w:val="en-AU" w:eastAsia="en-AU"/>
              </w:rPr>
              <w:t>0.91</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1.02</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1.02</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1.02</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1.01</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0.94</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0.91</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0.90</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0.93</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0.92</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0.91</w:t>
            </w: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0.91</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Pr>
                <w:rFonts w:cstheme="minorHAnsi"/>
                <w:szCs w:val="18"/>
                <w:lang w:val="en-AU"/>
              </w:rPr>
              <w:t>5.2%</w:t>
            </w: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Pr>
                <w:rFonts w:cstheme="minorHAnsi"/>
                <w:szCs w:val="18"/>
                <w:lang w:val="en-AU"/>
              </w:rPr>
              <w:t>5.2%</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Pr>
                <w:rFonts w:cstheme="minorHAnsi"/>
                <w:szCs w:val="18"/>
                <w:lang w:val="en-AU"/>
              </w:rPr>
              <w:t>5.2%</w:t>
            </w:r>
          </w:p>
        </w:tc>
        <w:tc>
          <w:tcPr>
            <w:tcW w:w="283"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r>
              <w:rPr>
                <w:rFonts w:cstheme="minorHAnsi"/>
                <w:szCs w:val="18"/>
                <w:lang w:val="en-AU"/>
              </w:rPr>
              <w:t>5.2%</w:t>
            </w: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297"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241"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283"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469" w:type="pct"/>
            <w:shd w:val="clear" w:color="auto" w:fill="FFFFFF" w:themeFill="background1"/>
            <w:noWrap/>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c>
          <w:tcPr>
            <w:tcW w:w="300" w:type="pct"/>
            <w:shd w:val="clear" w:color="auto" w:fill="FFFFFF" w:themeFill="background1"/>
            <w:vAlign w:val="center"/>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lang w:val="en-AU"/>
              </w:rPr>
            </w:pP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E8CAED" w:themeFill="accent4" w:themeFillTint="33"/>
            <w:noWrap/>
            <w:vAlign w:val="center"/>
            <w:hideMark/>
          </w:tcPr>
          <w:p w:rsidR="00762D79" w:rsidRPr="00357512" w:rsidRDefault="00762D79" w:rsidP="00762D79">
            <w:pPr>
              <w:spacing w:before="40" w:after="40" w:line="200" w:lineRule="atLeast"/>
              <w:contextualSpacing/>
              <w:rPr>
                <w:rFonts w:cstheme="minorHAnsi"/>
                <w:color w:val="000000"/>
                <w:szCs w:val="18"/>
                <w:lang w:val="en-AU" w:eastAsia="en-AU"/>
              </w:rPr>
            </w:pPr>
            <w:r w:rsidRPr="00357512">
              <w:rPr>
                <w:rFonts w:cstheme="minorHAnsi"/>
                <w:color w:val="000000"/>
                <w:szCs w:val="18"/>
                <w:lang w:val="en-AU"/>
              </w:rPr>
              <w:t>VIC - Melbourne - South East</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1.01</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1.01</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1.01</w:t>
            </w:r>
          </w:p>
        </w:tc>
        <w:tc>
          <w:tcPr>
            <w:tcW w:w="283"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1.02</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1.00</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0.98</w:t>
            </w:r>
          </w:p>
        </w:tc>
        <w:tc>
          <w:tcPr>
            <w:tcW w:w="297"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0.98</w:t>
            </w:r>
          </w:p>
        </w:tc>
        <w:tc>
          <w:tcPr>
            <w:tcW w:w="241" w:type="pct"/>
            <w:shd w:val="clear" w:color="auto" w:fill="E8CAED" w:themeFill="accent4" w:themeFillTint="33"/>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357512">
              <w:rPr>
                <w:rFonts w:cstheme="minorHAnsi"/>
                <w:szCs w:val="18"/>
                <w:lang w:val="en-AU"/>
              </w:rPr>
              <w:t>0.99</w:t>
            </w:r>
          </w:p>
        </w:tc>
        <w:tc>
          <w:tcPr>
            <w:tcW w:w="283"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0.98</w:t>
            </w:r>
          </w:p>
        </w:tc>
        <w:tc>
          <w:tcPr>
            <w:tcW w:w="469" w:type="pct"/>
            <w:shd w:val="clear" w:color="auto" w:fill="E8CAED" w:themeFill="accent4" w:themeFillTint="33"/>
            <w:noWrap/>
            <w:vAlign w:val="center"/>
            <w:hideMark/>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0.98</w:t>
            </w:r>
          </w:p>
        </w:tc>
        <w:tc>
          <w:tcPr>
            <w:tcW w:w="300" w:type="pct"/>
            <w:shd w:val="clear" w:color="auto" w:fill="E8CAED" w:themeFill="accent4" w:themeFillTint="33"/>
            <w:vAlign w:val="center"/>
          </w:tcPr>
          <w:p w:rsidR="00762D79" w:rsidRPr="00357512"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eastAsia="en-AU"/>
              </w:rPr>
            </w:pPr>
            <w:r w:rsidRPr="00357512">
              <w:rPr>
                <w:rFonts w:cstheme="minorHAnsi"/>
                <w:szCs w:val="18"/>
                <w:lang w:val="en-AU"/>
              </w:rPr>
              <w:t>0.98</w:t>
            </w:r>
          </w:p>
        </w:tc>
      </w:tr>
      <w:tr w:rsidR="00B65A9B" w:rsidRPr="00357512" w:rsidTr="00635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sidRPr="00357512">
              <w:rPr>
                <w:rFonts w:cstheme="minorHAnsi"/>
                <w:color w:val="000000"/>
                <w:szCs w:val="18"/>
                <w:lang w:val="en-AU"/>
              </w:rPr>
              <w:t>Revised</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1.06</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1.06</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1.06</w:t>
            </w:r>
          </w:p>
        </w:tc>
        <w:tc>
          <w:tcPr>
            <w:tcW w:w="283"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1.07</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1.05</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297"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241" w:type="pct"/>
            <w:shd w:val="clear" w:color="auto" w:fill="FFFFFF" w:themeFill="background1"/>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1.04</w:t>
            </w:r>
          </w:p>
        </w:tc>
        <w:tc>
          <w:tcPr>
            <w:tcW w:w="283"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469" w:type="pct"/>
            <w:shd w:val="clear" w:color="auto" w:fill="FFFFFF" w:themeFill="background1"/>
            <w:noWrap/>
            <w:vAlign w:val="center"/>
            <w:hideMark/>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357512">
              <w:rPr>
                <w:rFonts w:cstheme="minorHAnsi"/>
                <w:szCs w:val="18"/>
                <w:highlight w:val="yellow"/>
                <w:lang w:val="en-AU"/>
              </w:rPr>
              <w:t>1.03</w:t>
            </w:r>
          </w:p>
        </w:tc>
        <w:tc>
          <w:tcPr>
            <w:tcW w:w="300" w:type="pct"/>
            <w:shd w:val="clear" w:color="auto" w:fill="FFFFFF" w:themeFill="background1"/>
          </w:tcPr>
          <w:p w:rsidR="00762D79" w:rsidRPr="00357512" w:rsidRDefault="00762D79" w:rsidP="00762D79">
            <w:pPr>
              <w:spacing w:before="40" w:after="40" w:line="20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szCs w:val="18"/>
                <w:highlight w:val="yellow"/>
                <w:lang w:val="en-AU"/>
              </w:rPr>
            </w:pPr>
            <w:r w:rsidRPr="00762D79">
              <w:rPr>
                <w:rFonts w:cstheme="minorHAnsi"/>
                <w:szCs w:val="18"/>
                <w:lang w:val="en-AU"/>
              </w:rPr>
              <w:t>0.98</w:t>
            </w:r>
          </w:p>
        </w:tc>
      </w:tr>
      <w:tr w:rsidR="00B65A9B" w:rsidRPr="00357512" w:rsidTr="0063536A">
        <w:tc>
          <w:tcPr>
            <w:cnfStyle w:val="001000000000" w:firstRow="0" w:lastRow="0" w:firstColumn="1" w:lastColumn="0" w:oddVBand="0" w:evenVBand="0" w:oddHBand="0" w:evenHBand="0" w:firstRowFirstColumn="0" w:firstRowLastColumn="0" w:lastRowFirstColumn="0" w:lastRowLastColumn="0"/>
            <w:tcW w:w="1683" w:type="pct"/>
            <w:shd w:val="clear" w:color="auto" w:fill="FFFFFF" w:themeFill="background1"/>
            <w:noWrap/>
            <w:vAlign w:val="center"/>
          </w:tcPr>
          <w:p w:rsidR="00762D79" w:rsidRPr="00357512" w:rsidRDefault="00762D79" w:rsidP="00762D79">
            <w:pPr>
              <w:spacing w:before="40" w:after="40" w:line="200" w:lineRule="atLeast"/>
              <w:ind w:left="109"/>
              <w:contextualSpacing/>
              <w:rPr>
                <w:rFonts w:cstheme="minorHAnsi"/>
                <w:color w:val="000000"/>
                <w:szCs w:val="18"/>
                <w:lang w:val="en-AU"/>
              </w:rPr>
            </w:pPr>
            <w:r>
              <w:rPr>
                <w:rFonts w:cstheme="minorHAnsi"/>
                <w:color w:val="000000"/>
                <w:szCs w:val="18"/>
                <w:lang w:val="en-AU"/>
              </w:rPr>
              <w:t>Increase</w:t>
            </w:r>
          </w:p>
        </w:tc>
        <w:tc>
          <w:tcPr>
            <w:tcW w:w="283"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762D79">
              <w:rPr>
                <w:rFonts w:cstheme="minorHAnsi"/>
                <w:szCs w:val="18"/>
                <w:lang w:val="en-AU"/>
              </w:rPr>
              <w:t>5.0%</w:t>
            </w:r>
          </w:p>
        </w:tc>
        <w:tc>
          <w:tcPr>
            <w:tcW w:w="283"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762D79">
              <w:rPr>
                <w:rFonts w:cstheme="minorHAnsi"/>
                <w:szCs w:val="18"/>
                <w:lang w:val="en-AU"/>
              </w:rPr>
              <w:t>5.0%</w:t>
            </w:r>
          </w:p>
        </w:tc>
        <w:tc>
          <w:tcPr>
            <w:tcW w:w="283" w:type="pct"/>
            <w:shd w:val="clear" w:color="auto" w:fill="FFFFFF" w:themeFill="background1"/>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4.9</w:t>
            </w:r>
            <w:r w:rsidRPr="00762D79">
              <w:rPr>
                <w:rFonts w:cstheme="minorHAnsi"/>
                <w:szCs w:val="18"/>
                <w:lang w:val="en-AU"/>
              </w:rPr>
              <w:t>%</w:t>
            </w:r>
          </w:p>
        </w:tc>
        <w:tc>
          <w:tcPr>
            <w:tcW w:w="283" w:type="pct"/>
            <w:shd w:val="clear" w:color="auto" w:fill="FFFFFF" w:themeFill="background1"/>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sidRPr="00762D79">
              <w:rPr>
                <w:rFonts w:cstheme="minorHAnsi"/>
                <w:szCs w:val="18"/>
                <w:lang w:val="en-AU"/>
              </w:rPr>
              <w:t>5.0%</w:t>
            </w:r>
          </w:p>
        </w:tc>
        <w:tc>
          <w:tcPr>
            <w:tcW w:w="297"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297"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297"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241" w:type="pct"/>
            <w:shd w:val="clear" w:color="auto" w:fill="FFFFFF" w:themeFill="background1"/>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283"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469" w:type="pct"/>
            <w:shd w:val="clear" w:color="auto" w:fill="FFFFFF" w:themeFill="background1"/>
            <w:noWrap/>
            <w:vAlign w:val="center"/>
          </w:tcPr>
          <w:p w:rsidR="00762D79" w:rsidRP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r>
              <w:rPr>
                <w:rFonts w:cstheme="minorHAnsi"/>
                <w:szCs w:val="18"/>
                <w:lang w:val="en-AU"/>
              </w:rPr>
              <w:t>5.1</w:t>
            </w:r>
            <w:r w:rsidRPr="00762D79">
              <w:rPr>
                <w:rFonts w:cstheme="minorHAnsi"/>
                <w:szCs w:val="18"/>
                <w:lang w:val="en-AU"/>
              </w:rPr>
              <w:t>%</w:t>
            </w:r>
          </w:p>
        </w:tc>
        <w:tc>
          <w:tcPr>
            <w:tcW w:w="300" w:type="pct"/>
            <w:shd w:val="clear" w:color="auto" w:fill="FFFFFF" w:themeFill="background1"/>
          </w:tcPr>
          <w:p w:rsidR="00762D79" w:rsidRDefault="00762D79" w:rsidP="00762D79">
            <w:pPr>
              <w:spacing w:before="40" w:after="40" w:line="200" w:lineRule="atLeast"/>
              <w:contextualSpacing/>
              <w:jc w:val="center"/>
              <w:cnfStyle w:val="000000000000" w:firstRow="0" w:lastRow="0" w:firstColumn="0" w:lastColumn="0" w:oddVBand="0" w:evenVBand="0" w:oddHBand="0" w:evenHBand="0" w:firstRowFirstColumn="0" w:firstRowLastColumn="0" w:lastRowFirstColumn="0" w:lastRowLastColumn="0"/>
              <w:rPr>
                <w:rFonts w:cstheme="minorHAnsi"/>
                <w:szCs w:val="18"/>
                <w:lang w:val="en-AU"/>
              </w:rPr>
            </w:pPr>
          </w:p>
        </w:tc>
      </w:tr>
    </w:tbl>
    <w:p w:rsidR="00685937" w:rsidRDefault="00685937" w:rsidP="00685937">
      <w:pPr>
        <w:rPr>
          <w:b/>
          <w:lang w:val="en-AU"/>
        </w:rPr>
        <w:sectPr w:rsidR="00685937" w:rsidSect="009438A6">
          <w:pgSz w:w="16838" w:h="11906" w:orient="landscape" w:code="9"/>
          <w:pgMar w:top="1440" w:right="1440" w:bottom="1440" w:left="1440" w:header="709" w:footer="709" w:gutter="0"/>
          <w:cols w:space="708"/>
          <w:titlePg/>
          <w:docGrid w:linePitch="360"/>
        </w:sectPr>
      </w:pPr>
    </w:p>
    <w:p w:rsidR="00EA479A" w:rsidRDefault="00EA479A" w:rsidP="00A3319D">
      <w:pPr>
        <w:shd w:val="clear" w:color="auto" w:fill="FFFFFF" w:themeFill="background1"/>
        <w:rPr>
          <w:rFonts w:cs="Arial"/>
          <w:lang w:val="en-AU"/>
        </w:rPr>
      </w:pPr>
      <w:r w:rsidRPr="00025593">
        <w:rPr>
          <w:lang w:val="en-AU"/>
        </w:rPr>
        <w:t xml:space="preserve">Providers also argued that the location factor did not always accurately reflect the variances across costs between the various geographic regions. They considered that as Statistical Area Level 4s (SA4s) cover large areas, there can be considerable </w:t>
      </w:r>
      <w:r w:rsidR="00BD7D2C">
        <w:rPr>
          <w:lang w:val="en-AU"/>
        </w:rPr>
        <w:t>cost</w:t>
      </w:r>
      <w:r w:rsidR="00BD7D2C" w:rsidRPr="00025593">
        <w:rPr>
          <w:lang w:val="en-AU"/>
        </w:rPr>
        <w:t xml:space="preserve"> </w:t>
      </w:r>
      <w:r w:rsidRPr="00025593">
        <w:rPr>
          <w:lang w:val="en-AU"/>
        </w:rPr>
        <w:t xml:space="preserve">variation within them. </w:t>
      </w:r>
      <w:r w:rsidR="00686000">
        <w:rPr>
          <w:lang w:val="en-AU"/>
        </w:rPr>
        <w:t>A number of s</w:t>
      </w:r>
      <w:r w:rsidR="00686000" w:rsidRPr="00025593">
        <w:rPr>
          <w:lang w:val="en-AU"/>
        </w:rPr>
        <w:t xml:space="preserve">ubmissions </w:t>
      </w:r>
      <w:r w:rsidRPr="00025593">
        <w:rPr>
          <w:lang w:val="en-AU"/>
        </w:rPr>
        <w:t>recommended that Statistical Area Level 3 (SA3) would be more appropriate. The variation in costs of land across SA4s could, submissions argued</w:t>
      </w:r>
      <w:r w:rsidR="00332E7C">
        <w:rPr>
          <w:lang w:val="en-AU"/>
        </w:rPr>
        <w:t>,</w:t>
      </w:r>
      <w:r w:rsidRPr="00025593">
        <w:rPr>
          <w:rFonts w:cs="Arial"/>
          <w:lang w:val="en-AU"/>
        </w:rPr>
        <w:t xml:space="preserve"> lead to participants established in an area being required to move over 20kms away from work, study, family, established funded supports and informal supports due to SDA developments only occurring in the lower cost areas of regions.</w:t>
      </w:r>
    </w:p>
    <w:p w:rsidR="005D697A" w:rsidRPr="00A3319D" w:rsidRDefault="005D697A" w:rsidP="00A3319D">
      <w:pPr>
        <w:shd w:val="clear" w:color="auto" w:fill="FFFFFF" w:themeFill="background1"/>
        <w:rPr>
          <w:b/>
          <w:lang w:val="en-AU"/>
        </w:rPr>
      </w:pPr>
      <w:r>
        <w:rPr>
          <w:rFonts w:cs="Arial"/>
          <w:lang w:val="en-AU"/>
        </w:rPr>
        <w:t>Moving to SA3 regions does not necessarily solve these potential problems, however. Instead of promoting an even spread of SDA, c</w:t>
      </w:r>
      <w:r w:rsidR="00A67E39">
        <w:rPr>
          <w:rFonts w:cs="Arial"/>
          <w:lang w:val="en-AU"/>
        </w:rPr>
        <w:t>hanging</w:t>
      </w:r>
      <w:r>
        <w:rPr>
          <w:rFonts w:cs="Arial"/>
          <w:lang w:val="en-AU"/>
        </w:rPr>
        <w:t xml:space="preserve"> </w:t>
      </w:r>
      <w:r w:rsidR="00A67E39">
        <w:rPr>
          <w:rFonts w:cs="Arial"/>
          <w:lang w:val="en-AU"/>
        </w:rPr>
        <w:t xml:space="preserve">the </w:t>
      </w:r>
      <w:r>
        <w:rPr>
          <w:rFonts w:cs="Arial"/>
          <w:lang w:val="en-AU"/>
        </w:rPr>
        <w:t xml:space="preserve">SDA pricing </w:t>
      </w:r>
      <w:r w:rsidR="00A67E39">
        <w:rPr>
          <w:rFonts w:cs="Arial"/>
          <w:lang w:val="en-AU"/>
        </w:rPr>
        <w:t xml:space="preserve">model </w:t>
      </w:r>
      <w:r>
        <w:rPr>
          <w:rFonts w:cs="Arial"/>
          <w:lang w:val="en-AU"/>
        </w:rPr>
        <w:t>to SA3 could instead lead to the targeting of very specific areas where returns can be maximised, reducing the goal of the SDA framework to promote inclusivity and community engagement</w:t>
      </w:r>
      <w:r w:rsidR="003F6491">
        <w:rPr>
          <w:rFonts w:cs="Arial"/>
          <w:lang w:val="en-AU"/>
        </w:rPr>
        <w:t xml:space="preserve"> through the availability of SDA across communities</w:t>
      </w:r>
      <w:r>
        <w:rPr>
          <w:rFonts w:cs="Arial"/>
          <w:lang w:val="en-AU"/>
        </w:rPr>
        <w:t xml:space="preserve">. </w:t>
      </w:r>
    </w:p>
    <w:p w:rsidR="003F6491" w:rsidRDefault="00A67E39" w:rsidP="00873314">
      <w:pPr>
        <w:rPr>
          <w:rFonts w:cs="Arial"/>
          <w:lang w:val="en-AU"/>
        </w:rPr>
      </w:pPr>
      <w:r>
        <w:rPr>
          <w:rFonts w:cs="Arial"/>
          <w:lang w:val="en-AU"/>
        </w:rPr>
        <w:t>Further</w:t>
      </w:r>
      <w:r w:rsidR="00873314" w:rsidRPr="00025593">
        <w:rPr>
          <w:rFonts w:cs="Arial"/>
          <w:lang w:val="en-AU"/>
        </w:rPr>
        <w:t xml:space="preserve">, moving to SA3s as the basis of SDA pricing </w:t>
      </w:r>
      <w:r w:rsidR="00873314" w:rsidRPr="00025593">
        <w:rPr>
          <w:lang w:val="en-AU"/>
        </w:rPr>
        <w:t>would be complex and require detailed work to calculate a new set of location factors</w:t>
      </w:r>
      <w:r w:rsidR="00332E7C">
        <w:rPr>
          <w:lang w:val="en-AU"/>
        </w:rPr>
        <w:t xml:space="preserve"> and the development of a new SDA pricing model</w:t>
      </w:r>
      <w:r w:rsidR="00873314" w:rsidRPr="00025593">
        <w:rPr>
          <w:lang w:val="en-AU"/>
        </w:rPr>
        <w:t xml:space="preserve">. </w:t>
      </w:r>
      <w:r w:rsidR="005732EF">
        <w:rPr>
          <w:lang w:val="en-AU"/>
        </w:rPr>
        <w:t xml:space="preserve">It would require reclassification of all areas and could lead to reductions in location factors for dwellings that have already been constructed. </w:t>
      </w:r>
      <w:r w:rsidR="00873314" w:rsidRPr="00025593">
        <w:rPr>
          <w:rFonts w:cs="Arial"/>
          <w:lang w:val="en-AU"/>
        </w:rPr>
        <w:t xml:space="preserve">This work is outside the scope of the current Review. </w:t>
      </w:r>
    </w:p>
    <w:p w:rsidR="00332E7C" w:rsidRDefault="0042440B" w:rsidP="00873314">
      <w:pPr>
        <w:rPr>
          <w:lang w:val="en-AU"/>
        </w:rPr>
      </w:pPr>
      <w:r>
        <w:rPr>
          <w:lang w:val="en-AU"/>
        </w:rPr>
        <w:t>S</w:t>
      </w:r>
      <w:r w:rsidR="00332E7C">
        <w:rPr>
          <w:lang w:val="en-AU"/>
        </w:rPr>
        <w:t>maller areas such as SA3</w:t>
      </w:r>
      <w:r>
        <w:rPr>
          <w:lang w:val="en-AU"/>
        </w:rPr>
        <w:t xml:space="preserve"> also</w:t>
      </w:r>
      <w:r w:rsidR="00332E7C">
        <w:rPr>
          <w:lang w:val="en-AU"/>
        </w:rPr>
        <w:t xml:space="preserve"> involve separate challenges to SA4. While there may be some cost variances within an SA4, there is more consistency between different areas within this category. SA3 areas are much more varied. Population variance in particular poses a challenge, with SA3 areas sometimes having low or no population (‘zero SA3s’). Data sets and research relevant to accommodation that is considered as part of SDA policy is also more frequently put in terms of SA4 locations. A move to SA3 would require translation of this material, which would take significant </w:t>
      </w:r>
      <w:r w:rsidR="00780334">
        <w:rPr>
          <w:lang w:val="en-AU"/>
        </w:rPr>
        <w:t xml:space="preserve">ongoing </w:t>
      </w:r>
      <w:r w:rsidR="00332E7C">
        <w:rPr>
          <w:lang w:val="en-AU"/>
        </w:rPr>
        <w:t>time and resources.</w:t>
      </w:r>
    </w:p>
    <w:p w:rsidR="005732EF" w:rsidRDefault="005732EF" w:rsidP="00873314">
      <w:pPr>
        <w:rPr>
          <w:rFonts w:cs="Arial"/>
          <w:lang w:val="en-AU"/>
        </w:rPr>
      </w:pPr>
      <w:r w:rsidRPr="00025593">
        <w:rPr>
          <w:rFonts w:cs="Arial"/>
          <w:lang w:val="en-AU"/>
        </w:rPr>
        <w:t xml:space="preserve">There are </w:t>
      </w:r>
      <w:r>
        <w:rPr>
          <w:rFonts w:cs="Arial"/>
          <w:lang w:val="en-AU"/>
        </w:rPr>
        <w:t>therefore</w:t>
      </w:r>
      <w:r w:rsidRPr="00025593">
        <w:rPr>
          <w:rFonts w:cs="Arial"/>
          <w:lang w:val="en-AU"/>
        </w:rPr>
        <w:t xml:space="preserve"> a number of risks associated with attributing location factors to pri</w:t>
      </w:r>
      <w:r>
        <w:rPr>
          <w:rFonts w:cs="Arial"/>
          <w:lang w:val="en-AU"/>
        </w:rPr>
        <w:t>ce caps</w:t>
      </w:r>
      <w:r w:rsidRPr="00025593">
        <w:rPr>
          <w:rFonts w:cs="Arial"/>
          <w:lang w:val="en-AU"/>
        </w:rPr>
        <w:t xml:space="preserve"> on a very detailed level. Any such change would need to be carefully considered.</w:t>
      </w:r>
    </w:p>
    <w:p w:rsidR="00826924" w:rsidRPr="00025593" w:rsidRDefault="00826924" w:rsidP="00873314">
      <w:pPr>
        <w:rPr>
          <w:lang w:val="en-AU"/>
        </w:rPr>
      </w:pPr>
      <w:r>
        <w:rPr>
          <w:lang w:val="en-AU"/>
        </w:rPr>
        <w:t xml:space="preserve">On balance, the Review did not support this change at this time. </w:t>
      </w:r>
      <w:r w:rsidRPr="00025593">
        <w:rPr>
          <w:lang w:val="en-AU"/>
        </w:rPr>
        <w:t>The</w:t>
      </w:r>
      <w:r>
        <w:rPr>
          <w:lang w:val="en-AU"/>
        </w:rPr>
        <w:t xml:space="preserve"> NDIA may consider the use of </w:t>
      </w:r>
      <w:r w:rsidRPr="00025593">
        <w:rPr>
          <w:lang w:val="en-AU"/>
        </w:rPr>
        <w:t xml:space="preserve">smaller statistical areas such as SA3s as part of the 2023 full </w:t>
      </w:r>
      <w:r w:rsidR="000D52F1">
        <w:rPr>
          <w:lang w:val="en-AU"/>
        </w:rPr>
        <w:t>Review of SDA Pricing Arrangements</w:t>
      </w:r>
      <w:r w:rsidRPr="00025593">
        <w:rPr>
          <w:lang w:val="en-AU"/>
        </w:rPr>
        <w:t>, noting the challenges described above.</w:t>
      </w:r>
    </w:p>
    <w:p w:rsidR="00025593" w:rsidRPr="00F64913" w:rsidRDefault="009438A6" w:rsidP="009438A6">
      <w:pPr>
        <w:spacing w:after="200"/>
        <w:rPr>
          <w:rFonts w:cs="Arial"/>
          <w:lang w:val="en-AU"/>
        </w:rPr>
      </w:pPr>
      <w:r w:rsidRPr="00114CDB">
        <w:rPr>
          <w:rFonts w:cs="Arial"/>
          <w:lang w:val="en-AU"/>
        </w:rPr>
        <w:t>Analysis by t</w:t>
      </w:r>
      <w:r w:rsidR="00025593" w:rsidRPr="00114CDB">
        <w:rPr>
          <w:rFonts w:cs="Arial"/>
          <w:lang w:val="en-AU"/>
        </w:rPr>
        <w:t xml:space="preserve">he Review </w:t>
      </w:r>
      <w:r w:rsidRPr="00114CDB">
        <w:rPr>
          <w:rFonts w:cs="Arial"/>
          <w:lang w:val="en-AU"/>
        </w:rPr>
        <w:t>of median land value data shows</w:t>
      </w:r>
      <w:r w:rsidR="00025593" w:rsidRPr="00114CDB">
        <w:rPr>
          <w:rFonts w:cs="Arial"/>
          <w:lang w:val="en-AU"/>
        </w:rPr>
        <w:t xml:space="preserve"> that Sydney and Melbourne metropolitan areas are more likely to have a greater variance in land/house costs than other areas in Australia.</w:t>
      </w:r>
      <w:r w:rsidR="00025593" w:rsidRPr="00F64913">
        <w:rPr>
          <w:rFonts w:cs="Arial"/>
          <w:lang w:val="en-AU"/>
        </w:rPr>
        <w:t xml:space="preserve"> Th</w:t>
      </w:r>
      <w:r w:rsidR="00025593">
        <w:rPr>
          <w:rFonts w:cs="Arial"/>
          <w:lang w:val="en-AU"/>
        </w:rPr>
        <w:t xml:space="preserve">is variance can be significant. The Review notes that while </w:t>
      </w:r>
      <w:r>
        <w:rPr>
          <w:rFonts w:cs="Arial"/>
          <w:lang w:val="en-AU"/>
        </w:rPr>
        <w:t xml:space="preserve">the </w:t>
      </w:r>
      <w:r w:rsidR="00025593">
        <w:rPr>
          <w:rFonts w:cs="Arial"/>
          <w:lang w:val="en-AU"/>
        </w:rPr>
        <w:t>i</w:t>
      </w:r>
      <w:r w:rsidR="00025593" w:rsidRPr="00F64913">
        <w:rPr>
          <w:rFonts w:cs="Arial"/>
          <w:lang w:val="en-AU"/>
        </w:rPr>
        <w:t xml:space="preserve">ncreases to location factors for these Sydney and Melbourne areas </w:t>
      </w:r>
      <w:r>
        <w:rPr>
          <w:rFonts w:cs="Arial"/>
          <w:lang w:val="en-AU"/>
        </w:rPr>
        <w:t xml:space="preserve">recommended above </w:t>
      </w:r>
      <w:r w:rsidR="00025593">
        <w:rPr>
          <w:rFonts w:cs="Arial"/>
          <w:lang w:val="en-AU"/>
        </w:rPr>
        <w:t>are</w:t>
      </w:r>
      <w:r w:rsidR="00025593" w:rsidRPr="00F64913">
        <w:rPr>
          <w:rFonts w:cs="Arial"/>
          <w:lang w:val="en-AU"/>
        </w:rPr>
        <w:t xml:space="preserve"> unlikely to completely overcome these cost differentials, </w:t>
      </w:r>
      <w:r w:rsidR="00025593">
        <w:rPr>
          <w:rFonts w:cs="Arial"/>
          <w:lang w:val="en-AU"/>
        </w:rPr>
        <w:t>they will</w:t>
      </w:r>
      <w:r w:rsidR="00025593" w:rsidRPr="00F64913">
        <w:rPr>
          <w:rFonts w:cs="Arial"/>
          <w:lang w:val="en-AU"/>
        </w:rPr>
        <w:t xml:space="preserve"> shift the balance to allow for construction in significantly more locations within the SA4</w:t>
      </w:r>
      <w:r>
        <w:rPr>
          <w:rFonts w:cs="Arial"/>
          <w:lang w:val="en-AU"/>
        </w:rPr>
        <w:t>s</w:t>
      </w:r>
      <w:r w:rsidR="00025593" w:rsidRPr="00F64913">
        <w:rPr>
          <w:rFonts w:cs="Arial"/>
          <w:lang w:val="en-AU"/>
        </w:rPr>
        <w:t>, increasing participant choice and reducing the impacts of moving on formal and informal support networks and social connections.</w:t>
      </w:r>
    </w:p>
    <w:p w:rsidR="00025593" w:rsidRPr="00F64913" w:rsidRDefault="00025593" w:rsidP="00025593">
      <w:pPr>
        <w:rPr>
          <w:lang w:val="en-AU"/>
        </w:rPr>
      </w:pPr>
    </w:p>
    <w:p w:rsidR="001110FA" w:rsidRPr="00F64913" w:rsidRDefault="001110FA" w:rsidP="00025593">
      <w:pPr>
        <w:rPr>
          <w:lang w:val="en-AU"/>
        </w:rPr>
        <w:sectPr w:rsidR="001110FA" w:rsidRPr="00F64913" w:rsidSect="009438A6">
          <w:pgSz w:w="11906" w:h="16838" w:code="9"/>
          <w:pgMar w:top="1440" w:right="1440" w:bottom="1440" w:left="1440" w:header="709" w:footer="709" w:gutter="0"/>
          <w:cols w:space="708"/>
          <w:titlePg/>
          <w:docGrid w:linePitch="360"/>
        </w:sectPr>
      </w:pPr>
    </w:p>
    <w:p w:rsidR="001110FA" w:rsidRPr="00F64913" w:rsidRDefault="001110FA" w:rsidP="00025593">
      <w:pPr>
        <w:rPr>
          <w:lang w:val="en-AU"/>
        </w:rPr>
      </w:pPr>
    </w:p>
    <w:p w:rsidR="00BC151D" w:rsidRPr="00F64913" w:rsidRDefault="00AB4150" w:rsidP="0051532C">
      <w:pPr>
        <w:pStyle w:val="Heading1"/>
        <w:shd w:val="clear" w:color="auto" w:fill="FFFFFF" w:themeFill="background1"/>
        <w:rPr>
          <w:lang w:val="en-AU"/>
        </w:rPr>
      </w:pPr>
      <w:bookmarkStart w:id="50" w:name="_Toc23156379"/>
      <w:r w:rsidRPr="00F64913">
        <w:rPr>
          <w:lang w:val="en-AU"/>
        </w:rPr>
        <w:t xml:space="preserve">Construction </w:t>
      </w:r>
      <w:r w:rsidR="009638E6" w:rsidRPr="00F64913">
        <w:rPr>
          <w:lang w:val="en-AU"/>
        </w:rPr>
        <w:t>costs</w:t>
      </w:r>
      <w:bookmarkEnd w:id="50"/>
    </w:p>
    <w:p w:rsidR="00734EB3" w:rsidRDefault="00594B7B" w:rsidP="00734EB3">
      <w:pPr>
        <w:shd w:val="clear" w:color="auto" w:fill="FFFFFF" w:themeFill="background1"/>
        <w:rPr>
          <w:lang w:val="en-AU"/>
        </w:rPr>
      </w:pPr>
      <w:r>
        <w:rPr>
          <w:lang w:val="en-AU"/>
        </w:rPr>
        <w:t>Several submissions</w:t>
      </w:r>
      <w:r w:rsidR="009638E6" w:rsidRPr="00F64913">
        <w:rPr>
          <w:lang w:val="en-AU"/>
        </w:rPr>
        <w:t xml:space="preserve"> argued that the Fully Accessible and Robust design categories </w:t>
      </w:r>
      <w:r>
        <w:rPr>
          <w:lang w:val="en-AU"/>
        </w:rPr>
        <w:t>did not provide as attractive an investment</w:t>
      </w:r>
      <w:r w:rsidR="009638E6" w:rsidRPr="00F64913">
        <w:rPr>
          <w:lang w:val="en-AU"/>
        </w:rPr>
        <w:t>, in terms of rates of return, as</w:t>
      </w:r>
      <w:r>
        <w:rPr>
          <w:lang w:val="en-AU"/>
        </w:rPr>
        <w:t xml:space="preserve"> the</w:t>
      </w:r>
      <w:r w:rsidR="009638E6" w:rsidRPr="00F64913">
        <w:rPr>
          <w:lang w:val="en-AU"/>
        </w:rPr>
        <w:t xml:space="preserve"> High </w:t>
      </w:r>
      <w:r>
        <w:rPr>
          <w:lang w:val="en-AU"/>
        </w:rPr>
        <w:t xml:space="preserve">Physical </w:t>
      </w:r>
      <w:r w:rsidR="009638E6" w:rsidRPr="00F64913">
        <w:rPr>
          <w:lang w:val="en-AU"/>
        </w:rPr>
        <w:t xml:space="preserve">Support </w:t>
      </w:r>
      <w:r>
        <w:rPr>
          <w:lang w:val="en-AU"/>
        </w:rPr>
        <w:t>design category</w:t>
      </w:r>
      <w:r w:rsidR="00AB4150" w:rsidRPr="00F64913">
        <w:rPr>
          <w:lang w:val="en-AU"/>
        </w:rPr>
        <w:t>.</w:t>
      </w:r>
      <w:r>
        <w:rPr>
          <w:lang w:val="en-AU"/>
        </w:rPr>
        <w:t xml:space="preserve"> Some</w:t>
      </w:r>
      <w:r w:rsidR="00AB4150" w:rsidRPr="00F64913">
        <w:rPr>
          <w:lang w:val="en-AU"/>
        </w:rPr>
        <w:t xml:space="preserve"> providers </w:t>
      </w:r>
      <w:r>
        <w:rPr>
          <w:lang w:val="en-AU"/>
        </w:rPr>
        <w:t>also offered the Review access to</w:t>
      </w:r>
      <w:r w:rsidR="00F17561">
        <w:rPr>
          <w:lang w:val="en-AU"/>
        </w:rPr>
        <w:t xml:space="preserve"> commercial in confidence</w:t>
      </w:r>
      <w:r w:rsidR="00AB4150" w:rsidRPr="00F64913">
        <w:rPr>
          <w:lang w:val="en-AU"/>
        </w:rPr>
        <w:t xml:space="preserve"> analysis of their rates of return</w:t>
      </w:r>
      <w:r>
        <w:rPr>
          <w:lang w:val="en-AU"/>
        </w:rPr>
        <w:t xml:space="preserve"> on existing and proposed projects</w:t>
      </w:r>
      <w:r w:rsidR="00AB4150" w:rsidRPr="00F64913">
        <w:rPr>
          <w:lang w:val="en-AU"/>
        </w:rPr>
        <w:t>.</w:t>
      </w:r>
      <w:r w:rsidR="00C15B4C" w:rsidRPr="00F64913">
        <w:rPr>
          <w:lang w:val="en-AU"/>
        </w:rPr>
        <w:t xml:space="preserve"> </w:t>
      </w:r>
      <w:r w:rsidR="00AB4150" w:rsidRPr="00F64913">
        <w:rPr>
          <w:lang w:val="en-AU"/>
        </w:rPr>
        <w:t xml:space="preserve">The </w:t>
      </w:r>
      <w:r w:rsidR="00481F0F">
        <w:rPr>
          <w:lang w:val="en-AU"/>
        </w:rPr>
        <w:t xml:space="preserve">Review has considered these submissions in great detail and </w:t>
      </w:r>
      <w:r w:rsidR="00AB4150" w:rsidRPr="00F64913">
        <w:rPr>
          <w:lang w:val="en-AU"/>
        </w:rPr>
        <w:t>has a number of concerns with both the nature and size of assumptions for various cost categories in these submissions.</w:t>
      </w:r>
      <w:r w:rsidR="00C15B4C" w:rsidRPr="00F64913">
        <w:rPr>
          <w:lang w:val="en-AU"/>
        </w:rPr>
        <w:t xml:space="preserve"> </w:t>
      </w:r>
      <w:r w:rsidR="00481F0F">
        <w:rPr>
          <w:lang w:val="en-AU"/>
        </w:rPr>
        <w:t>The</w:t>
      </w:r>
      <w:r w:rsidR="00AB4150" w:rsidRPr="00F64913">
        <w:rPr>
          <w:lang w:val="en-AU"/>
        </w:rPr>
        <w:t xml:space="preserve"> fundamental question</w:t>
      </w:r>
      <w:r w:rsidR="00481F0F">
        <w:rPr>
          <w:lang w:val="en-AU"/>
        </w:rPr>
        <w:t xml:space="preserve"> for the Review</w:t>
      </w:r>
      <w:r w:rsidR="00AB4150" w:rsidRPr="00F64913">
        <w:rPr>
          <w:lang w:val="en-AU"/>
        </w:rPr>
        <w:t xml:space="preserve"> is not</w:t>
      </w:r>
      <w:r w:rsidR="00F17561">
        <w:rPr>
          <w:lang w:val="en-AU"/>
        </w:rPr>
        <w:t xml:space="preserve">, however, </w:t>
      </w:r>
      <w:r w:rsidR="00481F0F">
        <w:rPr>
          <w:lang w:val="en-AU"/>
        </w:rPr>
        <w:t xml:space="preserve">the rate of return on investment that providers are currently generating </w:t>
      </w:r>
      <w:r w:rsidR="00AB4150" w:rsidRPr="00F64913">
        <w:rPr>
          <w:lang w:val="en-AU"/>
        </w:rPr>
        <w:t xml:space="preserve">on </w:t>
      </w:r>
      <w:r w:rsidR="00481F0F">
        <w:rPr>
          <w:lang w:val="en-AU"/>
        </w:rPr>
        <w:t xml:space="preserve">each design category, </w:t>
      </w:r>
      <w:r w:rsidR="00AB4150" w:rsidRPr="00F64913">
        <w:rPr>
          <w:lang w:val="en-AU"/>
        </w:rPr>
        <w:t>but</w:t>
      </w:r>
      <w:r w:rsidR="00481F0F">
        <w:rPr>
          <w:lang w:val="en-AU"/>
        </w:rPr>
        <w:t xml:space="preserve"> rather whether the current rates of construction in each design category meet future demand. </w:t>
      </w:r>
    </w:p>
    <w:p w:rsidR="00F17561" w:rsidRDefault="00734EB3" w:rsidP="00734EB3">
      <w:pPr>
        <w:shd w:val="clear" w:color="auto" w:fill="FFFFFF" w:themeFill="background1"/>
        <w:rPr>
          <w:lang w:val="en-AU"/>
        </w:rPr>
      </w:pPr>
      <w:r>
        <w:rPr>
          <w:lang w:val="en-AU"/>
        </w:rPr>
        <w:t>The Review concluded that current construction may not be diverse enough to meet future demand</w:t>
      </w:r>
      <w:r w:rsidR="009B5491" w:rsidRPr="00F64913">
        <w:rPr>
          <w:lang w:val="en-AU"/>
        </w:rPr>
        <w:t>.</w:t>
      </w:r>
      <w:r w:rsidR="00F17561">
        <w:rPr>
          <w:lang w:val="en-AU"/>
        </w:rPr>
        <w:t xml:space="preserve"> In particular, insufficient Fully Accessible and Robust dwelling are </w:t>
      </w:r>
      <w:r>
        <w:rPr>
          <w:lang w:val="en-AU"/>
        </w:rPr>
        <w:t xml:space="preserve">currently </w:t>
      </w:r>
      <w:r w:rsidR="00F17561">
        <w:rPr>
          <w:lang w:val="en-AU"/>
        </w:rPr>
        <w:t xml:space="preserve">being built. At the same time, </w:t>
      </w:r>
      <w:r w:rsidR="00F32C64" w:rsidRPr="00F64913">
        <w:rPr>
          <w:lang w:val="en-AU"/>
        </w:rPr>
        <w:t>High</w:t>
      </w:r>
      <w:r w:rsidR="00F17561">
        <w:rPr>
          <w:lang w:val="en-AU"/>
        </w:rPr>
        <w:t xml:space="preserve"> Physical Support</w:t>
      </w:r>
      <w:r w:rsidR="0051532C">
        <w:rPr>
          <w:lang w:val="en-AU"/>
        </w:rPr>
        <w:t xml:space="preserve"> dwellings</w:t>
      </w:r>
      <w:r w:rsidR="00F17561">
        <w:rPr>
          <w:lang w:val="en-AU"/>
        </w:rPr>
        <w:t xml:space="preserve"> and </w:t>
      </w:r>
      <w:r w:rsidR="00F32C64" w:rsidRPr="00F64913">
        <w:rPr>
          <w:lang w:val="en-AU"/>
        </w:rPr>
        <w:t>Improved Liveability</w:t>
      </w:r>
      <w:r w:rsidR="0051532C">
        <w:rPr>
          <w:lang w:val="en-AU"/>
        </w:rPr>
        <w:t xml:space="preserve"> dwellings</w:t>
      </w:r>
      <w:r w:rsidR="00F17561">
        <w:rPr>
          <w:lang w:val="en-AU"/>
        </w:rPr>
        <w:t xml:space="preserve"> </w:t>
      </w:r>
      <w:r>
        <w:rPr>
          <w:lang w:val="en-AU"/>
        </w:rPr>
        <w:t>are currently being constructed at high rates</w:t>
      </w:r>
      <w:r w:rsidR="00F17561">
        <w:rPr>
          <w:lang w:val="en-AU"/>
        </w:rPr>
        <w:t xml:space="preserve">. </w:t>
      </w:r>
    </w:p>
    <w:p w:rsidR="00BF079E" w:rsidRDefault="007C1EFF" w:rsidP="0051532C">
      <w:pPr>
        <w:shd w:val="clear" w:color="auto" w:fill="FFFFFF" w:themeFill="background1"/>
        <w:rPr>
          <w:lang w:val="en-AU"/>
        </w:rPr>
      </w:pPr>
      <w:r>
        <w:rPr>
          <w:lang w:val="en-AU"/>
        </w:rPr>
        <w:t>It should be noted that</w:t>
      </w:r>
      <w:r w:rsidR="00876A01">
        <w:rPr>
          <w:lang w:val="en-AU"/>
        </w:rPr>
        <w:t xml:space="preserve"> the demand analysis on which this review has relied is based on limited data</w:t>
      </w:r>
      <w:r>
        <w:rPr>
          <w:lang w:val="en-AU"/>
        </w:rPr>
        <w:t xml:space="preserve">, and as SDA is available as a support to anyone who is eligible, </w:t>
      </w:r>
      <w:r w:rsidR="00876A01">
        <w:rPr>
          <w:lang w:val="en-AU"/>
        </w:rPr>
        <w:t xml:space="preserve">the picture is </w:t>
      </w:r>
      <w:r w:rsidR="00ED429E">
        <w:rPr>
          <w:lang w:val="en-AU"/>
        </w:rPr>
        <w:t xml:space="preserve">highly </w:t>
      </w:r>
      <w:r>
        <w:rPr>
          <w:lang w:val="en-AU"/>
        </w:rPr>
        <w:t>likely to change as better participant demand data becomes available.</w:t>
      </w:r>
      <w:r w:rsidR="00734EB3">
        <w:rPr>
          <w:lang w:val="en-AU"/>
        </w:rPr>
        <w:t xml:space="preserve"> </w:t>
      </w:r>
    </w:p>
    <w:p w:rsidR="0051532C" w:rsidRDefault="000E4C82" w:rsidP="0051532C">
      <w:pPr>
        <w:shd w:val="clear" w:color="auto" w:fill="FFFFFF" w:themeFill="background1"/>
        <w:rPr>
          <w:lang w:val="en-AU"/>
        </w:rPr>
      </w:pPr>
      <w:r>
        <w:rPr>
          <w:lang w:val="en-AU"/>
        </w:rPr>
        <w:t xml:space="preserve">Given the </w:t>
      </w:r>
      <w:r w:rsidR="00BF079E">
        <w:rPr>
          <w:lang w:val="en-AU"/>
        </w:rPr>
        <w:t xml:space="preserve">limitations </w:t>
      </w:r>
      <w:r>
        <w:rPr>
          <w:lang w:val="en-AU"/>
        </w:rPr>
        <w:t xml:space="preserve">of </w:t>
      </w:r>
      <w:r w:rsidR="00084ADA">
        <w:rPr>
          <w:lang w:val="en-AU"/>
        </w:rPr>
        <w:t xml:space="preserve">the </w:t>
      </w:r>
      <w:r w:rsidR="00BF079E">
        <w:rPr>
          <w:lang w:val="en-AU"/>
        </w:rPr>
        <w:t>demand</w:t>
      </w:r>
      <w:r w:rsidR="00876A01">
        <w:rPr>
          <w:lang w:val="en-AU"/>
        </w:rPr>
        <w:t xml:space="preserve"> analysis</w:t>
      </w:r>
      <w:r w:rsidR="00BF079E">
        <w:rPr>
          <w:lang w:val="en-AU"/>
        </w:rPr>
        <w:t>, i</w:t>
      </w:r>
      <w:r w:rsidR="00BF079E" w:rsidRPr="00F64913">
        <w:rPr>
          <w:lang w:val="en-AU"/>
        </w:rPr>
        <w:t xml:space="preserve">t </w:t>
      </w:r>
      <w:r w:rsidR="0051532C" w:rsidRPr="00F64913">
        <w:rPr>
          <w:lang w:val="en-AU"/>
        </w:rPr>
        <w:t>is</w:t>
      </w:r>
      <w:r w:rsidR="007C1EFF">
        <w:rPr>
          <w:lang w:val="en-AU"/>
        </w:rPr>
        <w:t xml:space="preserve"> therefore</w:t>
      </w:r>
      <w:r w:rsidR="0051532C" w:rsidRPr="00F64913">
        <w:rPr>
          <w:lang w:val="en-AU"/>
        </w:rPr>
        <w:t xml:space="preserve"> necessary to look at </w:t>
      </w:r>
      <w:r w:rsidR="00BF079E">
        <w:rPr>
          <w:lang w:val="en-AU"/>
        </w:rPr>
        <w:t>currently available information on</w:t>
      </w:r>
      <w:r w:rsidR="0051532C" w:rsidRPr="00F64913">
        <w:rPr>
          <w:lang w:val="en-AU"/>
        </w:rPr>
        <w:t xml:space="preserve"> projects </w:t>
      </w:r>
      <w:r w:rsidR="00BF079E">
        <w:rPr>
          <w:lang w:val="en-AU"/>
        </w:rPr>
        <w:t xml:space="preserve">that </w:t>
      </w:r>
      <w:r w:rsidR="0051532C" w:rsidRPr="00F64913">
        <w:rPr>
          <w:lang w:val="en-AU"/>
        </w:rPr>
        <w:t>are underway to try and gain</w:t>
      </w:r>
      <w:r w:rsidR="0051532C">
        <w:rPr>
          <w:lang w:val="en-AU"/>
        </w:rPr>
        <w:t xml:space="preserve"> an</w:t>
      </w:r>
      <w:r w:rsidR="0051532C" w:rsidRPr="00F64913">
        <w:rPr>
          <w:lang w:val="en-AU"/>
        </w:rPr>
        <w:t xml:space="preserve"> insight into where the market is heading. Survey results from Summer Foundation’s ‘</w:t>
      </w:r>
      <w:hyperlink r:id="rId29" w:history="1">
        <w:r w:rsidR="0051532C" w:rsidRPr="00EC6B9D">
          <w:rPr>
            <w:rStyle w:val="Hyperlink"/>
            <w:lang w:val="en-AU"/>
          </w:rPr>
          <w:t>Specialist Disability Accommodation – Supply in Australia</w:t>
        </w:r>
      </w:hyperlink>
      <w:r w:rsidR="0051532C" w:rsidRPr="00F64913">
        <w:rPr>
          <w:lang w:val="en-AU"/>
        </w:rPr>
        <w:t>’ report suggests that “while just 20% of New Build SDA stock enrolled with the NDIA [as at date of publication] is</w:t>
      </w:r>
      <w:r w:rsidR="0051532C">
        <w:rPr>
          <w:lang w:val="en-AU"/>
        </w:rPr>
        <w:t xml:space="preserve"> High Physical Support, over 60 per cent</w:t>
      </w:r>
      <w:r w:rsidR="0051532C" w:rsidRPr="00F64913">
        <w:rPr>
          <w:lang w:val="en-AU"/>
        </w:rPr>
        <w:t xml:space="preserve"> of stock in the pipeline is High Ph</w:t>
      </w:r>
      <w:r w:rsidR="00CC7788">
        <w:rPr>
          <w:lang w:val="en-AU"/>
        </w:rPr>
        <w:t>ysical Support”.</w:t>
      </w:r>
      <w:r w:rsidR="00EC6B9D">
        <w:rPr>
          <w:lang w:val="en-AU"/>
        </w:rPr>
        <w:t xml:space="preserve"> </w:t>
      </w:r>
    </w:p>
    <w:p w:rsidR="00F17561" w:rsidRPr="00E11F41" w:rsidRDefault="00F17561" w:rsidP="00E11F41">
      <w:pPr>
        <w:shd w:val="clear" w:color="auto" w:fill="FFFFFF" w:themeFill="background1"/>
        <w:rPr>
          <w:lang w:val="en-AU"/>
        </w:rPr>
      </w:pPr>
      <w:r>
        <w:rPr>
          <w:lang w:val="en-AU"/>
        </w:rPr>
        <w:t xml:space="preserve">There is no evidence that the current </w:t>
      </w:r>
      <w:r w:rsidR="006773BA">
        <w:rPr>
          <w:lang w:val="en-AU"/>
        </w:rPr>
        <w:t>price cap</w:t>
      </w:r>
      <w:r>
        <w:rPr>
          <w:lang w:val="en-AU"/>
        </w:rPr>
        <w:t xml:space="preserve">s for </w:t>
      </w:r>
      <w:r w:rsidRPr="00F64913">
        <w:rPr>
          <w:lang w:val="en-AU"/>
        </w:rPr>
        <w:t>High</w:t>
      </w:r>
      <w:r>
        <w:rPr>
          <w:lang w:val="en-AU"/>
        </w:rPr>
        <w:t xml:space="preserve"> Physical Support</w:t>
      </w:r>
      <w:r w:rsidR="0051532C">
        <w:rPr>
          <w:lang w:val="en-AU"/>
        </w:rPr>
        <w:t xml:space="preserve"> dwellings</w:t>
      </w:r>
      <w:r>
        <w:rPr>
          <w:lang w:val="en-AU"/>
        </w:rPr>
        <w:t xml:space="preserve"> and </w:t>
      </w:r>
      <w:r w:rsidRPr="00F64913">
        <w:rPr>
          <w:lang w:val="en-AU"/>
        </w:rPr>
        <w:t>Improved Liveability</w:t>
      </w:r>
      <w:r w:rsidR="0051532C">
        <w:rPr>
          <w:lang w:val="en-AU"/>
        </w:rPr>
        <w:t xml:space="preserve"> dwellings</w:t>
      </w:r>
      <w:r>
        <w:rPr>
          <w:lang w:val="en-AU"/>
        </w:rPr>
        <w:t xml:space="preserve"> are too high, and, in any case, a commitment has been made not to reduce </w:t>
      </w:r>
      <w:r w:rsidR="006773BA">
        <w:rPr>
          <w:lang w:val="en-AU"/>
        </w:rPr>
        <w:t>price cap</w:t>
      </w:r>
      <w:r>
        <w:rPr>
          <w:lang w:val="en-AU"/>
        </w:rPr>
        <w:t xml:space="preserve">s. The only option to </w:t>
      </w:r>
      <w:r w:rsidRPr="00F64913">
        <w:rPr>
          <w:lang w:val="en-AU"/>
        </w:rPr>
        <w:t>increase supply of Robust and Fully A</w:t>
      </w:r>
      <w:r w:rsidRPr="00E11F41">
        <w:rPr>
          <w:lang w:val="en-AU"/>
        </w:rPr>
        <w:t>ccessible</w:t>
      </w:r>
      <w:r w:rsidR="0051532C" w:rsidRPr="00E11F41">
        <w:rPr>
          <w:lang w:val="en-AU"/>
        </w:rPr>
        <w:t xml:space="preserve"> dwellings</w:t>
      </w:r>
      <w:r w:rsidRPr="00E11F41">
        <w:rPr>
          <w:lang w:val="en-AU"/>
        </w:rPr>
        <w:t xml:space="preserve"> is, therefore, to increase the </w:t>
      </w:r>
      <w:r w:rsidR="006773BA">
        <w:rPr>
          <w:lang w:val="en-AU"/>
        </w:rPr>
        <w:t>price cap</w:t>
      </w:r>
      <w:r w:rsidRPr="00E11F41">
        <w:rPr>
          <w:lang w:val="en-AU"/>
        </w:rPr>
        <w:t>s of those building types by a sufficient amount to make it more attractive to providers to build those types of</w:t>
      </w:r>
      <w:r w:rsidR="0051532C" w:rsidRPr="00E11F41">
        <w:rPr>
          <w:lang w:val="en-AU"/>
        </w:rPr>
        <w:t xml:space="preserve"> dwellings</w:t>
      </w:r>
      <w:r w:rsidRPr="00E11F41">
        <w:rPr>
          <w:lang w:val="en-AU"/>
        </w:rPr>
        <w:t>.</w:t>
      </w:r>
    </w:p>
    <w:p w:rsidR="00FE09EC" w:rsidRPr="00E11F41" w:rsidRDefault="00FE09EC" w:rsidP="00E11F41">
      <w:pPr>
        <w:shd w:val="clear" w:color="auto" w:fill="FFFFFF" w:themeFill="background1"/>
        <w:rPr>
          <w:lang w:val="en-AU"/>
        </w:rPr>
      </w:pPr>
      <w:r w:rsidRPr="00ED429E">
        <w:rPr>
          <w:lang w:val="en-AU"/>
        </w:rPr>
        <w:t xml:space="preserve">Industry stakeholders </w:t>
      </w:r>
      <w:r w:rsidR="00B05711" w:rsidRPr="00ED429E">
        <w:rPr>
          <w:lang w:val="en-AU"/>
        </w:rPr>
        <w:t>consistently</w:t>
      </w:r>
      <w:r w:rsidRPr="00ED429E">
        <w:rPr>
          <w:lang w:val="en-AU"/>
        </w:rPr>
        <w:t xml:space="preserve"> noted issues with the base assumptions for Fully Accessible dwellings.</w:t>
      </w:r>
      <w:r w:rsidRPr="00E11F41">
        <w:rPr>
          <w:lang w:val="en-AU"/>
        </w:rPr>
        <w:t xml:space="preserve"> </w:t>
      </w:r>
      <w:r w:rsidR="00F17561" w:rsidRPr="00E11F41">
        <w:rPr>
          <w:lang w:val="en-AU"/>
        </w:rPr>
        <w:t>They claimed that t</w:t>
      </w:r>
      <w:r w:rsidRPr="00E11F41">
        <w:rPr>
          <w:lang w:val="en-AU"/>
        </w:rPr>
        <w:t xml:space="preserve">he construction cost of Fully Accessible </w:t>
      </w:r>
      <w:r w:rsidR="00F17561" w:rsidRPr="00E11F41">
        <w:rPr>
          <w:lang w:val="en-AU"/>
        </w:rPr>
        <w:t>were</w:t>
      </w:r>
      <w:r w:rsidRPr="00E11F41">
        <w:rPr>
          <w:lang w:val="en-AU"/>
        </w:rPr>
        <w:t xml:space="preserve"> similar to High Physical Support as developing</w:t>
      </w:r>
      <w:r w:rsidR="0051532C" w:rsidRPr="00E11F41">
        <w:rPr>
          <w:lang w:val="en-AU"/>
        </w:rPr>
        <w:t xml:space="preserve"> dwellings</w:t>
      </w:r>
      <w:r w:rsidRPr="00E11F41">
        <w:rPr>
          <w:lang w:val="en-AU"/>
        </w:rPr>
        <w:t xml:space="preserve"> to the same design specification (particularly for apartments) reduces vacancy risks.</w:t>
      </w:r>
      <w:r w:rsidR="00435056">
        <w:rPr>
          <w:lang w:val="en-AU"/>
        </w:rPr>
        <w:t xml:space="preserve"> </w:t>
      </w:r>
      <w:r w:rsidR="00435056" w:rsidRPr="0051532C">
        <w:rPr>
          <w:lang w:val="en-AU"/>
        </w:rPr>
        <w:t>Fully Accessible dwellings were often ‘blended in’ with other design categor</w:t>
      </w:r>
      <w:r w:rsidR="00435056">
        <w:rPr>
          <w:lang w:val="en-AU"/>
        </w:rPr>
        <w:t>ies – for example by placing 25 per cent</w:t>
      </w:r>
      <w:r w:rsidR="00435056" w:rsidRPr="0051532C">
        <w:rPr>
          <w:lang w:val="en-AU"/>
        </w:rPr>
        <w:t xml:space="preserve"> Fully Accessible dwellings</w:t>
      </w:r>
      <w:r w:rsidR="00435056">
        <w:rPr>
          <w:lang w:val="en-AU"/>
        </w:rPr>
        <w:t xml:space="preserve"> within a project made up of 75 per cent High Physical Support.</w:t>
      </w:r>
      <w:r w:rsidR="00435056" w:rsidRPr="00ED429E">
        <w:rPr>
          <w:lang w:val="en-AU"/>
        </w:rPr>
        <w:t xml:space="preserve"> </w:t>
      </w:r>
      <w:r w:rsidRPr="00ED429E">
        <w:rPr>
          <w:lang w:val="en-AU"/>
        </w:rPr>
        <w:t>However, the payment for Fully Accessible is approximately 60</w:t>
      </w:r>
      <w:r w:rsidR="00F17561" w:rsidRPr="00ED429E">
        <w:rPr>
          <w:lang w:val="en-AU"/>
        </w:rPr>
        <w:t xml:space="preserve"> per cent</w:t>
      </w:r>
      <w:r w:rsidRPr="00ED429E">
        <w:rPr>
          <w:lang w:val="en-AU"/>
        </w:rPr>
        <w:t xml:space="preserve"> lower than High Physical Support</w:t>
      </w:r>
      <w:r w:rsidR="00734EB3">
        <w:rPr>
          <w:lang w:val="en-AU"/>
        </w:rPr>
        <w:t>.</w:t>
      </w:r>
      <w:r w:rsidRPr="00ED429E">
        <w:rPr>
          <w:lang w:val="en-AU"/>
        </w:rPr>
        <w:t xml:space="preserve"> </w:t>
      </w:r>
      <w:r w:rsidR="0051532C" w:rsidRPr="00E11F41">
        <w:rPr>
          <w:lang w:val="en-AU"/>
        </w:rPr>
        <w:t>This meant that</w:t>
      </w:r>
      <w:r w:rsidRPr="00E11F41">
        <w:rPr>
          <w:lang w:val="en-AU"/>
        </w:rPr>
        <w:t xml:space="preserve"> the payments for Fully Accessible are often not high enough (relative to its cost) to produce target r</w:t>
      </w:r>
      <w:r w:rsidR="00F17561" w:rsidRPr="00E11F41">
        <w:rPr>
          <w:lang w:val="en-AU"/>
        </w:rPr>
        <w:t>ate of return of 11.6 per cent.</w:t>
      </w:r>
    </w:p>
    <w:p w:rsidR="00944174" w:rsidRPr="00E11F41" w:rsidRDefault="00FE09EC" w:rsidP="00E11F41">
      <w:pPr>
        <w:shd w:val="clear" w:color="auto" w:fill="FFFFFF" w:themeFill="background1"/>
        <w:rPr>
          <w:lang w:val="en-AU"/>
        </w:rPr>
      </w:pPr>
      <w:r w:rsidRPr="00E11F41">
        <w:rPr>
          <w:lang w:val="en-AU"/>
        </w:rPr>
        <w:t>Industry submissions recommend</w:t>
      </w:r>
      <w:r w:rsidR="0051532C" w:rsidRPr="00E11F41">
        <w:rPr>
          <w:lang w:val="en-AU"/>
        </w:rPr>
        <w:t>ed</w:t>
      </w:r>
      <w:r w:rsidRPr="00E11F41">
        <w:rPr>
          <w:lang w:val="en-AU"/>
        </w:rPr>
        <w:t xml:space="preserve"> that in order to improve the supply of Fully Accessible</w:t>
      </w:r>
      <w:r w:rsidR="0051532C" w:rsidRPr="00E11F41">
        <w:rPr>
          <w:lang w:val="en-AU"/>
        </w:rPr>
        <w:t xml:space="preserve"> dwellings</w:t>
      </w:r>
      <w:r w:rsidRPr="00E11F41">
        <w:rPr>
          <w:lang w:val="en-AU"/>
        </w:rPr>
        <w:t>, the return should be similar to the current returns for High Physical Support, which would require a</w:t>
      </w:r>
      <w:r w:rsidR="00E12908" w:rsidRPr="00E11F41">
        <w:rPr>
          <w:lang w:val="en-AU"/>
        </w:rPr>
        <w:t>n approximate</w:t>
      </w:r>
      <w:r w:rsidR="0051532C" w:rsidRPr="00E11F41">
        <w:rPr>
          <w:lang w:val="en-AU"/>
        </w:rPr>
        <w:t xml:space="preserve"> 45 per cent</w:t>
      </w:r>
      <w:r w:rsidRPr="00E11F41">
        <w:rPr>
          <w:lang w:val="en-AU"/>
        </w:rPr>
        <w:t xml:space="preserve"> increase in construction costs. </w:t>
      </w:r>
    </w:p>
    <w:p w:rsidR="00734EB3" w:rsidRDefault="00B233CE" w:rsidP="00E11F41">
      <w:pPr>
        <w:shd w:val="clear" w:color="auto" w:fill="FFFFFF" w:themeFill="background1"/>
        <w:rPr>
          <w:lang w:val="en-AU"/>
        </w:rPr>
      </w:pPr>
      <w:r w:rsidRPr="00E11F41">
        <w:rPr>
          <w:lang w:val="en-AU"/>
        </w:rPr>
        <w:t xml:space="preserve">While this </w:t>
      </w:r>
      <w:r w:rsidR="00AD2D41" w:rsidRPr="00E11F41">
        <w:rPr>
          <w:lang w:val="en-AU"/>
        </w:rPr>
        <w:t>undersupply indicates</w:t>
      </w:r>
      <w:r w:rsidRPr="00E11F41">
        <w:rPr>
          <w:lang w:val="en-AU"/>
        </w:rPr>
        <w:t xml:space="preserve"> an increase to</w:t>
      </w:r>
      <w:r w:rsidR="00FE09EC" w:rsidRPr="00E11F41">
        <w:rPr>
          <w:lang w:val="en-AU"/>
        </w:rPr>
        <w:t xml:space="preserve"> </w:t>
      </w:r>
      <w:r w:rsidR="00C340C5" w:rsidRPr="00E11F41">
        <w:rPr>
          <w:lang w:val="en-AU"/>
        </w:rPr>
        <w:t xml:space="preserve">Fully Accessible </w:t>
      </w:r>
      <w:r w:rsidR="00FE09EC" w:rsidRPr="00E11F41">
        <w:rPr>
          <w:lang w:val="en-AU"/>
        </w:rPr>
        <w:t xml:space="preserve">construction costs </w:t>
      </w:r>
      <w:r w:rsidRPr="00E11F41">
        <w:rPr>
          <w:lang w:val="en-AU"/>
        </w:rPr>
        <w:t xml:space="preserve">is necessary, </w:t>
      </w:r>
      <w:r w:rsidR="0051532C" w:rsidRPr="00E11F41">
        <w:rPr>
          <w:lang w:val="en-AU"/>
        </w:rPr>
        <w:t>the Review does not accept that the price increase needs to be as large as suggested by the industry. W</w:t>
      </w:r>
      <w:r w:rsidR="001075A5" w:rsidRPr="00E11F41">
        <w:rPr>
          <w:lang w:val="en-AU"/>
        </w:rPr>
        <w:t xml:space="preserve">hile </w:t>
      </w:r>
      <w:r w:rsidR="0051532C" w:rsidRPr="00E11F41">
        <w:rPr>
          <w:lang w:val="en-AU"/>
        </w:rPr>
        <w:t>the</w:t>
      </w:r>
      <w:r w:rsidR="001075A5" w:rsidRPr="00E11F41">
        <w:rPr>
          <w:lang w:val="en-AU"/>
        </w:rPr>
        <w:t xml:space="preserve"> volume </w:t>
      </w:r>
      <w:r w:rsidR="0051532C" w:rsidRPr="00E11F41">
        <w:rPr>
          <w:lang w:val="en-AU"/>
        </w:rPr>
        <w:t>of construction is lower than anticipated</w:t>
      </w:r>
      <w:r w:rsidR="001075A5" w:rsidRPr="00E11F41">
        <w:rPr>
          <w:lang w:val="en-AU"/>
        </w:rPr>
        <w:t xml:space="preserve">, the fact remains </w:t>
      </w:r>
      <w:r w:rsidR="0051532C" w:rsidRPr="00E11F41">
        <w:rPr>
          <w:lang w:val="en-AU"/>
        </w:rPr>
        <w:t xml:space="preserve">that </w:t>
      </w:r>
      <w:r w:rsidR="00FE09EC" w:rsidRPr="00E11F41">
        <w:rPr>
          <w:lang w:val="en-AU"/>
        </w:rPr>
        <w:t xml:space="preserve">Fully Accessible </w:t>
      </w:r>
      <w:r w:rsidR="0051532C" w:rsidRPr="00E11F41">
        <w:rPr>
          <w:lang w:val="en-AU"/>
        </w:rPr>
        <w:t>buildings make up</w:t>
      </w:r>
      <w:r w:rsidR="00FE09EC" w:rsidRPr="00E11F41">
        <w:rPr>
          <w:lang w:val="en-AU"/>
        </w:rPr>
        <w:t xml:space="preserve"> the </w:t>
      </w:r>
      <w:r w:rsidR="00F32C64" w:rsidRPr="00E11F41">
        <w:rPr>
          <w:lang w:val="en-AU"/>
        </w:rPr>
        <w:t xml:space="preserve">second </w:t>
      </w:r>
      <w:r w:rsidR="00FE09EC" w:rsidRPr="00E11F41">
        <w:rPr>
          <w:lang w:val="en-AU"/>
        </w:rPr>
        <w:t>highest volume design category</w:t>
      </w:r>
      <w:r w:rsidR="0051532C" w:rsidRPr="00E11F41">
        <w:rPr>
          <w:lang w:val="en-AU"/>
        </w:rPr>
        <w:t xml:space="preserve"> among new builds</w:t>
      </w:r>
      <w:r w:rsidR="00640BBD">
        <w:rPr>
          <w:lang w:val="en-AU"/>
        </w:rPr>
        <w:t xml:space="preserve">; indeed, the market is building roughly equal numbers of Improved Liveability, Fully Accessible and High Support dwellings, </w:t>
      </w:r>
      <w:r w:rsidR="00734EB3">
        <w:rPr>
          <w:lang w:val="en-AU"/>
        </w:rPr>
        <w:t>despite expectations that</w:t>
      </w:r>
      <w:r w:rsidR="00640BBD">
        <w:rPr>
          <w:lang w:val="en-AU"/>
        </w:rPr>
        <w:t xml:space="preserve"> High </w:t>
      </w:r>
      <w:r w:rsidR="00734EB3">
        <w:rPr>
          <w:lang w:val="en-AU"/>
        </w:rPr>
        <w:t xml:space="preserve">Physical </w:t>
      </w:r>
      <w:r w:rsidR="00640BBD">
        <w:rPr>
          <w:lang w:val="en-AU"/>
        </w:rPr>
        <w:t xml:space="preserve">Support </w:t>
      </w:r>
      <w:r w:rsidR="00734EB3">
        <w:rPr>
          <w:lang w:val="en-AU"/>
        </w:rPr>
        <w:t>d</w:t>
      </w:r>
      <w:r w:rsidR="00640BBD">
        <w:rPr>
          <w:lang w:val="en-AU"/>
        </w:rPr>
        <w:t>wellings</w:t>
      </w:r>
      <w:r w:rsidR="00734EB3">
        <w:rPr>
          <w:lang w:val="en-AU"/>
        </w:rPr>
        <w:t xml:space="preserve"> will have less eventual demand when</w:t>
      </w:r>
      <w:r w:rsidR="00640BBD">
        <w:rPr>
          <w:lang w:val="en-AU"/>
        </w:rPr>
        <w:t xml:space="preserve"> compared to the other design categories</w:t>
      </w:r>
      <w:r w:rsidR="00435056">
        <w:rPr>
          <w:lang w:val="en-AU"/>
        </w:rPr>
        <w:t xml:space="preserve"> (as per </w:t>
      </w:r>
      <w:hyperlink r:id="rId30" w:history="1">
        <w:r w:rsidR="00435056" w:rsidRPr="00435056">
          <w:rPr>
            <w:rStyle w:val="Hyperlink"/>
            <w:lang w:val="en-AU"/>
          </w:rPr>
          <w:t>NDIA Quarter 4 2018-19 Report to COAG</w:t>
        </w:r>
      </w:hyperlink>
      <w:r w:rsidR="00435056">
        <w:rPr>
          <w:lang w:val="en-AU"/>
        </w:rPr>
        <w:t xml:space="preserve">, Table O.4 of Appendix A). </w:t>
      </w:r>
      <w:r w:rsidR="0051532C" w:rsidRPr="00E11F41">
        <w:rPr>
          <w:lang w:val="en-AU"/>
        </w:rPr>
        <w:t xml:space="preserve">So clearly, the current </w:t>
      </w:r>
      <w:r w:rsidR="006773BA">
        <w:rPr>
          <w:lang w:val="en-AU"/>
        </w:rPr>
        <w:t>price cap</w:t>
      </w:r>
      <w:r w:rsidR="00734EB3">
        <w:rPr>
          <w:lang w:val="en-AU"/>
        </w:rPr>
        <w:t>s</w:t>
      </w:r>
      <w:r w:rsidR="0051532C" w:rsidRPr="00E11F41">
        <w:rPr>
          <w:lang w:val="en-AU"/>
        </w:rPr>
        <w:t xml:space="preserve"> </w:t>
      </w:r>
      <w:r w:rsidR="00734EB3">
        <w:rPr>
          <w:lang w:val="en-AU"/>
        </w:rPr>
        <w:t>must be modified</w:t>
      </w:r>
      <w:r w:rsidR="0051532C" w:rsidRPr="00E11F41">
        <w:rPr>
          <w:lang w:val="en-AU"/>
        </w:rPr>
        <w:t xml:space="preserve"> to </w:t>
      </w:r>
      <w:r w:rsidR="00734EB3">
        <w:rPr>
          <w:lang w:val="en-AU"/>
        </w:rPr>
        <w:t>promote redistribution of</w:t>
      </w:r>
      <w:r w:rsidR="0051532C" w:rsidRPr="00E11F41">
        <w:rPr>
          <w:lang w:val="en-AU"/>
        </w:rPr>
        <w:t xml:space="preserve"> </w:t>
      </w:r>
      <w:r w:rsidR="00734EB3">
        <w:rPr>
          <w:lang w:val="en-AU"/>
        </w:rPr>
        <w:t xml:space="preserve">SDA </w:t>
      </w:r>
      <w:r w:rsidR="0051532C" w:rsidRPr="00E11F41">
        <w:rPr>
          <w:lang w:val="en-AU"/>
        </w:rPr>
        <w:t xml:space="preserve">investment. </w:t>
      </w:r>
    </w:p>
    <w:p w:rsidR="000A76FC" w:rsidRPr="00E11F41" w:rsidRDefault="0051532C" w:rsidP="003C1A0E">
      <w:pPr>
        <w:shd w:val="clear" w:color="auto" w:fill="FFFFFF" w:themeFill="background1"/>
        <w:rPr>
          <w:lang w:val="en-AU"/>
        </w:rPr>
      </w:pPr>
      <w:r w:rsidRPr="00E11F41">
        <w:rPr>
          <w:lang w:val="en-AU"/>
        </w:rPr>
        <w:t xml:space="preserve">The Review also </w:t>
      </w:r>
      <w:r w:rsidR="00734EB3">
        <w:rPr>
          <w:lang w:val="en-AU"/>
        </w:rPr>
        <w:t>did not agree with all</w:t>
      </w:r>
      <w:r w:rsidRPr="00E11F41">
        <w:rPr>
          <w:lang w:val="en-AU"/>
        </w:rPr>
        <w:t xml:space="preserve"> assumptions in providers’ models</w:t>
      </w:r>
      <w:r w:rsidR="00116B82" w:rsidRPr="00E11F41">
        <w:rPr>
          <w:lang w:val="en-AU"/>
        </w:rPr>
        <w:t>.</w:t>
      </w:r>
      <w:r w:rsidR="00C15B4C" w:rsidRPr="00E11F41">
        <w:rPr>
          <w:lang w:val="en-AU"/>
        </w:rPr>
        <w:t xml:space="preserve"> </w:t>
      </w:r>
      <w:r w:rsidR="00734EB3">
        <w:rPr>
          <w:lang w:val="en-AU"/>
        </w:rPr>
        <w:t>Some design</w:t>
      </w:r>
      <w:r w:rsidR="00822044">
        <w:rPr>
          <w:lang w:val="en-AU"/>
        </w:rPr>
        <w:t>s</w:t>
      </w:r>
      <w:r w:rsidR="00734EB3">
        <w:rPr>
          <w:lang w:val="en-AU"/>
        </w:rPr>
        <w:t xml:space="preserve"> and costings</w:t>
      </w:r>
      <w:r w:rsidR="00822044">
        <w:rPr>
          <w:lang w:val="en-AU"/>
        </w:rPr>
        <w:t xml:space="preserve"> (both for construction and ongoing costs)</w:t>
      </w:r>
      <w:r w:rsidR="000B3A0D" w:rsidRPr="00E11F41">
        <w:rPr>
          <w:lang w:val="en-AU"/>
        </w:rPr>
        <w:t xml:space="preserve"> </w:t>
      </w:r>
      <w:r w:rsidR="00734EB3">
        <w:rPr>
          <w:lang w:val="en-AU"/>
        </w:rPr>
        <w:t xml:space="preserve">did not </w:t>
      </w:r>
      <w:r w:rsidR="00822044">
        <w:rPr>
          <w:lang w:val="en-AU"/>
        </w:rPr>
        <w:t xml:space="preserve">necessarily </w:t>
      </w:r>
      <w:r w:rsidR="00734EB3">
        <w:rPr>
          <w:lang w:val="en-AU"/>
        </w:rPr>
        <w:t>align with expectations</w:t>
      </w:r>
      <w:r w:rsidR="00734EB3" w:rsidRPr="00E11F41">
        <w:rPr>
          <w:lang w:val="en-AU"/>
        </w:rPr>
        <w:t xml:space="preserve"> </w:t>
      </w:r>
      <w:r w:rsidR="00734EB3">
        <w:rPr>
          <w:lang w:val="en-AU"/>
        </w:rPr>
        <w:t>in</w:t>
      </w:r>
      <w:r w:rsidR="00734EB3" w:rsidRPr="00E11F41">
        <w:rPr>
          <w:lang w:val="en-AU"/>
        </w:rPr>
        <w:t xml:space="preserve"> </w:t>
      </w:r>
      <w:r w:rsidR="000B3A0D" w:rsidRPr="00E11F41">
        <w:rPr>
          <w:lang w:val="en-AU"/>
        </w:rPr>
        <w:t>the Agency’s cost model.</w:t>
      </w:r>
      <w:r w:rsidR="00822044">
        <w:rPr>
          <w:lang w:val="en-AU"/>
        </w:rPr>
        <w:t xml:space="preserve"> The Review therefore did not agree with the scale of increases to assumptions suggested in all submissions.</w:t>
      </w:r>
    </w:p>
    <w:p w:rsidR="007233A1" w:rsidRPr="00E11F41" w:rsidRDefault="000A76FC" w:rsidP="00E11F41">
      <w:pPr>
        <w:shd w:val="clear" w:color="auto" w:fill="FFFFFF" w:themeFill="background1"/>
        <w:rPr>
          <w:lang w:val="en-AU"/>
        </w:rPr>
      </w:pPr>
      <w:r w:rsidRPr="00E11F41">
        <w:rPr>
          <w:lang w:val="en-AU"/>
        </w:rPr>
        <w:t xml:space="preserve">That said, the </w:t>
      </w:r>
      <w:r w:rsidR="00E11F41" w:rsidRPr="00E11F41">
        <w:rPr>
          <w:lang w:val="en-AU"/>
        </w:rPr>
        <w:t>Review’s</w:t>
      </w:r>
      <w:r w:rsidRPr="00E11F41">
        <w:rPr>
          <w:lang w:val="en-AU"/>
        </w:rPr>
        <w:t xml:space="preserve"> own supply and demand analysis indicates that there is a need for higher rates of construction of Fully Accessible</w:t>
      </w:r>
      <w:r w:rsidR="0051532C" w:rsidRPr="00E11F41">
        <w:rPr>
          <w:lang w:val="en-AU"/>
        </w:rPr>
        <w:t xml:space="preserve"> dwellings</w:t>
      </w:r>
      <w:r w:rsidR="00121E6B">
        <w:rPr>
          <w:lang w:val="en-AU"/>
        </w:rPr>
        <w:t xml:space="preserve"> over time</w:t>
      </w:r>
      <w:r w:rsidRPr="00E11F41">
        <w:rPr>
          <w:lang w:val="en-AU"/>
        </w:rPr>
        <w:t>.</w:t>
      </w:r>
      <w:r w:rsidR="00C15B4C" w:rsidRPr="00E11F41">
        <w:rPr>
          <w:lang w:val="en-AU"/>
        </w:rPr>
        <w:t xml:space="preserve"> </w:t>
      </w:r>
      <w:r w:rsidRPr="00E11F41">
        <w:rPr>
          <w:lang w:val="en-AU"/>
        </w:rPr>
        <w:t xml:space="preserve">Accordingly, </w:t>
      </w:r>
      <w:r w:rsidR="00FE09EC" w:rsidRPr="00E11F41">
        <w:rPr>
          <w:lang w:val="en-AU"/>
        </w:rPr>
        <w:t xml:space="preserve">a more modest increase </w:t>
      </w:r>
      <w:r w:rsidR="001075A5" w:rsidRPr="00E11F41">
        <w:rPr>
          <w:lang w:val="en-AU"/>
        </w:rPr>
        <w:t>to Fully Accessible construction costs assumptions</w:t>
      </w:r>
      <w:r w:rsidR="00FE09EC" w:rsidRPr="00E11F41">
        <w:rPr>
          <w:lang w:val="en-AU"/>
        </w:rPr>
        <w:t xml:space="preserve"> is warranted</w:t>
      </w:r>
      <w:r w:rsidR="00121E6B">
        <w:rPr>
          <w:lang w:val="en-AU"/>
        </w:rPr>
        <w:t xml:space="preserve"> to achieve this outcome</w:t>
      </w:r>
      <w:r w:rsidR="00CF1E2A" w:rsidRPr="00E11F41">
        <w:rPr>
          <w:lang w:val="en-AU"/>
        </w:rPr>
        <w:t>.</w:t>
      </w:r>
      <w:r w:rsidR="001075A5" w:rsidRPr="00E11F41">
        <w:rPr>
          <w:lang w:val="en-AU"/>
        </w:rPr>
        <w:t xml:space="preserve"> </w:t>
      </w:r>
      <w:r w:rsidR="00CF1E2A" w:rsidRPr="00E11F41">
        <w:rPr>
          <w:lang w:val="en-AU"/>
        </w:rPr>
        <w:t>The increase should improve the</w:t>
      </w:r>
      <w:r w:rsidR="001075A5" w:rsidRPr="00E11F41">
        <w:rPr>
          <w:lang w:val="en-AU"/>
        </w:rPr>
        <w:t xml:space="preserve"> attractiveness of the design category and </w:t>
      </w:r>
      <w:r w:rsidR="00CF1E2A" w:rsidRPr="00E11F41">
        <w:rPr>
          <w:lang w:val="en-AU"/>
        </w:rPr>
        <w:t xml:space="preserve">assist in ensuring that Fully Accessible dwellings are being built at the rate necessary to meet </w:t>
      </w:r>
      <w:r w:rsidR="004B2F83">
        <w:rPr>
          <w:lang w:val="en-AU"/>
        </w:rPr>
        <w:t xml:space="preserve">future </w:t>
      </w:r>
      <w:r w:rsidR="00CF1E2A" w:rsidRPr="00E11F41">
        <w:rPr>
          <w:lang w:val="en-AU"/>
        </w:rPr>
        <w:t xml:space="preserve">demand, while </w:t>
      </w:r>
      <w:r w:rsidR="001075A5" w:rsidRPr="00E11F41">
        <w:rPr>
          <w:lang w:val="en-AU"/>
        </w:rPr>
        <w:t>reduc</w:t>
      </w:r>
      <w:r w:rsidR="00CF1E2A" w:rsidRPr="00E11F41">
        <w:rPr>
          <w:lang w:val="en-AU"/>
        </w:rPr>
        <w:t>ing</w:t>
      </w:r>
      <w:r w:rsidR="001075A5" w:rsidRPr="00E11F41">
        <w:rPr>
          <w:lang w:val="en-AU"/>
        </w:rPr>
        <w:t xml:space="preserve"> the risk of undersupply</w:t>
      </w:r>
      <w:r w:rsidR="00FE09EC" w:rsidRPr="00E11F41">
        <w:rPr>
          <w:lang w:val="en-AU"/>
        </w:rPr>
        <w:t xml:space="preserve">. </w:t>
      </w:r>
    </w:p>
    <w:p w:rsidR="00CD766E" w:rsidRDefault="00FE09EC" w:rsidP="00E11F41">
      <w:pPr>
        <w:shd w:val="clear" w:color="auto" w:fill="FFFFFF" w:themeFill="background1"/>
        <w:rPr>
          <w:lang w:val="en-AU"/>
        </w:rPr>
      </w:pPr>
      <w:r w:rsidRPr="00F64913">
        <w:rPr>
          <w:lang w:val="en-AU"/>
        </w:rPr>
        <w:t xml:space="preserve">There has </w:t>
      </w:r>
      <w:r w:rsidR="00E11F41">
        <w:rPr>
          <w:lang w:val="en-AU"/>
        </w:rPr>
        <w:t xml:space="preserve">only </w:t>
      </w:r>
      <w:r w:rsidRPr="00F64913">
        <w:rPr>
          <w:lang w:val="en-AU"/>
        </w:rPr>
        <w:t xml:space="preserve">been a small number of Robust dwellings supplied in the market, which is </w:t>
      </w:r>
      <w:r w:rsidR="00CD766E" w:rsidRPr="00F64913">
        <w:rPr>
          <w:lang w:val="en-AU"/>
        </w:rPr>
        <w:t xml:space="preserve">generally </w:t>
      </w:r>
      <w:r w:rsidRPr="00F64913">
        <w:rPr>
          <w:lang w:val="en-AU"/>
        </w:rPr>
        <w:t xml:space="preserve">consistent with </w:t>
      </w:r>
      <w:r w:rsidR="00B71879">
        <w:rPr>
          <w:lang w:val="en-AU"/>
        </w:rPr>
        <w:t>the likely</w:t>
      </w:r>
      <w:r w:rsidR="00CD766E" w:rsidRPr="00F64913">
        <w:rPr>
          <w:lang w:val="en-AU"/>
        </w:rPr>
        <w:t xml:space="preserve"> smaller </w:t>
      </w:r>
      <w:r w:rsidRPr="00F64913">
        <w:rPr>
          <w:lang w:val="en-AU"/>
        </w:rPr>
        <w:t>demand for Robust-type dwellings. Industry submissions noted that this is due to each dwelling being unique and tailored to the individual needs of each participant</w:t>
      </w:r>
      <w:r w:rsidR="00CD766E" w:rsidRPr="00F64913">
        <w:rPr>
          <w:lang w:val="en-AU"/>
        </w:rPr>
        <w:t>.</w:t>
      </w:r>
      <w:r w:rsidR="00C15B4C" w:rsidRPr="00F64913">
        <w:rPr>
          <w:lang w:val="en-AU"/>
        </w:rPr>
        <w:t xml:space="preserve"> </w:t>
      </w:r>
      <w:r w:rsidR="00CD766E" w:rsidRPr="00F64913">
        <w:rPr>
          <w:lang w:val="en-AU"/>
        </w:rPr>
        <w:t>However, current rates of Robust construction are still too small to meet this modest demand.</w:t>
      </w:r>
    </w:p>
    <w:p w:rsidR="00944174" w:rsidRDefault="00FE09EC" w:rsidP="00E11F41">
      <w:pPr>
        <w:shd w:val="clear" w:color="auto" w:fill="FFFFFF" w:themeFill="background1"/>
        <w:rPr>
          <w:lang w:val="en-AU"/>
        </w:rPr>
      </w:pPr>
      <w:r w:rsidRPr="00F64913">
        <w:rPr>
          <w:lang w:val="en-AU"/>
        </w:rPr>
        <w:t>The existing pricing and payments model wasn’t considered by industry stakeholders to be flexible enough to account for the differences between individual Robust-type dwellings</w:t>
      </w:r>
      <w:r w:rsidR="00CD766E" w:rsidRPr="00F64913">
        <w:rPr>
          <w:lang w:val="en-AU"/>
        </w:rPr>
        <w:t>.</w:t>
      </w:r>
      <w:r w:rsidR="00C15B4C" w:rsidRPr="00F64913">
        <w:rPr>
          <w:lang w:val="en-AU"/>
        </w:rPr>
        <w:t xml:space="preserve"> </w:t>
      </w:r>
      <w:r w:rsidR="00CD766E" w:rsidRPr="00F64913">
        <w:rPr>
          <w:lang w:val="en-AU"/>
        </w:rPr>
        <w:t xml:space="preserve">Further, providers argued that the model </w:t>
      </w:r>
      <w:r w:rsidRPr="00F64913">
        <w:rPr>
          <w:lang w:val="en-AU"/>
        </w:rPr>
        <w:t xml:space="preserve">may not account for all costs, including the co-design phase upfront and additional construction costs incurred to tailor it to </w:t>
      </w:r>
      <w:r w:rsidR="00B71879">
        <w:rPr>
          <w:lang w:val="en-AU"/>
        </w:rPr>
        <w:t>participant</w:t>
      </w:r>
      <w:r w:rsidR="00B71879" w:rsidRPr="00F64913">
        <w:rPr>
          <w:lang w:val="en-AU"/>
        </w:rPr>
        <w:t xml:space="preserve"> </w:t>
      </w:r>
      <w:r w:rsidRPr="00F64913">
        <w:rPr>
          <w:lang w:val="en-AU"/>
        </w:rPr>
        <w:t xml:space="preserve">needs. </w:t>
      </w:r>
      <w:r w:rsidR="00E11F41">
        <w:rPr>
          <w:lang w:val="en-AU"/>
        </w:rPr>
        <w:t>However, d</w:t>
      </w:r>
      <w:r w:rsidR="00795915" w:rsidRPr="00F64913">
        <w:rPr>
          <w:lang w:val="en-AU"/>
        </w:rPr>
        <w:t>ue to limited experience with Robust-type dwellings, industry could not provide a significant amount of evidence regarding an increase in construction costs required to facilitate greater investment. It was noted that even a modest increase would provide greater support to industry.</w:t>
      </w:r>
    </w:p>
    <w:p w:rsidR="00FE4A76" w:rsidRDefault="00FE4A76" w:rsidP="00FE4A76">
      <w:pPr>
        <w:shd w:val="clear" w:color="auto" w:fill="FFFFFF" w:themeFill="background1"/>
        <w:rPr>
          <w:b/>
          <w:lang w:val="en-AU"/>
        </w:rPr>
      </w:pPr>
      <w:r w:rsidRPr="00E11F41">
        <w:rPr>
          <w:b/>
          <w:lang w:val="en-AU"/>
        </w:rPr>
        <w:t xml:space="preserve">The Review therefore recommends that the NDIA should increase the construction cost assumptions for Fully Accessible </w:t>
      </w:r>
      <w:r>
        <w:rPr>
          <w:b/>
          <w:lang w:val="en-AU"/>
        </w:rPr>
        <w:t xml:space="preserve">and Robust </w:t>
      </w:r>
      <w:r w:rsidRPr="00E11F41">
        <w:rPr>
          <w:b/>
          <w:lang w:val="en-AU"/>
        </w:rPr>
        <w:t xml:space="preserve">dwellings by </w:t>
      </w:r>
      <w:r w:rsidR="004747DB">
        <w:rPr>
          <w:b/>
          <w:lang w:val="en-AU"/>
        </w:rPr>
        <w:t>16</w:t>
      </w:r>
      <w:r>
        <w:rPr>
          <w:b/>
          <w:lang w:val="en-AU"/>
        </w:rPr>
        <w:t>.0 per cent and 1</w:t>
      </w:r>
      <w:r w:rsidR="004747DB">
        <w:rPr>
          <w:b/>
          <w:lang w:val="en-AU"/>
        </w:rPr>
        <w:t>4</w:t>
      </w:r>
      <w:r>
        <w:rPr>
          <w:b/>
          <w:lang w:val="en-AU"/>
        </w:rPr>
        <w:t xml:space="preserve">.0 per cent </w:t>
      </w:r>
      <w:r w:rsidRPr="00F10726">
        <w:rPr>
          <w:b/>
          <w:lang w:val="en-AU"/>
        </w:rPr>
        <w:t>respectively</w:t>
      </w:r>
      <w:r>
        <w:rPr>
          <w:b/>
          <w:lang w:val="en-AU"/>
        </w:rPr>
        <w:t xml:space="preserve"> </w:t>
      </w:r>
      <w:r w:rsidRPr="00F10726">
        <w:rPr>
          <w:b/>
          <w:lang w:val="en-AU"/>
        </w:rPr>
        <w:t xml:space="preserve">to stimulate </w:t>
      </w:r>
      <w:r w:rsidRPr="00FE4A76">
        <w:rPr>
          <w:b/>
          <w:lang w:val="en-AU"/>
        </w:rPr>
        <w:t xml:space="preserve">supply (see </w:t>
      </w:r>
      <w:r w:rsidRPr="00FE4A76">
        <w:rPr>
          <w:b/>
          <w:lang w:val="en-AU"/>
        </w:rPr>
        <w:fldChar w:fldCharType="begin"/>
      </w:r>
      <w:r w:rsidRPr="00FE4A76">
        <w:rPr>
          <w:b/>
          <w:lang w:val="en-AU"/>
        </w:rPr>
        <w:instrText xml:space="preserve"> REF _Ref16553428 \h  \* MERGEFORMAT </w:instrText>
      </w:r>
      <w:r w:rsidRPr="00FE4A76">
        <w:rPr>
          <w:b/>
          <w:lang w:val="en-AU"/>
        </w:rPr>
      </w:r>
      <w:r w:rsidRPr="00FE4A76">
        <w:rPr>
          <w:b/>
          <w:lang w:val="en-AU"/>
        </w:rPr>
        <w:fldChar w:fldCharType="separate"/>
      </w:r>
      <w:r w:rsidR="00A3319D" w:rsidRPr="00A3319D">
        <w:rPr>
          <w:b/>
          <w:lang w:val="en-AU"/>
        </w:rPr>
        <w:t xml:space="preserve">Table </w:t>
      </w:r>
      <w:r w:rsidR="00A3319D" w:rsidRPr="00A3319D">
        <w:rPr>
          <w:b/>
          <w:noProof/>
          <w:lang w:val="en-AU"/>
        </w:rPr>
        <w:t>9</w:t>
      </w:r>
      <w:r w:rsidRPr="00FE4A76">
        <w:rPr>
          <w:b/>
          <w:lang w:val="en-AU"/>
        </w:rPr>
        <w:fldChar w:fldCharType="end"/>
      </w:r>
      <w:r w:rsidRPr="00FE4A76">
        <w:rPr>
          <w:b/>
          <w:lang w:val="en-AU"/>
        </w:rPr>
        <w:t>).</w:t>
      </w:r>
    </w:p>
    <w:p w:rsidR="00FE4A76" w:rsidRPr="00C80B86" w:rsidRDefault="00FE4A76" w:rsidP="00FE4A76">
      <w:pPr>
        <w:shd w:val="clear" w:color="auto" w:fill="FFFFFF" w:themeFill="background1"/>
        <w:rPr>
          <w:lang w:val="en-AU"/>
        </w:rPr>
      </w:pPr>
      <w:r w:rsidRPr="00FE4A76">
        <w:rPr>
          <w:lang w:val="en-AU"/>
        </w:rPr>
        <w:t xml:space="preserve">This translates into </w:t>
      </w:r>
      <w:r>
        <w:rPr>
          <w:lang w:val="en-AU"/>
        </w:rPr>
        <w:t xml:space="preserve">increases in the SDA </w:t>
      </w:r>
      <w:r w:rsidR="006773BA">
        <w:rPr>
          <w:lang w:val="en-AU"/>
        </w:rPr>
        <w:t>price cap</w:t>
      </w:r>
      <w:r>
        <w:rPr>
          <w:lang w:val="en-AU"/>
        </w:rPr>
        <w:t xml:space="preserve">s for Fully Accessible dwellings of </w:t>
      </w:r>
      <w:r w:rsidRPr="00C80B86">
        <w:rPr>
          <w:lang w:val="en-AU"/>
        </w:rPr>
        <w:t xml:space="preserve">between 10.1 per cent and 16.4 per cent and in the SDA </w:t>
      </w:r>
      <w:r w:rsidR="006773BA" w:rsidRPr="00C80B86">
        <w:rPr>
          <w:lang w:val="en-AU"/>
        </w:rPr>
        <w:t>price cap</w:t>
      </w:r>
      <w:r w:rsidRPr="00B32912">
        <w:rPr>
          <w:lang w:val="en-AU"/>
        </w:rPr>
        <w:t>s for Robust dwellings of between 9.4 per cent and 14.1 per cent (see</w:t>
      </w:r>
      <w:r w:rsidR="001338DF" w:rsidRPr="00B32912">
        <w:rPr>
          <w:lang w:val="en-AU"/>
        </w:rPr>
        <w:t xml:space="preserve"> </w:t>
      </w:r>
      <w:r w:rsidR="001338DF" w:rsidRPr="00C80B86">
        <w:rPr>
          <w:lang w:val="en-AU"/>
        </w:rPr>
        <w:fldChar w:fldCharType="begin"/>
      </w:r>
      <w:r w:rsidR="001338DF" w:rsidRPr="00C80B86">
        <w:rPr>
          <w:lang w:val="en-AU"/>
        </w:rPr>
        <w:instrText xml:space="preserve"> REF _Ref16553428 \h  \* MERGEFORMAT </w:instrText>
      </w:r>
      <w:r w:rsidR="001338DF" w:rsidRPr="00C80B86">
        <w:rPr>
          <w:lang w:val="en-AU"/>
        </w:rPr>
      </w:r>
      <w:r w:rsidR="001338DF" w:rsidRPr="00C80B86">
        <w:rPr>
          <w:lang w:val="en-AU"/>
        </w:rPr>
        <w:fldChar w:fldCharType="separate"/>
      </w:r>
      <w:r w:rsidR="00A3319D" w:rsidRPr="00F64913">
        <w:rPr>
          <w:lang w:val="en-AU"/>
        </w:rPr>
        <w:t xml:space="preserve">Table </w:t>
      </w:r>
      <w:r w:rsidR="00A3319D">
        <w:rPr>
          <w:noProof/>
          <w:lang w:val="en-AU"/>
        </w:rPr>
        <w:t>9</w:t>
      </w:r>
      <w:r w:rsidR="001338DF" w:rsidRPr="00C80B86">
        <w:rPr>
          <w:lang w:val="en-AU"/>
        </w:rPr>
        <w:fldChar w:fldCharType="end"/>
      </w:r>
      <w:r w:rsidR="001338DF" w:rsidRPr="00C80B86">
        <w:rPr>
          <w:lang w:val="en-AU"/>
        </w:rPr>
        <w:t xml:space="preserve"> and</w:t>
      </w:r>
      <w:r w:rsidRPr="00C80B86">
        <w:rPr>
          <w:lang w:val="en-AU"/>
        </w:rPr>
        <w:t xml:space="preserve"> </w:t>
      </w:r>
      <w:r w:rsidRPr="00C80B86">
        <w:rPr>
          <w:lang w:val="en-AU"/>
        </w:rPr>
        <w:fldChar w:fldCharType="begin"/>
      </w:r>
      <w:r w:rsidRPr="00C80B86">
        <w:rPr>
          <w:lang w:val="en-AU"/>
        </w:rPr>
        <w:instrText xml:space="preserve"> REF _Ref16582165 \h </w:instrText>
      </w:r>
      <w:r w:rsidR="00C80B86">
        <w:rPr>
          <w:lang w:val="en-AU"/>
        </w:rPr>
        <w:instrText xml:space="preserve"> \* MERGEFORMAT </w:instrText>
      </w:r>
      <w:r w:rsidRPr="00C80B86">
        <w:rPr>
          <w:lang w:val="en-AU"/>
        </w:rPr>
      </w:r>
      <w:r w:rsidRPr="00C80B86">
        <w:rPr>
          <w:lang w:val="en-AU"/>
        </w:rPr>
        <w:fldChar w:fldCharType="separate"/>
      </w:r>
      <w:r w:rsidR="00A3319D" w:rsidRPr="00F64913">
        <w:rPr>
          <w:lang w:val="en-AU"/>
        </w:rPr>
        <w:t xml:space="preserve">Table </w:t>
      </w:r>
      <w:r w:rsidR="00A3319D">
        <w:rPr>
          <w:noProof/>
          <w:lang w:val="en-AU"/>
        </w:rPr>
        <w:t>10</w:t>
      </w:r>
      <w:r w:rsidRPr="00C80B86">
        <w:rPr>
          <w:lang w:val="en-AU"/>
        </w:rPr>
        <w:fldChar w:fldCharType="end"/>
      </w:r>
      <w:r w:rsidRPr="00C80B86">
        <w:rPr>
          <w:lang w:val="en-AU"/>
        </w:rPr>
        <w:t>).</w:t>
      </w:r>
    </w:p>
    <w:p w:rsidR="000D52F1" w:rsidRPr="00C80B86" w:rsidRDefault="000D52F1" w:rsidP="000D52F1">
      <w:pPr>
        <w:rPr>
          <w:lang w:val="en-AU"/>
        </w:rPr>
      </w:pPr>
      <w:r w:rsidRPr="00A3319D">
        <w:rPr>
          <w:lang w:val="en-AU"/>
        </w:rPr>
        <w:t>The changes to location factors and cost assumptions recommended by the Review are designed to address pricing issues that could result in a lack of investment or undersupply in certain locations or SDA building types across the growing market. The recommended changes are considered those necessary in order to promote the objectives of the Review. They are not designed to benefit particular SDA investors or providers. Neither are they designed to benefit particular locations or building types, except to the extent that is necessary to incentivise a more equitable distribution of SDA.</w:t>
      </w:r>
    </w:p>
    <w:p w:rsidR="00C80B86" w:rsidRPr="0095677D" w:rsidRDefault="00C80B86" w:rsidP="00C80B86">
      <w:pPr>
        <w:shd w:val="clear" w:color="auto" w:fill="FFFFFF" w:themeFill="background1"/>
        <w:rPr>
          <w:b/>
          <w:lang w:val="en-AU"/>
        </w:rPr>
      </w:pPr>
      <w:r w:rsidRPr="00C80B86">
        <w:rPr>
          <w:b/>
          <w:lang w:val="en-AU"/>
        </w:rPr>
        <w:t xml:space="preserve">The Review further </w:t>
      </w:r>
      <w:r w:rsidRPr="00B32912">
        <w:rPr>
          <w:b/>
          <w:lang w:val="en-AU"/>
        </w:rPr>
        <w:t>recommends</w:t>
      </w:r>
      <w:r w:rsidRPr="0095677D">
        <w:rPr>
          <w:b/>
          <w:lang w:val="en-AU"/>
        </w:rPr>
        <w:t xml:space="preserve"> that the NDIA should</w:t>
      </w:r>
      <w:r>
        <w:rPr>
          <w:b/>
          <w:lang w:val="en-AU"/>
        </w:rPr>
        <w:t>, in particular,</w:t>
      </w:r>
      <w:r w:rsidRPr="0095677D">
        <w:rPr>
          <w:b/>
          <w:lang w:val="en-AU"/>
        </w:rPr>
        <w:t xml:space="preserve"> monitor the supply of Fully Accessible dwelling</w:t>
      </w:r>
      <w:r>
        <w:rPr>
          <w:b/>
          <w:lang w:val="en-AU"/>
        </w:rPr>
        <w:t xml:space="preserve"> placement</w:t>
      </w:r>
      <w:r w:rsidRPr="0095677D">
        <w:rPr>
          <w:b/>
          <w:lang w:val="en-AU"/>
        </w:rPr>
        <w:t>s ahead of the 2023 full Review of SDA Pricing Arrangements to ensure that the increases in price caps proposed by the Review are having the desired effect to stimulate supply.</w:t>
      </w:r>
    </w:p>
    <w:p w:rsidR="001B1CCF" w:rsidRDefault="00EE3BC7" w:rsidP="001B1CCF">
      <w:pPr>
        <w:shd w:val="clear" w:color="auto" w:fill="FFFFFF" w:themeFill="background1"/>
        <w:rPr>
          <w:lang w:val="en-AU"/>
        </w:rPr>
      </w:pPr>
      <w:r>
        <w:rPr>
          <w:lang w:val="en-AU"/>
        </w:rPr>
        <w:t xml:space="preserve">By this </w:t>
      </w:r>
      <w:r w:rsidR="007D6A8F">
        <w:rPr>
          <w:lang w:val="en-AU"/>
        </w:rPr>
        <w:t>time</w:t>
      </w:r>
      <w:r>
        <w:rPr>
          <w:lang w:val="en-AU"/>
        </w:rPr>
        <w:t xml:space="preserve">, </w:t>
      </w:r>
      <w:r w:rsidR="001B1CCF" w:rsidRPr="00E11F41">
        <w:rPr>
          <w:lang w:val="en-AU"/>
        </w:rPr>
        <w:t xml:space="preserve">the Agency </w:t>
      </w:r>
      <w:r>
        <w:rPr>
          <w:lang w:val="en-AU"/>
        </w:rPr>
        <w:t xml:space="preserve">will </w:t>
      </w:r>
      <w:r w:rsidR="001B1CCF" w:rsidRPr="00E11F41">
        <w:rPr>
          <w:lang w:val="en-AU"/>
        </w:rPr>
        <w:t xml:space="preserve">have </w:t>
      </w:r>
      <w:r w:rsidR="00B71879">
        <w:rPr>
          <w:lang w:val="en-AU"/>
        </w:rPr>
        <w:t>greater access to</w:t>
      </w:r>
      <w:r w:rsidR="001B1CCF" w:rsidRPr="00E11F41">
        <w:rPr>
          <w:lang w:val="en-AU"/>
        </w:rPr>
        <w:t xml:space="preserve"> actual cost data on </w:t>
      </w:r>
      <w:r w:rsidR="00B71879">
        <w:rPr>
          <w:lang w:val="en-AU"/>
        </w:rPr>
        <w:t>SDA dwelling</w:t>
      </w:r>
      <w:r w:rsidR="001B1CCF" w:rsidRPr="00E11F41">
        <w:rPr>
          <w:lang w:val="en-AU"/>
        </w:rPr>
        <w:t xml:space="preserve">, </w:t>
      </w:r>
      <w:r w:rsidR="00B71879">
        <w:rPr>
          <w:lang w:val="en-AU"/>
        </w:rPr>
        <w:t>reducing the need to rely</w:t>
      </w:r>
      <w:r w:rsidR="001B1CCF" w:rsidRPr="00E11F41">
        <w:rPr>
          <w:lang w:val="en-AU"/>
        </w:rPr>
        <w:t xml:space="preserve"> on its own </w:t>
      </w:r>
      <w:r w:rsidR="001B1CCF">
        <w:rPr>
          <w:lang w:val="en-AU"/>
        </w:rPr>
        <w:t>and</w:t>
      </w:r>
      <w:r w:rsidR="001B1CCF" w:rsidRPr="00E11F41">
        <w:rPr>
          <w:lang w:val="en-AU"/>
        </w:rPr>
        <w:t xml:space="preserve"> </w:t>
      </w:r>
      <w:r w:rsidR="00B71879">
        <w:rPr>
          <w:lang w:val="en-AU"/>
        </w:rPr>
        <w:t>industry</w:t>
      </w:r>
      <w:r w:rsidR="00B71879" w:rsidRPr="00E11F41">
        <w:rPr>
          <w:lang w:val="en-AU"/>
        </w:rPr>
        <w:t xml:space="preserve"> </w:t>
      </w:r>
      <w:r w:rsidR="001B1CCF" w:rsidRPr="00E11F41">
        <w:rPr>
          <w:lang w:val="en-AU"/>
        </w:rPr>
        <w:t>model</w:t>
      </w:r>
      <w:r w:rsidR="00B71879">
        <w:rPr>
          <w:lang w:val="en-AU"/>
        </w:rPr>
        <w:t>ling</w:t>
      </w:r>
      <w:r w:rsidR="001B1CCF" w:rsidRPr="00E11F41">
        <w:rPr>
          <w:lang w:val="en-AU"/>
        </w:rPr>
        <w:t>.</w:t>
      </w:r>
    </w:p>
    <w:p w:rsidR="001B1CCF" w:rsidRPr="004F4D61" w:rsidRDefault="001B1CCF" w:rsidP="000D52F1">
      <w:pPr>
        <w:rPr>
          <w:lang w:val="en-AU"/>
        </w:rPr>
      </w:pPr>
    </w:p>
    <w:p w:rsidR="000D52F1" w:rsidRDefault="000D52F1" w:rsidP="00FE4A76">
      <w:pPr>
        <w:shd w:val="clear" w:color="auto" w:fill="FFFFFF" w:themeFill="background1"/>
        <w:rPr>
          <w:lang w:val="en-AU"/>
        </w:rPr>
      </w:pPr>
    </w:p>
    <w:p w:rsidR="00E80455" w:rsidRPr="00A3319D" w:rsidRDefault="00E80455" w:rsidP="00A3319D">
      <w:pPr>
        <w:sectPr w:rsidR="00E80455" w:rsidRPr="00A3319D" w:rsidSect="009438A6">
          <w:type w:val="continuous"/>
          <w:pgSz w:w="11906" w:h="16838" w:code="9"/>
          <w:pgMar w:top="1440" w:right="1440" w:bottom="1440" w:left="1440" w:header="709" w:footer="709" w:gutter="0"/>
          <w:cols w:space="708"/>
          <w:titlePg/>
          <w:docGrid w:linePitch="360"/>
        </w:sectPr>
      </w:pPr>
    </w:p>
    <w:p w:rsidR="00F10726" w:rsidRDefault="00F10726" w:rsidP="00F10726">
      <w:pPr>
        <w:pStyle w:val="Caption"/>
        <w:rPr>
          <w:lang w:val="en-AU"/>
        </w:rPr>
      </w:pPr>
      <w:bookmarkStart w:id="51" w:name="_Ref16553428"/>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9</w:t>
      </w:r>
      <w:r w:rsidRPr="00F64913">
        <w:rPr>
          <w:lang w:val="en-AU"/>
        </w:rPr>
        <w:fldChar w:fldCharType="end"/>
      </w:r>
      <w:bookmarkEnd w:id="51"/>
      <w:r w:rsidRPr="00F64913">
        <w:rPr>
          <w:lang w:val="en-AU"/>
        </w:rPr>
        <w:t xml:space="preserve">: </w:t>
      </w:r>
      <w:r>
        <w:rPr>
          <w:lang w:val="en-AU"/>
        </w:rPr>
        <w:t xml:space="preserve">Recommended Adjustments to Base </w:t>
      </w:r>
      <w:r w:rsidR="00FE4A76">
        <w:rPr>
          <w:lang w:val="en-AU"/>
        </w:rPr>
        <w:t>Construction Cost Estimates</w:t>
      </w:r>
      <w:r>
        <w:rPr>
          <w:lang w:val="en-AU"/>
        </w:rPr>
        <w:t xml:space="preserve"> (</w:t>
      </w:r>
      <w:r w:rsidR="00FE4A76">
        <w:rPr>
          <w:lang w:val="en-AU"/>
        </w:rPr>
        <w:t>20</w:t>
      </w:r>
      <w:r w:rsidR="0084462F">
        <w:rPr>
          <w:lang w:val="en-AU"/>
        </w:rPr>
        <w:t>16</w:t>
      </w:r>
      <w:r w:rsidR="00FE4A76">
        <w:rPr>
          <w:lang w:val="en-AU"/>
        </w:rPr>
        <w:t>-1</w:t>
      </w:r>
      <w:r w:rsidR="0084462F">
        <w:rPr>
          <w:lang w:val="en-AU"/>
        </w:rPr>
        <w:t>7</w:t>
      </w:r>
      <w:r>
        <w:rPr>
          <w:lang w:val="en-AU"/>
        </w:rPr>
        <w:t xml:space="preserve"> prices)</w:t>
      </w:r>
    </w:p>
    <w:p w:rsidR="007D5F6B" w:rsidRPr="008513F7" w:rsidRDefault="00C34DD1" w:rsidP="007D5F6B">
      <w:pPr>
        <w:rPr>
          <w:lang w:val="en-AU"/>
        </w:rPr>
      </w:pPr>
      <w:r>
        <w:rPr>
          <w:b/>
          <w:lang w:val="en-AU"/>
        </w:rPr>
        <w:t xml:space="preserve">Table 9.1 </w:t>
      </w:r>
      <w:r w:rsidR="007D5F6B" w:rsidRPr="008513F7">
        <w:rPr>
          <w:b/>
          <w:lang w:val="en-AU"/>
        </w:rPr>
        <w:t>2016/2017 original construction cost assumptions</w:t>
      </w:r>
    </w:p>
    <w:tbl>
      <w:tblPr>
        <w:tblW w:w="13467" w:type="dxa"/>
        <w:tblLook w:val="04A0" w:firstRow="1" w:lastRow="0" w:firstColumn="1" w:lastColumn="0" w:noHBand="0" w:noVBand="1"/>
      </w:tblPr>
      <w:tblGrid>
        <w:gridCol w:w="1288"/>
        <w:gridCol w:w="697"/>
        <w:gridCol w:w="850"/>
        <w:gridCol w:w="865"/>
        <w:gridCol w:w="978"/>
        <w:gridCol w:w="992"/>
        <w:gridCol w:w="1134"/>
        <w:gridCol w:w="851"/>
        <w:gridCol w:w="1134"/>
        <w:gridCol w:w="1134"/>
        <w:gridCol w:w="945"/>
        <w:gridCol w:w="1181"/>
        <w:gridCol w:w="1418"/>
      </w:tblGrid>
      <w:tr w:rsidR="007D5F6B" w:rsidRPr="008C5CEA" w:rsidTr="004D677B">
        <w:trPr>
          <w:trHeight w:val="293"/>
          <w:tblHeader/>
        </w:trPr>
        <w:tc>
          <w:tcPr>
            <w:tcW w:w="1288" w:type="dxa"/>
            <w:tcBorders>
              <w:top w:val="nil"/>
              <w:left w:val="nil"/>
              <w:bottom w:val="nil"/>
              <w:right w:val="nil"/>
            </w:tcBorders>
            <w:shd w:val="clear" w:color="auto" w:fill="auto"/>
            <w:noWrap/>
            <w:vAlign w:val="bottom"/>
            <w:hideMark/>
          </w:tcPr>
          <w:p w:rsidR="007D5F6B" w:rsidRPr="006C45F1" w:rsidRDefault="007D5F6B" w:rsidP="00DA714D">
            <w:pPr>
              <w:spacing w:after="0" w:line="240" w:lineRule="auto"/>
              <w:rPr>
                <w:rFonts w:ascii="Times New Roman" w:eastAsia="Times New Roman" w:hAnsi="Times New Roman" w:cs="Times New Roman"/>
                <w:sz w:val="16"/>
                <w:lang w:eastAsia="en-AU"/>
              </w:rPr>
            </w:pPr>
          </w:p>
        </w:tc>
        <w:tc>
          <w:tcPr>
            <w:tcW w:w="697" w:type="dxa"/>
            <w:tcBorders>
              <w:top w:val="nil"/>
              <w:left w:val="nil"/>
              <w:bottom w:val="nil"/>
              <w:right w:val="nil"/>
            </w:tcBorders>
            <w:shd w:val="clear" w:color="auto" w:fill="auto"/>
            <w:noWrap/>
            <w:vAlign w:val="bottom"/>
            <w:hideMark/>
          </w:tcPr>
          <w:p w:rsidR="007D5F6B" w:rsidRPr="006C45F1" w:rsidRDefault="007D5F6B" w:rsidP="00DA714D">
            <w:pPr>
              <w:spacing w:after="0" w:line="240" w:lineRule="auto"/>
              <w:rPr>
                <w:rFonts w:ascii="Times New Roman" w:eastAsia="Times New Roman" w:hAnsi="Times New Roman" w:cs="Times New Roman"/>
                <w:sz w:val="16"/>
                <w:szCs w:val="20"/>
                <w:lang w:eastAsia="en-AU"/>
              </w:rPr>
            </w:pPr>
          </w:p>
        </w:tc>
        <w:tc>
          <w:tcPr>
            <w:tcW w:w="4819"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7D5F6B" w:rsidRPr="006C45F1" w:rsidRDefault="007D5F6B" w:rsidP="00DA714D">
            <w:pPr>
              <w:spacing w:after="0" w:line="240" w:lineRule="auto"/>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BUILD COST no OOA</w:t>
            </w:r>
          </w:p>
        </w:tc>
        <w:tc>
          <w:tcPr>
            <w:tcW w:w="5245"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7D5F6B" w:rsidRPr="006C45F1" w:rsidRDefault="007D5F6B" w:rsidP="00DA714D">
            <w:pPr>
              <w:spacing w:after="0" w:line="240" w:lineRule="auto"/>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BUILD COST with OOA</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rsidR="007D5F6B" w:rsidRPr="006C45F1" w:rsidRDefault="007D5F6B" w:rsidP="00DA714D">
            <w:pPr>
              <w:spacing w:after="0" w:line="240" w:lineRule="auto"/>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+1 room</w:t>
            </w:r>
          </w:p>
        </w:tc>
      </w:tr>
      <w:tr w:rsidR="007D5F6B" w:rsidRPr="008C5CEA" w:rsidTr="00DA714D">
        <w:trPr>
          <w:trHeight w:val="473"/>
        </w:trPr>
        <w:tc>
          <w:tcPr>
            <w:tcW w:w="1288" w:type="dxa"/>
            <w:tcBorders>
              <w:top w:val="nil"/>
              <w:left w:val="nil"/>
              <w:bottom w:val="nil"/>
              <w:right w:val="nil"/>
            </w:tcBorders>
            <w:shd w:val="clear" w:color="auto" w:fill="auto"/>
            <w:noWrap/>
            <w:vAlign w:val="bottom"/>
            <w:hideMark/>
          </w:tcPr>
          <w:p w:rsidR="007D5F6B" w:rsidRPr="006C45F1" w:rsidRDefault="007D5F6B" w:rsidP="00DA714D">
            <w:pPr>
              <w:spacing w:after="0" w:line="240" w:lineRule="auto"/>
              <w:rPr>
                <w:rFonts w:ascii="Calibri" w:eastAsia="Times New Roman" w:hAnsi="Calibri" w:cs="Calibri"/>
                <w:b/>
                <w:bCs/>
                <w:color w:val="000000"/>
                <w:sz w:val="16"/>
                <w:szCs w:val="18"/>
                <w:lang w:eastAsia="en-AU"/>
              </w:rPr>
            </w:pPr>
          </w:p>
        </w:tc>
        <w:tc>
          <w:tcPr>
            <w:tcW w:w="697" w:type="dxa"/>
            <w:tcBorders>
              <w:top w:val="nil"/>
              <w:left w:val="nil"/>
              <w:bottom w:val="nil"/>
              <w:right w:val="nil"/>
            </w:tcBorders>
            <w:shd w:val="clear" w:color="auto" w:fill="auto"/>
            <w:noWrap/>
            <w:vAlign w:val="bottom"/>
            <w:hideMark/>
          </w:tcPr>
          <w:p w:rsidR="007D5F6B" w:rsidRPr="006C45F1" w:rsidRDefault="007D5F6B" w:rsidP="00DA714D">
            <w:pPr>
              <w:spacing w:after="0" w:line="240" w:lineRule="auto"/>
              <w:rPr>
                <w:rFonts w:ascii="Times New Roman" w:eastAsia="Times New Roman" w:hAnsi="Times New Roman" w:cs="Times New Roman"/>
                <w:sz w:val="16"/>
                <w:szCs w:val="20"/>
                <w:lang w:eastAsia="en-AU"/>
              </w:rPr>
            </w:pPr>
          </w:p>
        </w:tc>
        <w:tc>
          <w:tcPr>
            <w:tcW w:w="850"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Standard</w:t>
            </w:r>
          </w:p>
        </w:tc>
        <w:tc>
          <w:tcPr>
            <w:tcW w:w="865"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Improved liveability</w:t>
            </w:r>
          </w:p>
        </w:tc>
        <w:tc>
          <w:tcPr>
            <w:tcW w:w="978"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Fully accessible</w:t>
            </w:r>
          </w:p>
        </w:tc>
        <w:tc>
          <w:tcPr>
            <w:tcW w:w="992"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Robust</w:t>
            </w:r>
          </w:p>
        </w:tc>
        <w:tc>
          <w:tcPr>
            <w:tcW w:w="1134"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High Support</w:t>
            </w:r>
          </w:p>
        </w:tc>
        <w:tc>
          <w:tcPr>
            <w:tcW w:w="851"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Standard w OOA</w:t>
            </w:r>
          </w:p>
        </w:tc>
        <w:tc>
          <w:tcPr>
            <w:tcW w:w="1134"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Improved liveability w OOA</w:t>
            </w:r>
          </w:p>
        </w:tc>
        <w:tc>
          <w:tcPr>
            <w:tcW w:w="1134"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Fully accessible w OOA</w:t>
            </w:r>
          </w:p>
        </w:tc>
        <w:tc>
          <w:tcPr>
            <w:tcW w:w="945"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Robust w OOA</w:t>
            </w:r>
          </w:p>
        </w:tc>
        <w:tc>
          <w:tcPr>
            <w:tcW w:w="1181" w:type="dxa"/>
            <w:tcBorders>
              <w:top w:val="nil"/>
              <w:left w:val="single" w:sz="8" w:space="0" w:color="auto"/>
              <w:bottom w:val="nil"/>
              <w:right w:val="nil"/>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High Support w OOA</w:t>
            </w:r>
          </w:p>
        </w:tc>
        <w:tc>
          <w:tcPr>
            <w:tcW w:w="1418" w:type="dxa"/>
            <w:tcBorders>
              <w:top w:val="nil"/>
              <w:left w:val="single" w:sz="8" w:space="0" w:color="auto"/>
              <w:bottom w:val="nil"/>
              <w:right w:val="single" w:sz="8" w:space="0" w:color="auto"/>
            </w:tcBorders>
            <w:shd w:val="clear" w:color="000000" w:fill="FFFFFF"/>
            <w:hideMark/>
          </w:tcPr>
          <w:p w:rsidR="007D5F6B" w:rsidRPr="006C45F1" w:rsidRDefault="007D5F6B" w:rsidP="00DA714D">
            <w:pPr>
              <w:spacing w:after="0" w:line="240" w:lineRule="auto"/>
              <w:jc w:val="center"/>
              <w:rPr>
                <w:rFonts w:ascii="Calibri" w:eastAsia="Times New Roman" w:hAnsi="Calibri" w:cs="Calibri"/>
                <w:b/>
                <w:bCs/>
                <w:color w:val="000000"/>
                <w:sz w:val="16"/>
                <w:szCs w:val="18"/>
                <w:lang w:eastAsia="en-AU"/>
              </w:rPr>
            </w:pPr>
            <w:r w:rsidRPr="006C45F1">
              <w:rPr>
                <w:rFonts w:ascii="Calibri" w:eastAsia="Times New Roman" w:hAnsi="Calibri" w:cs="Calibri"/>
                <w:b/>
                <w:bCs/>
                <w:color w:val="000000"/>
                <w:sz w:val="16"/>
                <w:szCs w:val="18"/>
                <w:lang w:eastAsia="en-AU"/>
              </w:rPr>
              <w:t>Robust w OOA, +1 room</w:t>
            </w:r>
          </w:p>
        </w:tc>
      </w:tr>
      <w:tr w:rsidR="007D5F6B" w:rsidRPr="008C5CEA" w:rsidTr="00DA714D">
        <w:trPr>
          <w:trHeight w:val="285"/>
        </w:trPr>
        <w:tc>
          <w:tcPr>
            <w:tcW w:w="1288" w:type="dxa"/>
            <w:tcBorders>
              <w:top w:val="single" w:sz="8" w:space="0" w:color="auto"/>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Apartment </w:t>
            </w:r>
          </w:p>
        </w:tc>
        <w:tc>
          <w:tcPr>
            <w:tcW w:w="697" w:type="dxa"/>
            <w:tcBorders>
              <w:top w:val="single" w:sz="8" w:space="0" w:color="auto"/>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w:t>
            </w:r>
          </w:p>
        </w:tc>
        <w:tc>
          <w:tcPr>
            <w:tcW w:w="850" w:type="dxa"/>
            <w:tcBorders>
              <w:top w:val="single" w:sz="8" w:space="0" w:color="auto"/>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$374,283</w:t>
            </w:r>
          </w:p>
        </w:tc>
        <w:tc>
          <w:tcPr>
            <w:tcW w:w="865"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$380,330</w:t>
            </w:r>
          </w:p>
        </w:tc>
        <w:tc>
          <w:tcPr>
            <w:tcW w:w="978"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$574,959</w:t>
            </w:r>
          </w:p>
        </w:tc>
        <w:tc>
          <w:tcPr>
            <w:tcW w:w="992"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$838,715</w:t>
            </w:r>
          </w:p>
        </w:tc>
        <w:tc>
          <w:tcPr>
            <w:tcW w:w="851"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945"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81" w:type="dxa"/>
            <w:tcBorders>
              <w:top w:val="single" w:sz="8" w:space="0" w:color="auto"/>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418" w:type="dxa"/>
            <w:tcBorders>
              <w:top w:val="single" w:sz="8" w:space="0" w:color="auto"/>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Apartment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$461,796</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$469,202</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$716,527</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$1,060,239</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Apartment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$590,865</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$600,448</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$928,588</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$1,406,490</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Villa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$218,052</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$222,357</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$334,942</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$402,669</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$519,682</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$254,890</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$369,184</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$445,260</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$564,743</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$481,082</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Duplex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$278,868</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$284,505</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$420,954</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$509,654</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$668,640</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$315,454</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$453,528</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$549,877</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$711,092</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$583,706</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Duplex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$364,623</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$371,798</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$552,033</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$674,227</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$890,075</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$402,033</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$583,853</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$713,371</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$931,343</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$746,293</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House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2</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$304,493</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$308,593</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$445,554</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$545,529</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$705,540</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$339,541</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$478,128</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$585,752</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$747,992</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$619,581</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House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$383,073</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$425,098</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$625,833</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$755,715</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$1,070,988</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$458,981</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$661,484</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$798,970</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$1,120,945</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$835,354</w:t>
            </w:r>
          </w:p>
        </w:tc>
      </w:tr>
      <w:tr w:rsidR="007D5F6B" w:rsidRPr="008C5CEA" w:rsidTr="00DA714D">
        <w:trPr>
          <w:trHeight w:val="285"/>
        </w:trPr>
        <w:tc>
          <w:tcPr>
            <w:tcW w:w="1288"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House </w:t>
            </w:r>
          </w:p>
        </w:tc>
        <w:tc>
          <w:tcPr>
            <w:tcW w:w="697" w:type="dxa"/>
            <w:tcBorders>
              <w:top w:val="nil"/>
              <w:left w:val="nil"/>
              <w:bottom w:val="single" w:sz="4"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4</w:t>
            </w:r>
          </w:p>
        </w:tc>
        <w:tc>
          <w:tcPr>
            <w:tcW w:w="850" w:type="dxa"/>
            <w:tcBorders>
              <w:top w:val="nil"/>
              <w:left w:val="single" w:sz="8" w:space="0" w:color="auto"/>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$574,790</w:t>
            </w:r>
          </w:p>
        </w:tc>
        <w:tc>
          <w:tcPr>
            <w:tcW w:w="86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$586,065</w:t>
            </w:r>
          </w:p>
        </w:tc>
        <w:tc>
          <w:tcPr>
            <w:tcW w:w="978"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$830,719</w:t>
            </w:r>
          </w:p>
        </w:tc>
        <w:tc>
          <w:tcPr>
            <w:tcW w:w="992"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$992,352</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$1,367,945</w:t>
            </w:r>
          </w:p>
        </w:tc>
        <w:tc>
          <w:tcPr>
            <w:tcW w:w="85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$620,164</w:t>
            </w:r>
          </w:p>
        </w:tc>
        <w:tc>
          <w:tcPr>
            <w:tcW w:w="1134"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$866,596</w:t>
            </w:r>
          </w:p>
        </w:tc>
        <w:tc>
          <w:tcPr>
            <w:tcW w:w="945"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$1,035,595</w:t>
            </w:r>
          </w:p>
        </w:tc>
        <w:tc>
          <w:tcPr>
            <w:tcW w:w="1181" w:type="dxa"/>
            <w:tcBorders>
              <w:top w:val="nil"/>
              <w:left w:val="nil"/>
              <w:bottom w:val="single" w:sz="4"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$1,417,556</w:t>
            </w:r>
          </w:p>
        </w:tc>
        <w:tc>
          <w:tcPr>
            <w:tcW w:w="1418" w:type="dxa"/>
            <w:tcBorders>
              <w:top w:val="nil"/>
              <w:left w:val="nil"/>
              <w:bottom w:val="single" w:sz="4"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$1,071,970</w:t>
            </w:r>
          </w:p>
        </w:tc>
      </w:tr>
      <w:tr w:rsidR="007D5F6B" w:rsidRPr="008C5CEA" w:rsidTr="00DA714D">
        <w:trPr>
          <w:trHeight w:val="325"/>
        </w:trPr>
        <w:tc>
          <w:tcPr>
            <w:tcW w:w="1288" w:type="dxa"/>
            <w:tcBorders>
              <w:top w:val="nil"/>
              <w:left w:val="single" w:sz="8" w:space="0" w:color="auto"/>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 xml:space="preserve"> Group Accommodation </w:t>
            </w:r>
          </w:p>
        </w:tc>
        <w:tc>
          <w:tcPr>
            <w:tcW w:w="697" w:type="dxa"/>
            <w:tcBorders>
              <w:top w:val="nil"/>
              <w:left w:val="nil"/>
              <w:bottom w:val="single" w:sz="8" w:space="0" w:color="auto"/>
              <w:right w:val="nil"/>
            </w:tcBorders>
            <w:shd w:val="clear" w:color="000000" w:fill="C1EDFF"/>
            <w:noWrap/>
            <w:vAlign w:val="bottom"/>
            <w:hideMark/>
          </w:tcPr>
          <w:p w:rsidR="007D5F6B" w:rsidRPr="006C45F1" w:rsidRDefault="007D5F6B" w:rsidP="00DA714D">
            <w:pPr>
              <w:spacing w:after="0" w:line="240" w:lineRule="auto"/>
              <w:jc w:val="center"/>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5</w:t>
            </w:r>
          </w:p>
        </w:tc>
        <w:tc>
          <w:tcPr>
            <w:tcW w:w="850" w:type="dxa"/>
            <w:tcBorders>
              <w:top w:val="nil"/>
              <w:left w:val="single" w:sz="8" w:space="0" w:color="auto"/>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$625,268</w:t>
            </w:r>
          </w:p>
        </w:tc>
        <w:tc>
          <w:tcPr>
            <w:tcW w:w="865"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$636,543</w:t>
            </w:r>
          </w:p>
        </w:tc>
        <w:tc>
          <w:tcPr>
            <w:tcW w:w="978"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$917,417</w:t>
            </w:r>
          </w:p>
        </w:tc>
        <w:tc>
          <w:tcPr>
            <w:tcW w:w="992"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$1,094,956</w:t>
            </w:r>
          </w:p>
        </w:tc>
        <w:tc>
          <w:tcPr>
            <w:tcW w:w="1134"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$1,523,852</w:t>
            </w:r>
          </w:p>
        </w:tc>
        <w:tc>
          <w:tcPr>
            <w:tcW w:w="851"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na</w:t>
            </w:r>
          </w:p>
        </w:tc>
        <w:tc>
          <w:tcPr>
            <w:tcW w:w="1134"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$669,757</w:t>
            </w:r>
          </w:p>
        </w:tc>
        <w:tc>
          <w:tcPr>
            <w:tcW w:w="1134"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w:t>
            </w:r>
            <w:r>
              <w:rPr>
                <w:rFonts w:ascii="Calibri" w:eastAsia="Times New Roman" w:hAnsi="Calibri" w:cs="Calibri"/>
                <w:color w:val="000000"/>
                <w:sz w:val="16"/>
                <w:lang w:eastAsia="en-AU"/>
              </w:rPr>
              <w:t xml:space="preserve"> </w:t>
            </w:r>
            <w:r w:rsidRPr="006C45F1">
              <w:rPr>
                <w:rFonts w:ascii="Calibri" w:eastAsia="Times New Roman" w:hAnsi="Calibri" w:cs="Calibri"/>
                <w:color w:val="000000"/>
                <w:sz w:val="16"/>
                <w:lang w:eastAsia="en-AU"/>
              </w:rPr>
              <w:t>952,367</w:t>
            </w:r>
          </w:p>
        </w:tc>
        <w:tc>
          <w:tcPr>
            <w:tcW w:w="945"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$1,136,948</w:t>
            </w:r>
          </w:p>
        </w:tc>
        <w:tc>
          <w:tcPr>
            <w:tcW w:w="1181" w:type="dxa"/>
            <w:tcBorders>
              <w:top w:val="nil"/>
              <w:left w:val="nil"/>
              <w:bottom w:val="single" w:sz="8" w:space="0" w:color="auto"/>
              <w:right w:val="single" w:sz="4"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$1,571,895</w:t>
            </w:r>
          </w:p>
        </w:tc>
        <w:tc>
          <w:tcPr>
            <w:tcW w:w="1418" w:type="dxa"/>
            <w:tcBorders>
              <w:top w:val="nil"/>
              <w:left w:val="nil"/>
              <w:bottom w:val="single" w:sz="8" w:space="0" w:color="auto"/>
              <w:right w:val="single" w:sz="8" w:space="0" w:color="auto"/>
            </w:tcBorders>
            <w:shd w:val="clear" w:color="000000" w:fill="C1EDFF"/>
            <w:noWrap/>
            <w:vAlign w:val="bottom"/>
            <w:hideMark/>
          </w:tcPr>
          <w:p w:rsidR="007D5F6B" w:rsidRPr="006C45F1" w:rsidRDefault="007D5F6B" w:rsidP="00DA714D">
            <w:pPr>
              <w:spacing w:after="0" w:line="240" w:lineRule="auto"/>
              <w:jc w:val="right"/>
              <w:rPr>
                <w:rFonts w:ascii="Calibri" w:eastAsia="Times New Roman" w:hAnsi="Calibri" w:cs="Calibri"/>
                <w:color w:val="000000"/>
                <w:sz w:val="16"/>
                <w:lang w:eastAsia="en-AU"/>
              </w:rPr>
            </w:pPr>
            <w:r w:rsidRPr="006C45F1">
              <w:rPr>
                <w:rFonts w:ascii="Calibri" w:eastAsia="Times New Roman" w:hAnsi="Calibri" w:cs="Calibri"/>
                <w:color w:val="000000"/>
                <w:sz w:val="16"/>
                <w:lang w:eastAsia="en-AU"/>
              </w:rPr>
              <w:t>$1,172,270</w:t>
            </w:r>
          </w:p>
        </w:tc>
      </w:tr>
    </w:tbl>
    <w:p w:rsidR="00153EA8" w:rsidRDefault="00153EA8" w:rsidP="007D5F6B">
      <w:pPr>
        <w:rPr>
          <w:b/>
          <w:lang w:val="en-AU"/>
        </w:rPr>
      </w:pPr>
      <w:r>
        <w:rPr>
          <w:b/>
          <w:lang w:val="en-AU"/>
        </w:rPr>
        <w:t>Table 9.2 Recommended changes to original construction cost assumptions ($ 2016/17)</w:t>
      </w:r>
    </w:p>
    <w:tbl>
      <w:tblPr>
        <w:tblW w:w="13467" w:type="dxa"/>
        <w:tblLayout w:type="fixed"/>
        <w:tblLook w:val="04A0" w:firstRow="1" w:lastRow="0" w:firstColumn="1" w:lastColumn="0" w:noHBand="0" w:noVBand="1"/>
      </w:tblPr>
      <w:tblGrid>
        <w:gridCol w:w="1418"/>
        <w:gridCol w:w="567"/>
        <w:gridCol w:w="850"/>
        <w:gridCol w:w="993"/>
        <w:gridCol w:w="992"/>
        <w:gridCol w:w="850"/>
        <w:gridCol w:w="1134"/>
        <w:gridCol w:w="851"/>
        <w:gridCol w:w="1134"/>
        <w:gridCol w:w="992"/>
        <w:gridCol w:w="992"/>
        <w:gridCol w:w="1134"/>
        <w:gridCol w:w="1560"/>
      </w:tblGrid>
      <w:tr w:rsidR="00153EA8" w:rsidRPr="005F24C2" w:rsidTr="008F3457">
        <w:trPr>
          <w:trHeight w:val="293"/>
          <w:tblHeader/>
        </w:trPr>
        <w:tc>
          <w:tcPr>
            <w:tcW w:w="1418" w:type="dxa"/>
            <w:tcBorders>
              <w:top w:val="nil"/>
              <w:left w:val="nil"/>
              <w:bottom w:val="nil"/>
              <w:right w:val="nil"/>
            </w:tcBorders>
            <w:shd w:val="clear" w:color="auto" w:fill="auto"/>
            <w:noWrap/>
            <w:vAlign w:val="bottom"/>
            <w:hideMark/>
          </w:tcPr>
          <w:p w:rsidR="00153EA8" w:rsidRPr="005F24C2" w:rsidRDefault="00153EA8" w:rsidP="006B624F">
            <w:pPr>
              <w:spacing w:after="0" w:line="240" w:lineRule="auto"/>
              <w:rPr>
                <w:rFonts w:ascii="Times New Roman" w:eastAsia="Times New Roman" w:hAnsi="Times New Roman" w:cs="Times New Roman"/>
                <w:sz w:val="16"/>
                <w:lang w:eastAsia="en-AU"/>
              </w:rPr>
            </w:pPr>
          </w:p>
        </w:tc>
        <w:tc>
          <w:tcPr>
            <w:tcW w:w="567" w:type="dxa"/>
            <w:tcBorders>
              <w:top w:val="nil"/>
              <w:left w:val="nil"/>
              <w:bottom w:val="nil"/>
              <w:right w:val="nil"/>
            </w:tcBorders>
            <w:shd w:val="clear" w:color="auto" w:fill="auto"/>
            <w:noWrap/>
            <w:vAlign w:val="bottom"/>
            <w:hideMark/>
          </w:tcPr>
          <w:p w:rsidR="00153EA8" w:rsidRPr="005F24C2" w:rsidRDefault="00153EA8" w:rsidP="006B624F">
            <w:pPr>
              <w:spacing w:after="0" w:line="240" w:lineRule="auto"/>
              <w:rPr>
                <w:rFonts w:ascii="Times New Roman" w:eastAsia="Times New Roman" w:hAnsi="Times New Roman" w:cs="Times New Roman"/>
                <w:sz w:val="16"/>
                <w:szCs w:val="20"/>
                <w:lang w:eastAsia="en-AU"/>
              </w:rPr>
            </w:pPr>
          </w:p>
        </w:tc>
        <w:tc>
          <w:tcPr>
            <w:tcW w:w="4819"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153EA8" w:rsidRPr="005F24C2" w:rsidRDefault="00153EA8" w:rsidP="006B624F">
            <w:pPr>
              <w:spacing w:after="0" w:line="240" w:lineRule="auto"/>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BUILD COST no OOA</w:t>
            </w:r>
          </w:p>
        </w:tc>
        <w:tc>
          <w:tcPr>
            <w:tcW w:w="5103"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153EA8" w:rsidRPr="005F24C2" w:rsidRDefault="00153EA8" w:rsidP="006B624F">
            <w:pPr>
              <w:spacing w:after="0" w:line="240" w:lineRule="auto"/>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BUILD COST with OOA</w:t>
            </w:r>
          </w:p>
        </w:tc>
        <w:tc>
          <w:tcPr>
            <w:tcW w:w="1560" w:type="dxa"/>
            <w:tcBorders>
              <w:top w:val="single" w:sz="8" w:space="0" w:color="auto"/>
              <w:left w:val="nil"/>
              <w:bottom w:val="single" w:sz="8" w:space="0" w:color="auto"/>
              <w:right w:val="single" w:sz="8" w:space="0" w:color="auto"/>
            </w:tcBorders>
            <w:shd w:val="clear" w:color="000000" w:fill="FFFFFF"/>
            <w:noWrap/>
            <w:vAlign w:val="bottom"/>
            <w:hideMark/>
          </w:tcPr>
          <w:p w:rsidR="00153EA8" w:rsidRPr="005F24C2" w:rsidRDefault="00153EA8" w:rsidP="006B624F">
            <w:pPr>
              <w:spacing w:after="0" w:line="240" w:lineRule="auto"/>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+1 room</w:t>
            </w:r>
          </w:p>
        </w:tc>
      </w:tr>
      <w:tr w:rsidR="00153EA8" w:rsidRPr="00425323" w:rsidTr="006174CD">
        <w:trPr>
          <w:trHeight w:val="473"/>
        </w:trPr>
        <w:tc>
          <w:tcPr>
            <w:tcW w:w="1418" w:type="dxa"/>
            <w:tcBorders>
              <w:top w:val="nil"/>
              <w:left w:val="nil"/>
              <w:bottom w:val="nil"/>
              <w:right w:val="nil"/>
            </w:tcBorders>
            <w:shd w:val="clear" w:color="auto" w:fill="auto"/>
            <w:noWrap/>
            <w:vAlign w:val="bottom"/>
            <w:hideMark/>
          </w:tcPr>
          <w:p w:rsidR="00153EA8" w:rsidRPr="005F24C2" w:rsidRDefault="00153EA8" w:rsidP="006B624F">
            <w:pPr>
              <w:spacing w:after="0" w:line="240" w:lineRule="auto"/>
              <w:rPr>
                <w:rFonts w:ascii="Calibri" w:eastAsia="Times New Roman" w:hAnsi="Calibri" w:cs="Calibri"/>
                <w:b/>
                <w:bCs/>
                <w:color w:val="000000"/>
                <w:sz w:val="16"/>
                <w:szCs w:val="18"/>
                <w:lang w:eastAsia="en-AU"/>
              </w:rPr>
            </w:pPr>
          </w:p>
        </w:tc>
        <w:tc>
          <w:tcPr>
            <w:tcW w:w="567" w:type="dxa"/>
            <w:tcBorders>
              <w:top w:val="nil"/>
              <w:left w:val="nil"/>
              <w:bottom w:val="nil"/>
              <w:right w:val="nil"/>
            </w:tcBorders>
            <w:shd w:val="clear" w:color="auto" w:fill="auto"/>
            <w:noWrap/>
            <w:vAlign w:val="bottom"/>
            <w:hideMark/>
          </w:tcPr>
          <w:p w:rsidR="00153EA8" w:rsidRPr="005F24C2" w:rsidRDefault="00153EA8" w:rsidP="006B624F">
            <w:pPr>
              <w:spacing w:after="0" w:line="240" w:lineRule="auto"/>
              <w:rPr>
                <w:rFonts w:ascii="Times New Roman" w:eastAsia="Times New Roman" w:hAnsi="Times New Roman" w:cs="Times New Roman"/>
                <w:sz w:val="16"/>
                <w:szCs w:val="20"/>
                <w:lang w:eastAsia="en-AU"/>
              </w:rPr>
            </w:pPr>
          </w:p>
        </w:tc>
        <w:tc>
          <w:tcPr>
            <w:tcW w:w="850"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Standard</w:t>
            </w:r>
          </w:p>
        </w:tc>
        <w:tc>
          <w:tcPr>
            <w:tcW w:w="993"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Improved liveability</w:t>
            </w:r>
          </w:p>
        </w:tc>
        <w:tc>
          <w:tcPr>
            <w:tcW w:w="992"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Fully accessible</w:t>
            </w:r>
          </w:p>
        </w:tc>
        <w:tc>
          <w:tcPr>
            <w:tcW w:w="850"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Robust</w:t>
            </w:r>
          </w:p>
        </w:tc>
        <w:tc>
          <w:tcPr>
            <w:tcW w:w="1134"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High Support</w:t>
            </w:r>
          </w:p>
        </w:tc>
        <w:tc>
          <w:tcPr>
            <w:tcW w:w="851"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Standard w OOA</w:t>
            </w:r>
          </w:p>
        </w:tc>
        <w:tc>
          <w:tcPr>
            <w:tcW w:w="1134"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Improved liveability w OOA</w:t>
            </w:r>
          </w:p>
        </w:tc>
        <w:tc>
          <w:tcPr>
            <w:tcW w:w="992"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Fully accessible w OOA</w:t>
            </w:r>
          </w:p>
        </w:tc>
        <w:tc>
          <w:tcPr>
            <w:tcW w:w="992"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Robust w OOA</w:t>
            </w:r>
          </w:p>
        </w:tc>
        <w:tc>
          <w:tcPr>
            <w:tcW w:w="1134" w:type="dxa"/>
            <w:tcBorders>
              <w:top w:val="nil"/>
              <w:left w:val="single" w:sz="8" w:space="0" w:color="auto"/>
              <w:bottom w:val="nil"/>
              <w:right w:val="nil"/>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High Support w OOA</w:t>
            </w:r>
          </w:p>
        </w:tc>
        <w:tc>
          <w:tcPr>
            <w:tcW w:w="1560" w:type="dxa"/>
            <w:tcBorders>
              <w:top w:val="nil"/>
              <w:left w:val="single" w:sz="8" w:space="0" w:color="auto"/>
              <w:bottom w:val="nil"/>
              <w:right w:val="single" w:sz="8" w:space="0" w:color="auto"/>
            </w:tcBorders>
            <w:shd w:val="clear" w:color="000000" w:fill="FFFFFF"/>
            <w:hideMark/>
          </w:tcPr>
          <w:p w:rsidR="00153EA8" w:rsidRPr="005F24C2" w:rsidRDefault="00153EA8" w:rsidP="006B624F">
            <w:pPr>
              <w:spacing w:after="0" w:line="240" w:lineRule="auto"/>
              <w:jc w:val="center"/>
              <w:rPr>
                <w:rFonts w:ascii="Calibri" w:eastAsia="Times New Roman" w:hAnsi="Calibri" w:cs="Calibri"/>
                <w:b/>
                <w:bCs/>
                <w:color w:val="000000"/>
                <w:sz w:val="16"/>
                <w:szCs w:val="18"/>
                <w:lang w:eastAsia="en-AU"/>
              </w:rPr>
            </w:pPr>
            <w:r w:rsidRPr="005F24C2">
              <w:rPr>
                <w:rFonts w:ascii="Calibri" w:eastAsia="Times New Roman" w:hAnsi="Calibri" w:cs="Calibri"/>
                <w:b/>
                <w:bCs/>
                <w:color w:val="000000"/>
                <w:sz w:val="16"/>
                <w:szCs w:val="18"/>
                <w:lang w:eastAsia="en-AU"/>
              </w:rPr>
              <w:t>Robust w OOA, +1 room</w:t>
            </w:r>
          </w:p>
        </w:tc>
      </w:tr>
      <w:tr w:rsidR="00153EA8" w:rsidRPr="00425323" w:rsidTr="006174CD">
        <w:trPr>
          <w:trHeight w:val="285"/>
        </w:trPr>
        <w:tc>
          <w:tcPr>
            <w:tcW w:w="1418" w:type="dxa"/>
            <w:tcBorders>
              <w:top w:val="single" w:sz="8" w:space="0" w:color="auto"/>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Apartment </w:t>
            </w:r>
          </w:p>
        </w:tc>
        <w:tc>
          <w:tcPr>
            <w:tcW w:w="567" w:type="dxa"/>
            <w:tcBorders>
              <w:top w:val="single" w:sz="8" w:space="0" w:color="auto"/>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$374,283</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$380,330</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$666,953</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$838,715</w:t>
            </w:r>
          </w:p>
        </w:tc>
        <w:tc>
          <w:tcPr>
            <w:tcW w:w="851"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560" w:type="dxa"/>
            <w:tcBorders>
              <w:top w:val="single" w:sz="4" w:space="0" w:color="0093D0"/>
              <w:left w:val="nil"/>
              <w:bottom w:val="single" w:sz="4" w:space="0" w:color="0093D0"/>
              <w:right w:val="single" w:sz="8"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Apartment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$461,796</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$469,202</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$831,171</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$1,060,239</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560" w:type="dxa"/>
            <w:tcBorders>
              <w:top w:val="nil"/>
              <w:left w:val="nil"/>
              <w:bottom w:val="single" w:sz="4" w:space="0" w:color="0093D0"/>
              <w:right w:val="single" w:sz="8"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Apartment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$590,865</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$600,448</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$1,077,162</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$1,406,490</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560" w:type="dxa"/>
            <w:tcBorders>
              <w:top w:val="nil"/>
              <w:left w:val="nil"/>
              <w:bottom w:val="single" w:sz="4" w:space="0" w:color="0093D0"/>
              <w:right w:val="single" w:sz="8"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Villa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$218,052</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$222,357</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$388,533</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$459,042</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$519,682</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$254,890</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$428,254</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$507,597</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$564,743</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$548,434</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Duplex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$278,868</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$284,505</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$488,306</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$581,006</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$668,640</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$315,454</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$526,092</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$626,860</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$711,092</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$665,425</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Duplex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$364,623</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$371,798</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$640,358</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$768,619</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$890,075</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$402,033</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$677,270</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$813,243</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$931,343</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$850,775</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House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2</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$304,493</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$308,593</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$516,842</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$621,904</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$705,540</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$339,541</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$554,628</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$667,757</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$747,992</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$706,323</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House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$383,073</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$425,098</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$725,966</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$861,515</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$1,070,988</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$458,981</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$767,321</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$910,825</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$1,120,945</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$952,303</w:t>
            </w:r>
          </w:p>
        </w:tc>
      </w:tr>
      <w:tr w:rsidR="00153EA8" w:rsidRPr="00425323" w:rsidTr="006174CD">
        <w:trPr>
          <w:trHeight w:val="285"/>
        </w:trPr>
        <w:tc>
          <w:tcPr>
            <w:tcW w:w="1418" w:type="dxa"/>
            <w:tcBorders>
              <w:top w:val="nil"/>
              <w:left w:val="single" w:sz="8" w:space="0" w:color="auto"/>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House </w:t>
            </w:r>
          </w:p>
        </w:tc>
        <w:tc>
          <w:tcPr>
            <w:tcW w:w="567" w:type="dxa"/>
            <w:tcBorders>
              <w:top w:val="nil"/>
              <w:left w:val="nil"/>
              <w:bottom w:val="single" w:sz="4"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4</w:t>
            </w:r>
          </w:p>
        </w:tc>
        <w:tc>
          <w:tcPr>
            <w:tcW w:w="850"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$574,790</w:t>
            </w:r>
          </w:p>
        </w:tc>
        <w:tc>
          <w:tcPr>
            <w:tcW w:w="993"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$586,065</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$963,634</w:t>
            </w:r>
          </w:p>
        </w:tc>
        <w:tc>
          <w:tcPr>
            <w:tcW w:w="850"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$1,131,282</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$1,367,945</w:t>
            </w:r>
          </w:p>
        </w:tc>
        <w:tc>
          <w:tcPr>
            <w:tcW w:w="851"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$620,164</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$1,005,251</w:t>
            </w:r>
          </w:p>
        </w:tc>
        <w:tc>
          <w:tcPr>
            <w:tcW w:w="992" w:type="dxa"/>
            <w:tcBorders>
              <w:top w:val="nil"/>
              <w:left w:val="nil"/>
              <w:bottom w:val="single" w:sz="4"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$1,180,578</w:t>
            </w:r>
          </w:p>
        </w:tc>
        <w:tc>
          <w:tcPr>
            <w:tcW w:w="1134" w:type="dxa"/>
            <w:tcBorders>
              <w:top w:val="nil"/>
              <w:left w:val="nil"/>
              <w:bottom w:val="single" w:sz="4"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$1,417,556</w:t>
            </w:r>
          </w:p>
        </w:tc>
        <w:tc>
          <w:tcPr>
            <w:tcW w:w="1560" w:type="dxa"/>
            <w:tcBorders>
              <w:top w:val="nil"/>
              <w:left w:val="nil"/>
              <w:bottom w:val="single" w:sz="4" w:space="0" w:color="0093D0"/>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$1,222,045</w:t>
            </w:r>
          </w:p>
        </w:tc>
      </w:tr>
      <w:tr w:rsidR="00153EA8" w:rsidRPr="00425323" w:rsidTr="006174CD">
        <w:trPr>
          <w:trHeight w:val="293"/>
        </w:trPr>
        <w:tc>
          <w:tcPr>
            <w:tcW w:w="1418" w:type="dxa"/>
            <w:tcBorders>
              <w:top w:val="nil"/>
              <w:left w:val="single" w:sz="8" w:space="0" w:color="auto"/>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 xml:space="preserve"> Group Accommodation </w:t>
            </w:r>
          </w:p>
        </w:tc>
        <w:tc>
          <w:tcPr>
            <w:tcW w:w="567" w:type="dxa"/>
            <w:tcBorders>
              <w:top w:val="nil"/>
              <w:left w:val="nil"/>
              <w:bottom w:val="single" w:sz="8" w:space="0" w:color="auto"/>
              <w:right w:val="single" w:sz="8" w:space="0" w:color="auto"/>
            </w:tcBorders>
            <w:shd w:val="clear" w:color="000000" w:fill="C1EDFF"/>
            <w:noWrap/>
            <w:vAlign w:val="bottom"/>
            <w:hideMark/>
          </w:tcPr>
          <w:p w:rsidR="00153EA8" w:rsidRPr="005F24C2" w:rsidRDefault="00153EA8" w:rsidP="006B624F">
            <w:pPr>
              <w:spacing w:after="0" w:line="240" w:lineRule="auto"/>
              <w:jc w:val="center"/>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5</w:t>
            </w:r>
          </w:p>
        </w:tc>
        <w:tc>
          <w:tcPr>
            <w:tcW w:w="850"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$625,268</w:t>
            </w:r>
          </w:p>
        </w:tc>
        <w:tc>
          <w:tcPr>
            <w:tcW w:w="993"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$636,543</w:t>
            </w:r>
          </w:p>
        </w:tc>
        <w:tc>
          <w:tcPr>
            <w:tcW w:w="992" w:type="dxa"/>
            <w:tcBorders>
              <w:top w:val="nil"/>
              <w:left w:val="nil"/>
              <w:bottom w:val="single" w:sz="8"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$1,064,204</w:t>
            </w:r>
          </w:p>
        </w:tc>
        <w:tc>
          <w:tcPr>
            <w:tcW w:w="850" w:type="dxa"/>
            <w:tcBorders>
              <w:top w:val="nil"/>
              <w:left w:val="nil"/>
              <w:bottom w:val="single" w:sz="8"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$1,248,250</w:t>
            </w:r>
          </w:p>
        </w:tc>
        <w:tc>
          <w:tcPr>
            <w:tcW w:w="1134"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$1,523,852</w:t>
            </w:r>
          </w:p>
        </w:tc>
        <w:tc>
          <w:tcPr>
            <w:tcW w:w="851"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na</w:t>
            </w:r>
          </w:p>
        </w:tc>
        <w:tc>
          <w:tcPr>
            <w:tcW w:w="1134"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$669,757</w:t>
            </w:r>
          </w:p>
        </w:tc>
        <w:tc>
          <w:tcPr>
            <w:tcW w:w="992" w:type="dxa"/>
            <w:tcBorders>
              <w:top w:val="nil"/>
              <w:left w:val="nil"/>
              <w:bottom w:val="single" w:sz="8"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$1,104,746</w:t>
            </w:r>
          </w:p>
        </w:tc>
        <w:tc>
          <w:tcPr>
            <w:tcW w:w="992" w:type="dxa"/>
            <w:tcBorders>
              <w:top w:val="nil"/>
              <w:left w:val="nil"/>
              <w:bottom w:val="single" w:sz="8" w:space="0" w:color="auto"/>
              <w:right w:val="single" w:sz="4"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$1,296,121</w:t>
            </w:r>
          </w:p>
        </w:tc>
        <w:tc>
          <w:tcPr>
            <w:tcW w:w="1134" w:type="dxa"/>
            <w:tcBorders>
              <w:top w:val="nil"/>
              <w:left w:val="nil"/>
              <w:bottom w:val="single" w:sz="8" w:space="0" w:color="auto"/>
              <w:right w:val="single" w:sz="4" w:space="0" w:color="auto"/>
            </w:tcBorders>
            <w:shd w:val="clear" w:color="000000" w:fill="C1EDFF"/>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$1,571,895</w:t>
            </w:r>
          </w:p>
        </w:tc>
        <w:tc>
          <w:tcPr>
            <w:tcW w:w="1560" w:type="dxa"/>
            <w:tcBorders>
              <w:top w:val="nil"/>
              <w:left w:val="nil"/>
              <w:bottom w:val="single" w:sz="8" w:space="0" w:color="auto"/>
              <w:right w:val="single" w:sz="8" w:space="0" w:color="auto"/>
            </w:tcBorders>
            <w:shd w:val="clear" w:color="000000" w:fill="E2EFDA"/>
            <w:noWrap/>
            <w:vAlign w:val="bottom"/>
            <w:hideMark/>
          </w:tcPr>
          <w:p w:rsidR="00153EA8" w:rsidRPr="005F24C2" w:rsidRDefault="00153EA8" w:rsidP="006B624F">
            <w:pPr>
              <w:spacing w:after="0" w:line="240" w:lineRule="auto"/>
              <w:jc w:val="right"/>
              <w:rPr>
                <w:rFonts w:ascii="Calibri" w:eastAsia="Times New Roman" w:hAnsi="Calibri" w:cs="Calibri"/>
                <w:color w:val="000000"/>
                <w:sz w:val="16"/>
                <w:lang w:eastAsia="en-AU"/>
              </w:rPr>
            </w:pPr>
            <w:r w:rsidRPr="005F24C2">
              <w:rPr>
                <w:rFonts w:ascii="Calibri" w:eastAsia="Times New Roman" w:hAnsi="Calibri" w:cs="Calibri"/>
                <w:color w:val="000000"/>
                <w:sz w:val="16"/>
                <w:lang w:eastAsia="en-AU"/>
              </w:rPr>
              <w:t>$1,336,388</w:t>
            </w:r>
          </w:p>
        </w:tc>
      </w:tr>
    </w:tbl>
    <w:p w:rsidR="008F3457" w:rsidRDefault="008F3457" w:rsidP="00FE4A76">
      <w:pPr>
        <w:spacing w:after="200"/>
        <w:rPr>
          <w:rFonts w:cs="Arial"/>
          <w:lang w:val="en-AU"/>
        </w:rPr>
      </w:pPr>
    </w:p>
    <w:p w:rsidR="00FE4A76" w:rsidRDefault="00FE4A76" w:rsidP="00FE4A76">
      <w:pPr>
        <w:pStyle w:val="Caption"/>
        <w:shd w:val="clear" w:color="auto" w:fill="auto"/>
        <w:rPr>
          <w:lang w:val="en-AU"/>
        </w:rPr>
      </w:pPr>
      <w:bookmarkStart w:id="52" w:name="_Ref16582165"/>
      <w:r w:rsidRPr="00F64913">
        <w:rPr>
          <w:lang w:val="en-AU"/>
        </w:rPr>
        <w:t xml:space="preserve">Table </w:t>
      </w:r>
      <w:r w:rsidRPr="00F64913">
        <w:rPr>
          <w:lang w:val="en-AU"/>
        </w:rPr>
        <w:fldChar w:fldCharType="begin"/>
      </w:r>
      <w:r w:rsidRPr="00F64913">
        <w:rPr>
          <w:noProof/>
          <w:lang w:val="en-AU"/>
        </w:rPr>
        <w:instrText xml:space="preserve"> SEQ Table \* ARABIC </w:instrText>
      </w:r>
      <w:r w:rsidRPr="00F64913">
        <w:rPr>
          <w:lang w:val="en-AU"/>
        </w:rPr>
        <w:fldChar w:fldCharType="separate"/>
      </w:r>
      <w:r w:rsidR="00A3319D">
        <w:rPr>
          <w:noProof/>
          <w:lang w:val="en-AU"/>
        </w:rPr>
        <w:t>10</w:t>
      </w:r>
      <w:r w:rsidRPr="00F64913">
        <w:rPr>
          <w:lang w:val="en-AU"/>
        </w:rPr>
        <w:fldChar w:fldCharType="end"/>
      </w:r>
      <w:bookmarkEnd w:id="52"/>
      <w:r w:rsidRPr="00F64913">
        <w:rPr>
          <w:lang w:val="en-AU"/>
        </w:rPr>
        <w:t xml:space="preserve">: </w:t>
      </w:r>
      <w:r>
        <w:rPr>
          <w:lang w:val="en-AU"/>
        </w:rPr>
        <w:t xml:space="preserve">Recommended Adjustments to SDA </w:t>
      </w:r>
      <w:r w:rsidR="006773BA">
        <w:rPr>
          <w:lang w:val="en-AU"/>
        </w:rPr>
        <w:t>Price cap</w:t>
      </w:r>
      <w:r>
        <w:rPr>
          <w:lang w:val="en-AU"/>
        </w:rPr>
        <w:t>s (2018-19 prices)</w:t>
      </w:r>
    </w:p>
    <w:p w:rsidR="00DA714D" w:rsidRPr="008513F7" w:rsidRDefault="00C34DD1" w:rsidP="00DA714D">
      <w:pPr>
        <w:rPr>
          <w:b/>
          <w:noProof/>
          <w:lang w:val="en-AU" w:eastAsia="en-AU"/>
        </w:rPr>
      </w:pPr>
      <w:r>
        <w:rPr>
          <w:b/>
          <w:noProof/>
          <w:lang w:val="en-AU" w:eastAsia="en-AU"/>
        </w:rPr>
        <w:t xml:space="preserve">Table 10.1 </w:t>
      </w:r>
      <w:r w:rsidR="00DA714D" w:rsidRPr="008513F7">
        <w:rPr>
          <w:b/>
          <w:noProof/>
          <w:lang w:val="en-AU" w:eastAsia="en-AU"/>
        </w:rPr>
        <w:t>Adjusted Base Price per participant for NEW BUILDS excluding reasonable rent contribution ($ 2016/17)</w:t>
      </w:r>
    </w:p>
    <w:tbl>
      <w:tblPr>
        <w:tblW w:w="12256" w:type="dxa"/>
        <w:tblLook w:val="04A0" w:firstRow="1" w:lastRow="0" w:firstColumn="1" w:lastColumn="0" w:noHBand="0" w:noVBand="1"/>
      </w:tblPr>
      <w:tblGrid>
        <w:gridCol w:w="1820"/>
        <w:gridCol w:w="874"/>
        <w:gridCol w:w="1134"/>
        <w:gridCol w:w="992"/>
        <w:gridCol w:w="883"/>
        <w:gridCol w:w="1025"/>
        <w:gridCol w:w="1134"/>
        <w:gridCol w:w="992"/>
        <w:gridCol w:w="850"/>
        <w:gridCol w:w="1134"/>
        <w:gridCol w:w="1418"/>
      </w:tblGrid>
      <w:tr w:rsidR="00DA714D" w:rsidRPr="000C763B" w:rsidTr="004D677B">
        <w:trPr>
          <w:trHeight w:val="232"/>
          <w:tblHeader/>
        </w:trPr>
        <w:tc>
          <w:tcPr>
            <w:tcW w:w="1820" w:type="dxa"/>
            <w:tcBorders>
              <w:top w:val="nil"/>
              <w:left w:val="nil"/>
              <w:bottom w:val="nil"/>
              <w:right w:val="nil"/>
            </w:tcBorders>
            <w:shd w:val="clear" w:color="auto" w:fill="auto"/>
            <w:noWrap/>
            <w:vAlign w:val="bottom"/>
            <w:hideMark/>
          </w:tcPr>
          <w:p w:rsidR="00DA714D" w:rsidRPr="0023590E" w:rsidRDefault="00DA714D" w:rsidP="00DA714D">
            <w:pPr>
              <w:spacing w:after="0" w:line="240" w:lineRule="auto"/>
              <w:rPr>
                <w:rFonts w:ascii="Times New Roman" w:eastAsia="Times New Roman" w:hAnsi="Times New Roman" w:cs="Times New Roman"/>
                <w:sz w:val="16"/>
                <w:lang w:eastAsia="en-AU"/>
              </w:rPr>
            </w:pPr>
          </w:p>
        </w:tc>
        <w:tc>
          <w:tcPr>
            <w:tcW w:w="874" w:type="dxa"/>
            <w:tcBorders>
              <w:top w:val="nil"/>
              <w:left w:val="nil"/>
              <w:bottom w:val="nil"/>
              <w:right w:val="single" w:sz="12"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szCs w:val="22"/>
                <w:lang w:eastAsia="en-AU"/>
              </w:rPr>
            </w:pPr>
          </w:p>
        </w:tc>
        <w:tc>
          <w:tcPr>
            <w:tcW w:w="2126"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 </w:t>
            </w:r>
            <w:r w:rsidRPr="00D85247">
              <w:rPr>
                <w:rFonts w:ascii="Calibri" w:eastAsia="Times New Roman" w:hAnsi="Calibri" w:cs="Calibri"/>
                <w:b/>
                <w:bCs/>
                <w:color w:val="000000"/>
                <w:sz w:val="16"/>
                <w:lang w:eastAsia="en-AU"/>
              </w:rPr>
              <w:t>Improved liveability</w:t>
            </w:r>
          </w:p>
        </w:tc>
        <w:tc>
          <w:tcPr>
            <w:tcW w:w="190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Fully accessible</w:t>
            </w:r>
          </w:p>
        </w:tc>
        <w:tc>
          <w:tcPr>
            <w:tcW w:w="2976" w:type="dxa"/>
            <w:gridSpan w:val="3"/>
            <w:tcBorders>
              <w:top w:val="single" w:sz="12" w:space="0" w:color="auto"/>
              <w:left w:val="single" w:sz="12" w:space="0" w:color="auto"/>
              <w:bottom w:val="single" w:sz="12" w:space="0" w:color="auto"/>
              <w:right w:val="single" w:sz="4" w:space="0" w:color="000000"/>
            </w:tcBorders>
            <w:shd w:val="clear" w:color="auto" w:fill="auto"/>
            <w:noWrap/>
            <w:vAlign w:val="bottom"/>
            <w:hideMark/>
          </w:tcPr>
          <w:p w:rsidR="00DA714D" w:rsidRPr="0023590E" w:rsidRDefault="00DA714D" w:rsidP="00DA714D">
            <w:pPr>
              <w:spacing w:after="0" w:line="240" w:lineRule="auto"/>
              <w:contextualSpacing/>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Robust</w:t>
            </w:r>
          </w:p>
        </w:tc>
        <w:tc>
          <w:tcPr>
            <w:tcW w:w="2552"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High Support</w:t>
            </w:r>
          </w:p>
        </w:tc>
      </w:tr>
      <w:tr w:rsidR="00DA714D" w:rsidRPr="000C763B" w:rsidTr="00DA714D">
        <w:trPr>
          <w:trHeight w:val="237"/>
        </w:trPr>
        <w:tc>
          <w:tcPr>
            <w:tcW w:w="1820" w:type="dxa"/>
            <w:tcBorders>
              <w:top w:val="nil"/>
              <w:left w:val="nil"/>
              <w:bottom w:val="single" w:sz="12" w:space="0" w:color="auto"/>
              <w:right w:val="nil"/>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p>
        </w:tc>
        <w:tc>
          <w:tcPr>
            <w:tcW w:w="874" w:type="dxa"/>
            <w:tcBorders>
              <w:top w:val="nil"/>
              <w:left w:val="nil"/>
              <w:bottom w:val="single" w:sz="12" w:space="0" w:color="auto"/>
              <w:right w:val="single" w:sz="12" w:space="0" w:color="auto"/>
            </w:tcBorders>
            <w:shd w:val="clear" w:color="auto" w:fill="auto"/>
            <w:noWrap/>
            <w:vAlign w:val="bottom"/>
            <w:hideMark/>
          </w:tcPr>
          <w:p w:rsidR="00DA714D" w:rsidRPr="0023590E" w:rsidRDefault="00DA714D" w:rsidP="00DA714D">
            <w:pPr>
              <w:spacing w:after="0" w:line="240" w:lineRule="auto"/>
              <w:rPr>
                <w:rFonts w:ascii="Times New Roman" w:eastAsia="Times New Roman" w:hAnsi="Times New Roman" w:cs="Times New Roman"/>
                <w:sz w:val="16"/>
                <w:szCs w:val="20"/>
                <w:lang w:eastAsia="en-AU"/>
              </w:rPr>
            </w:pP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No OOA</w:t>
            </w:r>
          </w:p>
        </w:tc>
        <w:tc>
          <w:tcPr>
            <w:tcW w:w="992"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With OOA</w:t>
            </w:r>
          </w:p>
        </w:tc>
        <w:tc>
          <w:tcPr>
            <w:tcW w:w="883"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No OOA</w:t>
            </w:r>
          </w:p>
        </w:tc>
        <w:tc>
          <w:tcPr>
            <w:tcW w:w="1025"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With OOA</w:t>
            </w:r>
          </w:p>
        </w:tc>
        <w:tc>
          <w:tcPr>
            <w:tcW w:w="1134"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No OOA</w:t>
            </w:r>
          </w:p>
        </w:tc>
        <w:tc>
          <w:tcPr>
            <w:tcW w:w="992"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With OOA</w:t>
            </w:r>
          </w:p>
        </w:tc>
        <w:tc>
          <w:tcPr>
            <w:tcW w:w="850"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+1 Room</w:t>
            </w:r>
          </w:p>
        </w:tc>
        <w:tc>
          <w:tcPr>
            <w:tcW w:w="1134"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No OOA</w:t>
            </w:r>
          </w:p>
        </w:tc>
        <w:tc>
          <w:tcPr>
            <w:tcW w:w="1418" w:type="dxa"/>
            <w:tcBorders>
              <w:top w:val="single" w:sz="12" w:space="0" w:color="auto"/>
              <w:left w:val="nil"/>
              <w:bottom w:val="single" w:sz="12" w:space="0" w:color="auto"/>
              <w:right w:val="single" w:sz="12" w:space="0" w:color="auto"/>
            </w:tcBorders>
            <w:shd w:val="clear" w:color="auto" w:fill="auto"/>
            <w:noWrap/>
            <w:vAlign w:val="bottom"/>
            <w:hideMark/>
          </w:tcPr>
          <w:p w:rsidR="00DA714D" w:rsidRPr="0023590E" w:rsidRDefault="00DA714D" w:rsidP="00DA714D">
            <w:pPr>
              <w:spacing w:after="0" w:line="240" w:lineRule="auto"/>
              <w:rPr>
                <w:rFonts w:ascii="Calibri" w:eastAsia="Times New Roman" w:hAnsi="Calibri" w:cs="Calibri"/>
                <w:b/>
                <w:bCs/>
                <w:color w:val="000000"/>
                <w:sz w:val="16"/>
                <w:lang w:eastAsia="en-AU"/>
              </w:rPr>
            </w:pPr>
            <w:r w:rsidRPr="0023590E">
              <w:rPr>
                <w:rFonts w:ascii="Calibri" w:eastAsia="Times New Roman" w:hAnsi="Calibri" w:cs="Calibri"/>
                <w:b/>
                <w:bCs/>
                <w:color w:val="000000"/>
                <w:sz w:val="16"/>
                <w:lang w:eastAsia="en-AU"/>
              </w:rPr>
              <w:t>With OOA</w:t>
            </w:r>
          </w:p>
        </w:tc>
      </w:tr>
      <w:tr w:rsidR="00DA714D" w:rsidRPr="000C763B" w:rsidTr="00DA714D">
        <w:trPr>
          <w:trHeight w:val="160"/>
        </w:trPr>
        <w:tc>
          <w:tcPr>
            <w:tcW w:w="2694" w:type="dxa"/>
            <w:gridSpan w:val="2"/>
            <w:tcBorders>
              <w:top w:val="single" w:sz="12"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Apartment, 1 bedroom, 1 resident </w:t>
            </w:r>
          </w:p>
        </w:tc>
        <w:tc>
          <w:tcPr>
            <w:tcW w:w="1134" w:type="dxa"/>
            <w:tcBorders>
              <w:top w:val="single" w:sz="12" w:space="0" w:color="auto"/>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$33,784</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$39,415</w:t>
            </w:r>
          </w:p>
        </w:tc>
        <w:tc>
          <w:tcPr>
            <w:tcW w:w="883" w:type="dxa"/>
            <w:tcBorders>
              <w:top w:val="single" w:sz="12" w:space="0" w:color="auto"/>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$54,548</w:t>
            </w:r>
          </w:p>
        </w:tc>
        <w:tc>
          <w:tcPr>
            <w:tcW w:w="1025" w:type="dxa"/>
            <w:tcBorders>
              <w:top w:val="single" w:sz="12" w:space="0" w:color="auto"/>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$63,640</w:t>
            </w:r>
          </w:p>
        </w:tc>
        <w:tc>
          <w:tcPr>
            <w:tcW w:w="1134"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850"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1134"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$70,483</w:t>
            </w:r>
          </w:p>
        </w:tc>
        <w:tc>
          <w:tcPr>
            <w:tcW w:w="1418" w:type="dxa"/>
            <w:tcBorders>
              <w:top w:val="single" w:sz="12" w:space="0" w:color="auto"/>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$82,230</w:t>
            </w:r>
          </w:p>
        </w:tc>
      </w:tr>
      <w:tr w:rsidR="00DA714D" w:rsidRPr="000C763B" w:rsidTr="00DA714D">
        <w:trPr>
          <w:trHeight w:val="239"/>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Apartment, 2 bedrooms, 1 resident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$40,222</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$46,926</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$66,445</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$77,519</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850"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$87,696</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$102,311</w:t>
            </w:r>
          </w:p>
        </w:tc>
      </w:tr>
      <w:tr w:rsidR="00DA714D" w:rsidRPr="000C763B" w:rsidTr="00DA714D">
        <w:trPr>
          <w:trHeight w:val="215"/>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Apartment, 3 bedrooms, 2 residents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$20,996</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$24,496</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$38,264</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$44,641</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850"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$53,540</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$62,463</w:t>
            </w:r>
          </w:p>
        </w:tc>
      </w:tr>
      <w:tr w:rsidR="00DA714D" w:rsidRPr="000C763B" w:rsidTr="00DA714D">
        <w:trPr>
          <w:trHeight w:val="133"/>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Villa, 1 bedroom, 1 resident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$23,794</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$26,316</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$36,676</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$40,361</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$43,218</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$47,722</w:t>
            </w:r>
          </w:p>
        </w:tc>
        <w:tc>
          <w:tcPr>
            <w:tcW w:w="850"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na</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$48,843</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$53,024</w:t>
            </w:r>
          </w:p>
        </w:tc>
      </w:tr>
      <w:tr w:rsidR="00DA714D" w:rsidRPr="000C763B" w:rsidTr="00DA714D">
        <w:trPr>
          <w:trHeight w:val="221"/>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Duplex/townhouse, 2 residents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$14,893</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$16,077</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$22,694</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$24,484</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$27,085</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$29,257</w:t>
            </w:r>
          </w:p>
        </w:tc>
        <w:tc>
          <w:tcPr>
            <w:tcW w:w="850"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$1,827</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$31,235</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$33,246</w:t>
            </w:r>
          </w:p>
        </w:tc>
      </w:tr>
      <w:tr w:rsidR="00DA714D" w:rsidRPr="000C763B" w:rsidTr="00DA714D">
        <w:trPr>
          <w:trHeight w:val="125"/>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Duplex/townhouse, 3 residents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$12,164</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$12,970</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$19,323</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$20,520</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$23,482</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$24,929</w:t>
            </w:r>
          </w:p>
        </w:tc>
        <w:tc>
          <w:tcPr>
            <w:tcW w:w="850"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$1,217</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$27,421</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$28,759</w:t>
            </w:r>
          </w:p>
        </w:tc>
      </w:tr>
      <w:tr w:rsidR="00DA714D" w:rsidRPr="000C763B" w:rsidTr="00DA714D">
        <w:trPr>
          <w:trHeight w:val="113"/>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House, 2 people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$21,749</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$22,934</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$29,721</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$31,511</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$34,697</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$36,869</w:t>
            </w:r>
          </w:p>
        </w:tc>
        <w:tc>
          <w:tcPr>
            <w:tcW w:w="850"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$1,827</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$38,658</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$40,669</w:t>
            </w:r>
          </w:p>
        </w:tc>
      </w:tr>
      <w:tr w:rsidR="00DA714D" w:rsidRPr="000C763B" w:rsidTr="00DA714D">
        <w:trPr>
          <w:trHeight w:val="189"/>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House, 3 people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$17,094</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$17,997</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$25,114</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$26,455</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$29,509</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$31,108</w:t>
            </w:r>
          </w:p>
        </w:tc>
        <w:tc>
          <w:tcPr>
            <w:tcW w:w="850"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$1,345</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$36,302</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$37,922</w:t>
            </w:r>
          </w:p>
        </w:tc>
      </w:tr>
      <w:tr w:rsidR="00DA714D" w:rsidRPr="000C763B" w:rsidTr="00DA714D">
        <w:trPr>
          <w:trHeight w:val="135"/>
        </w:trPr>
        <w:tc>
          <w:tcPr>
            <w:tcW w:w="2694"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Group accom, 4 people </w:t>
            </w:r>
          </w:p>
        </w:tc>
        <w:tc>
          <w:tcPr>
            <w:tcW w:w="1134" w:type="dxa"/>
            <w:tcBorders>
              <w:top w:val="nil"/>
              <w:left w:val="single" w:sz="12" w:space="0" w:color="auto"/>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$15,064</w:t>
            </w:r>
          </w:p>
        </w:tc>
        <w:tc>
          <w:tcPr>
            <w:tcW w:w="992"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$15,742</w:t>
            </w:r>
          </w:p>
        </w:tc>
        <w:tc>
          <w:tcPr>
            <w:tcW w:w="883"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$22,567</w:t>
            </w:r>
          </w:p>
        </w:tc>
        <w:tc>
          <w:tcPr>
            <w:tcW w:w="1025"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$23,591</w:t>
            </w:r>
          </w:p>
        </w:tc>
        <w:tc>
          <w:tcPr>
            <w:tcW w:w="1134"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$26,689</w:t>
            </w:r>
          </w:p>
        </w:tc>
        <w:tc>
          <w:tcPr>
            <w:tcW w:w="992"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$27,901</w:t>
            </w:r>
          </w:p>
        </w:tc>
        <w:tc>
          <w:tcPr>
            <w:tcW w:w="850" w:type="dxa"/>
            <w:tcBorders>
              <w:top w:val="nil"/>
              <w:left w:val="nil"/>
              <w:bottom w:val="single" w:sz="4"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$1,020</w:t>
            </w:r>
          </w:p>
        </w:tc>
        <w:tc>
          <w:tcPr>
            <w:tcW w:w="1134" w:type="dxa"/>
            <w:tcBorders>
              <w:top w:val="nil"/>
              <w:left w:val="nil"/>
              <w:bottom w:val="single" w:sz="4"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$32,508</w:t>
            </w:r>
          </w:p>
        </w:tc>
        <w:tc>
          <w:tcPr>
            <w:tcW w:w="1418" w:type="dxa"/>
            <w:tcBorders>
              <w:top w:val="nil"/>
              <w:left w:val="nil"/>
              <w:bottom w:val="single" w:sz="4"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$33,728</w:t>
            </w:r>
          </w:p>
        </w:tc>
      </w:tr>
      <w:tr w:rsidR="00DA714D" w:rsidRPr="000C763B" w:rsidTr="00DA714D">
        <w:trPr>
          <w:trHeight w:val="209"/>
        </w:trPr>
        <w:tc>
          <w:tcPr>
            <w:tcW w:w="2694" w:type="dxa"/>
            <w:gridSpan w:val="2"/>
            <w:tcBorders>
              <w:top w:val="single" w:sz="4" w:space="0" w:color="auto"/>
              <w:left w:val="single" w:sz="12" w:space="0" w:color="auto"/>
              <w:bottom w:val="single" w:sz="12" w:space="0" w:color="auto"/>
              <w:right w:val="single" w:sz="12" w:space="0" w:color="auto"/>
            </w:tcBorders>
            <w:shd w:val="clear" w:color="000000" w:fill="C1EDFF"/>
            <w:noWrap/>
            <w:vAlign w:val="bottom"/>
            <w:hideMark/>
          </w:tcPr>
          <w:p w:rsidR="00DA714D" w:rsidRPr="0023590E" w:rsidRDefault="00DA714D" w:rsidP="00DA714D">
            <w:pPr>
              <w:spacing w:after="0" w:line="240" w:lineRule="auto"/>
              <w:rPr>
                <w:rFonts w:ascii="Calibri" w:eastAsia="Times New Roman" w:hAnsi="Calibri" w:cs="Calibri"/>
                <w:color w:val="000000"/>
                <w:sz w:val="16"/>
                <w:lang w:eastAsia="en-AU"/>
              </w:rPr>
            </w:pPr>
            <w:r w:rsidRPr="0023590E">
              <w:rPr>
                <w:rFonts w:ascii="Calibri" w:eastAsia="Times New Roman" w:hAnsi="Calibri" w:cs="Calibri"/>
                <w:color w:val="000000"/>
                <w:sz w:val="16"/>
                <w:lang w:eastAsia="en-AU"/>
              </w:rPr>
              <w:t xml:space="preserve"> Group Accom, 5 residents </w:t>
            </w:r>
          </w:p>
        </w:tc>
        <w:tc>
          <w:tcPr>
            <w:tcW w:w="1134" w:type="dxa"/>
            <w:tcBorders>
              <w:top w:val="nil"/>
              <w:left w:val="single" w:sz="12" w:space="0" w:color="auto"/>
              <w:bottom w:val="single" w:sz="12"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$12,730</w:t>
            </w:r>
          </w:p>
        </w:tc>
        <w:tc>
          <w:tcPr>
            <w:tcW w:w="992" w:type="dxa"/>
            <w:tcBorders>
              <w:top w:val="nil"/>
              <w:left w:val="nil"/>
              <w:bottom w:val="single" w:sz="12"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$13,285</w:t>
            </w:r>
          </w:p>
        </w:tc>
        <w:tc>
          <w:tcPr>
            <w:tcW w:w="883" w:type="dxa"/>
            <w:tcBorders>
              <w:top w:val="nil"/>
              <w:left w:val="nil"/>
              <w:bottom w:val="single" w:sz="12"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$19,877</w:t>
            </w:r>
          </w:p>
        </w:tc>
        <w:tc>
          <w:tcPr>
            <w:tcW w:w="1025" w:type="dxa"/>
            <w:tcBorders>
              <w:top w:val="nil"/>
              <w:left w:val="nil"/>
              <w:bottom w:val="single" w:sz="12"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$20,687</w:t>
            </w:r>
          </w:p>
        </w:tc>
        <w:tc>
          <w:tcPr>
            <w:tcW w:w="1134" w:type="dxa"/>
            <w:tcBorders>
              <w:top w:val="nil"/>
              <w:left w:val="nil"/>
              <w:bottom w:val="single" w:sz="12"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$23,557</w:t>
            </w:r>
          </w:p>
        </w:tc>
        <w:tc>
          <w:tcPr>
            <w:tcW w:w="992" w:type="dxa"/>
            <w:tcBorders>
              <w:top w:val="nil"/>
              <w:left w:val="nil"/>
              <w:bottom w:val="single" w:sz="12"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$24,514</w:t>
            </w:r>
          </w:p>
        </w:tc>
        <w:tc>
          <w:tcPr>
            <w:tcW w:w="850" w:type="dxa"/>
            <w:tcBorders>
              <w:top w:val="nil"/>
              <w:left w:val="nil"/>
              <w:bottom w:val="single" w:sz="12" w:space="0" w:color="auto"/>
              <w:right w:val="single" w:sz="4" w:space="0" w:color="auto"/>
            </w:tcBorders>
            <w:shd w:val="clear" w:color="000000" w:fill="E2EFDA"/>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$805</w:t>
            </w:r>
          </w:p>
        </w:tc>
        <w:tc>
          <w:tcPr>
            <w:tcW w:w="1134" w:type="dxa"/>
            <w:tcBorders>
              <w:top w:val="nil"/>
              <w:left w:val="nil"/>
              <w:bottom w:val="single" w:sz="12" w:space="0" w:color="auto"/>
              <w:right w:val="single" w:sz="4"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$29,068</w:t>
            </w:r>
          </w:p>
        </w:tc>
        <w:tc>
          <w:tcPr>
            <w:tcW w:w="1418" w:type="dxa"/>
            <w:tcBorders>
              <w:top w:val="nil"/>
              <w:left w:val="nil"/>
              <w:bottom w:val="single" w:sz="12" w:space="0" w:color="auto"/>
              <w:right w:val="single" w:sz="12" w:space="0" w:color="auto"/>
            </w:tcBorders>
            <w:shd w:val="clear" w:color="000000" w:fill="C1EDFF"/>
            <w:noWrap/>
            <w:vAlign w:val="bottom"/>
            <w:hideMark/>
          </w:tcPr>
          <w:p w:rsidR="00DA714D" w:rsidRPr="0023590E" w:rsidRDefault="00DA714D" w:rsidP="00DA714D">
            <w:pPr>
              <w:spacing w:after="0" w:line="240" w:lineRule="auto"/>
              <w:jc w:val="right"/>
              <w:rPr>
                <w:rFonts w:ascii="Calibri" w:eastAsia="Times New Roman" w:hAnsi="Calibri" w:cs="Calibri"/>
                <w:color w:val="000000"/>
                <w:sz w:val="16"/>
                <w:szCs w:val="18"/>
                <w:lang w:eastAsia="en-AU"/>
              </w:rPr>
            </w:pPr>
            <w:r w:rsidRPr="0023590E">
              <w:rPr>
                <w:rFonts w:ascii="Calibri" w:eastAsia="Times New Roman" w:hAnsi="Calibri" w:cs="Calibri"/>
                <w:color w:val="000000"/>
                <w:sz w:val="16"/>
                <w:szCs w:val="18"/>
                <w:lang w:eastAsia="en-AU"/>
              </w:rPr>
              <w:t>$30,029</w:t>
            </w:r>
          </w:p>
        </w:tc>
      </w:tr>
    </w:tbl>
    <w:p w:rsidR="00DA714D" w:rsidRDefault="00DA714D" w:rsidP="00DA714D">
      <w:pPr>
        <w:rPr>
          <w:noProof/>
          <w:lang w:val="en-AU" w:eastAsia="en-AU"/>
        </w:rPr>
      </w:pPr>
    </w:p>
    <w:p w:rsidR="00DA714D" w:rsidRDefault="00C34DD1" w:rsidP="00DA714D">
      <w:pPr>
        <w:rPr>
          <w:b/>
          <w:noProof/>
          <w:lang w:val="en-AU" w:eastAsia="en-AU"/>
        </w:rPr>
      </w:pPr>
      <w:r>
        <w:rPr>
          <w:b/>
          <w:noProof/>
          <w:lang w:val="en-AU" w:eastAsia="en-AU"/>
        </w:rPr>
        <w:t xml:space="preserve">Table 10.2 </w:t>
      </w:r>
      <w:r w:rsidR="00DA714D" w:rsidRPr="008513F7">
        <w:rPr>
          <w:b/>
          <w:noProof/>
          <w:lang w:val="en-AU" w:eastAsia="en-AU"/>
        </w:rPr>
        <w:t>Adjusted base prices inc.  CPI adjustment for inflation 2017/18 + 2018/19</w:t>
      </w:r>
    </w:p>
    <w:tbl>
      <w:tblPr>
        <w:tblW w:w="12333" w:type="dxa"/>
        <w:tblLook w:val="04A0" w:firstRow="1" w:lastRow="0" w:firstColumn="1" w:lastColumn="0" w:noHBand="0" w:noVBand="1"/>
      </w:tblPr>
      <w:tblGrid>
        <w:gridCol w:w="1276"/>
        <w:gridCol w:w="1418"/>
        <w:gridCol w:w="1134"/>
        <w:gridCol w:w="992"/>
        <w:gridCol w:w="850"/>
        <w:gridCol w:w="1134"/>
        <w:gridCol w:w="993"/>
        <w:gridCol w:w="992"/>
        <w:gridCol w:w="850"/>
        <w:gridCol w:w="1134"/>
        <w:gridCol w:w="1560"/>
      </w:tblGrid>
      <w:tr w:rsidR="00DA714D" w:rsidRPr="003029B5" w:rsidTr="004D677B">
        <w:trPr>
          <w:trHeight w:val="264"/>
          <w:tblHeader/>
        </w:trPr>
        <w:tc>
          <w:tcPr>
            <w:tcW w:w="1276" w:type="dxa"/>
            <w:tcBorders>
              <w:top w:val="nil"/>
              <w:left w:val="nil"/>
              <w:bottom w:val="nil"/>
              <w:right w:val="nil"/>
            </w:tcBorders>
            <w:shd w:val="clear" w:color="auto" w:fill="auto"/>
            <w:noWrap/>
            <w:vAlign w:val="bottom"/>
            <w:hideMark/>
          </w:tcPr>
          <w:p w:rsidR="00DA714D" w:rsidRPr="003029B5" w:rsidRDefault="00DA714D" w:rsidP="00DA714D">
            <w:pPr>
              <w:spacing w:after="0" w:line="240" w:lineRule="auto"/>
              <w:rPr>
                <w:rFonts w:ascii="Times New Roman" w:eastAsia="Times New Roman" w:hAnsi="Times New Roman" w:cs="Times New Roman"/>
                <w:sz w:val="16"/>
                <w:lang w:eastAsia="en-AU"/>
              </w:rPr>
            </w:pPr>
          </w:p>
        </w:tc>
        <w:tc>
          <w:tcPr>
            <w:tcW w:w="1418" w:type="dxa"/>
            <w:tcBorders>
              <w:top w:val="nil"/>
              <w:left w:val="nil"/>
              <w:bottom w:val="nil"/>
              <w:right w:val="single" w:sz="12" w:space="0" w:color="auto"/>
            </w:tcBorders>
            <w:shd w:val="clear" w:color="auto" w:fill="auto"/>
            <w:noWrap/>
            <w:vAlign w:val="bottom"/>
            <w:hideMark/>
          </w:tcPr>
          <w:p w:rsidR="00DA714D" w:rsidRPr="003029B5" w:rsidRDefault="00DA714D" w:rsidP="00DA714D">
            <w:pPr>
              <w:spacing w:after="0" w:line="240" w:lineRule="auto"/>
              <w:rPr>
                <w:rFonts w:ascii="Times New Roman" w:eastAsia="Times New Roman" w:hAnsi="Times New Roman" w:cs="Times New Roman"/>
                <w:sz w:val="16"/>
                <w:szCs w:val="20"/>
                <w:lang w:eastAsia="en-AU"/>
              </w:rPr>
            </w:pPr>
          </w:p>
        </w:tc>
        <w:tc>
          <w:tcPr>
            <w:tcW w:w="2126"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Pr>
                <w:rFonts w:ascii="Calibri" w:eastAsia="Times New Roman" w:hAnsi="Calibri" w:cs="Times New Roman"/>
                <w:b/>
                <w:bCs/>
                <w:color w:val="000000"/>
                <w:sz w:val="16"/>
                <w:lang w:eastAsia="en-AU"/>
              </w:rPr>
              <w:t>Improved liveability</w:t>
            </w:r>
          </w:p>
        </w:tc>
        <w:tc>
          <w:tcPr>
            <w:tcW w:w="1984" w:type="dxa"/>
            <w:gridSpan w:val="2"/>
            <w:tcBorders>
              <w:top w:val="single" w:sz="12" w:space="0" w:color="auto"/>
              <w:left w:val="nil"/>
              <w:bottom w:val="single" w:sz="4"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Pr>
                <w:rFonts w:ascii="Calibri" w:eastAsia="Times New Roman" w:hAnsi="Calibri" w:cs="Times New Roman"/>
                <w:b/>
                <w:bCs/>
                <w:color w:val="000000"/>
                <w:sz w:val="16"/>
                <w:lang w:eastAsia="en-AU"/>
              </w:rPr>
              <w:t>Fully accessible</w:t>
            </w:r>
          </w:p>
        </w:tc>
        <w:tc>
          <w:tcPr>
            <w:tcW w:w="2835" w:type="dxa"/>
            <w:gridSpan w:val="3"/>
            <w:tcBorders>
              <w:top w:val="single" w:sz="12" w:space="0" w:color="auto"/>
              <w:left w:val="nil"/>
              <w:bottom w:val="single" w:sz="4" w:space="0" w:color="auto"/>
              <w:right w:val="single" w:sz="4" w:space="0" w:color="000000"/>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Robust</w:t>
            </w:r>
          </w:p>
        </w:tc>
        <w:tc>
          <w:tcPr>
            <w:tcW w:w="2694" w:type="dxa"/>
            <w:gridSpan w:val="2"/>
            <w:tcBorders>
              <w:top w:val="single" w:sz="12" w:space="0" w:color="auto"/>
              <w:left w:val="nil"/>
              <w:bottom w:val="single" w:sz="4" w:space="0" w:color="auto"/>
              <w:right w:val="single" w:sz="12"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High Support</w:t>
            </w:r>
          </w:p>
        </w:tc>
      </w:tr>
      <w:tr w:rsidR="00DA714D" w:rsidRPr="003029B5" w:rsidTr="00DA714D">
        <w:trPr>
          <w:trHeight w:val="345"/>
        </w:trPr>
        <w:tc>
          <w:tcPr>
            <w:tcW w:w="1276" w:type="dxa"/>
            <w:tcBorders>
              <w:top w:val="nil"/>
              <w:left w:val="nil"/>
              <w:bottom w:val="single" w:sz="12" w:space="0" w:color="auto"/>
              <w:right w:val="nil"/>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p>
        </w:tc>
        <w:tc>
          <w:tcPr>
            <w:tcW w:w="1418" w:type="dxa"/>
            <w:tcBorders>
              <w:top w:val="nil"/>
              <w:left w:val="nil"/>
              <w:bottom w:val="single" w:sz="12" w:space="0" w:color="auto"/>
              <w:right w:val="single" w:sz="12" w:space="0" w:color="auto"/>
            </w:tcBorders>
            <w:shd w:val="clear" w:color="auto" w:fill="auto"/>
            <w:noWrap/>
            <w:vAlign w:val="bottom"/>
            <w:hideMark/>
          </w:tcPr>
          <w:p w:rsidR="00DA714D" w:rsidRPr="003029B5" w:rsidRDefault="00DA714D" w:rsidP="00DA714D">
            <w:pPr>
              <w:spacing w:after="0" w:line="240" w:lineRule="auto"/>
              <w:rPr>
                <w:rFonts w:ascii="Times New Roman" w:eastAsia="Times New Roman" w:hAnsi="Times New Roman" w:cs="Times New Roman"/>
                <w:sz w:val="16"/>
                <w:szCs w:val="20"/>
                <w:lang w:eastAsia="en-AU"/>
              </w:rPr>
            </w:pPr>
          </w:p>
        </w:tc>
        <w:tc>
          <w:tcPr>
            <w:tcW w:w="1134" w:type="dxa"/>
            <w:tcBorders>
              <w:top w:val="nil"/>
              <w:left w:val="single" w:sz="12" w:space="0" w:color="auto"/>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2"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850"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1134"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993"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992"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c>
          <w:tcPr>
            <w:tcW w:w="850"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+1 Room</w:t>
            </w:r>
          </w:p>
        </w:tc>
        <w:tc>
          <w:tcPr>
            <w:tcW w:w="1134" w:type="dxa"/>
            <w:tcBorders>
              <w:top w:val="nil"/>
              <w:left w:val="nil"/>
              <w:bottom w:val="single" w:sz="12" w:space="0" w:color="auto"/>
              <w:right w:val="single" w:sz="4"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No OOA</w:t>
            </w:r>
          </w:p>
        </w:tc>
        <w:tc>
          <w:tcPr>
            <w:tcW w:w="1560" w:type="dxa"/>
            <w:tcBorders>
              <w:top w:val="nil"/>
              <w:left w:val="nil"/>
              <w:bottom w:val="single" w:sz="12" w:space="0" w:color="auto"/>
              <w:right w:val="single" w:sz="12" w:space="0" w:color="auto"/>
            </w:tcBorders>
            <w:shd w:val="clear" w:color="auto" w:fill="auto"/>
            <w:noWrap/>
            <w:vAlign w:val="bottom"/>
            <w:hideMark/>
          </w:tcPr>
          <w:p w:rsidR="00DA714D" w:rsidRPr="003029B5" w:rsidRDefault="00DA714D" w:rsidP="00DA714D">
            <w:pPr>
              <w:spacing w:after="0" w:line="240" w:lineRule="auto"/>
              <w:rPr>
                <w:rFonts w:ascii="Calibri" w:eastAsia="Times New Roman" w:hAnsi="Calibri" w:cs="Times New Roman"/>
                <w:b/>
                <w:bCs/>
                <w:color w:val="000000"/>
                <w:sz w:val="16"/>
                <w:lang w:eastAsia="en-AU"/>
              </w:rPr>
            </w:pPr>
            <w:r w:rsidRPr="003029B5">
              <w:rPr>
                <w:rFonts w:ascii="Calibri" w:eastAsia="Times New Roman" w:hAnsi="Calibri" w:cs="Times New Roman"/>
                <w:b/>
                <w:bCs/>
                <w:color w:val="000000"/>
                <w:sz w:val="16"/>
                <w:lang w:eastAsia="en-AU"/>
              </w:rPr>
              <w:t>With OOA</w:t>
            </w:r>
          </w:p>
        </w:tc>
      </w:tr>
      <w:tr w:rsidR="00DA714D" w:rsidRPr="003029B5" w:rsidTr="00DA714D">
        <w:trPr>
          <w:trHeight w:val="164"/>
        </w:trPr>
        <w:tc>
          <w:tcPr>
            <w:tcW w:w="2694" w:type="dxa"/>
            <w:gridSpan w:val="2"/>
            <w:tcBorders>
              <w:top w:val="single" w:sz="12"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1 bedroom, 1 resident </w:t>
            </w:r>
          </w:p>
        </w:tc>
        <w:tc>
          <w:tcPr>
            <w:tcW w:w="1134"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$35,149</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$41,007</w:t>
            </w:r>
          </w:p>
        </w:tc>
        <w:tc>
          <w:tcPr>
            <w:tcW w:w="850" w:type="dxa"/>
            <w:tcBorders>
              <w:top w:val="single" w:sz="12"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$56,752</w:t>
            </w:r>
          </w:p>
        </w:tc>
        <w:tc>
          <w:tcPr>
            <w:tcW w:w="1134" w:type="dxa"/>
            <w:tcBorders>
              <w:top w:val="single" w:sz="12"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$66,211</w:t>
            </w:r>
          </w:p>
        </w:tc>
        <w:tc>
          <w:tcPr>
            <w:tcW w:w="993"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1134" w:type="dxa"/>
            <w:tcBorders>
              <w:top w:val="single" w:sz="12"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$72,844</w:t>
            </w:r>
          </w:p>
        </w:tc>
        <w:tc>
          <w:tcPr>
            <w:tcW w:w="1560" w:type="dxa"/>
            <w:tcBorders>
              <w:top w:val="single" w:sz="12"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$84,984</w:t>
            </w:r>
          </w:p>
        </w:tc>
      </w:tr>
      <w:tr w:rsidR="00DA714D" w:rsidRPr="003029B5" w:rsidTr="00DA714D">
        <w:trPr>
          <w:trHeight w:val="160"/>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2 bedrooms, 1 resident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$41,847</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$48,822</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$69,129</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$80,651</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$90,632</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$105,738</w:t>
            </w:r>
          </w:p>
        </w:tc>
      </w:tr>
      <w:tr w:rsidR="00DA714D" w:rsidRPr="003029B5" w:rsidTr="00DA714D">
        <w:trPr>
          <w:trHeight w:val="136"/>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Apartment, 3 bedrooms, 2 residents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$21,844</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$24,496</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$39,810</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$46,444</w:t>
            </w:r>
          </w:p>
        </w:tc>
        <w:tc>
          <w:tcPr>
            <w:tcW w:w="993"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$55,310</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$64,528</w:t>
            </w:r>
          </w:p>
        </w:tc>
      </w:tr>
      <w:tr w:rsidR="00DA714D" w:rsidRPr="003029B5" w:rsidTr="00DA714D">
        <w:trPr>
          <w:trHeight w:val="125"/>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Villa, 1 bedroom, 1 resident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$24,755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$27,379</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$38,158</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$41,992</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$44,964</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$49,650</w:t>
            </w:r>
          </w:p>
        </w:tc>
        <w:tc>
          <w:tcPr>
            <w:tcW w:w="850"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na</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$50,604</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$54,953</w:t>
            </w:r>
          </w:p>
        </w:tc>
      </w:tr>
      <w:tr w:rsidR="00DA714D" w:rsidRPr="003029B5" w:rsidTr="00DA714D">
        <w:trPr>
          <w:trHeight w:val="115"/>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Duplex/townhouse, 2 residents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$15,495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$16,726</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$23,611</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$25,473</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$28,179</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$30,439</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$1,901</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$32,338</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$34,430</w:t>
            </w:r>
          </w:p>
        </w:tc>
      </w:tr>
      <w:tr w:rsidR="00DA714D" w:rsidRPr="003029B5" w:rsidTr="00DA714D">
        <w:trPr>
          <w:trHeight w:val="233"/>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Duplex/townhouse, 3 residents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$12,655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$13,494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$20,104</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$21,349</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$24,431</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$25,936</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$1,266</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$28,396</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$29,788</w:t>
            </w:r>
          </w:p>
        </w:tc>
      </w:tr>
      <w:tr w:rsidR="00DA714D" w:rsidRPr="003029B5" w:rsidTr="00DA714D">
        <w:trPr>
          <w:trHeight w:val="173"/>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House, 2 people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$22,628</w:t>
            </w:r>
          </w:p>
        </w:tc>
        <w:tc>
          <w:tcPr>
            <w:tcW w:w="992" w:type="dxa"/>
            <w:tcBorders>
              <w:top w:val="single" w:sz="4" w:space="0" w:color="auto"/>
              <w:left w:val="single" w:sz="8" w:space="0" w:color="auto"/>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$23,861</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$30,922</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$32,784</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$36,099</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$38,358</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$1,901</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$40,051</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$42,143</w:t>
            </w:r>
          </w:p>
        </w:tc>
      </w:tr>
      <w:tr w:rsidR="00DA714D" w:rsidRPr="003029B5" w:rsidTr="00DA714D">
        <w:trPr>
          <w:trHeight w:val="213"/>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House, 3 people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$17,785</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$18,724</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$26,129</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$27,524</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$30,701</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$32,365</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$1,399</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$37,618</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$39,303</w:t>
            </w:r>
          </w:p>
        </w:tc>
      </w:tr>
      <w:tr w:rsidR="00DA714D" w:rsidRPr="003029B5" w:rsidTr="00DA714D">
        <w:trPr>
          <w:trHeight w:val="203"/>
        </w:trPr>
        <w:tc>
          <w:tcPr>
            <w:tcW w:w="2694" w:type="dxa"/>
            <w:gridSpan w:val="2"/>
            <w:tcBorders>
              <w:top w:val="single" w:sz="4" w:space="0" w:color="auto"/>
              <w:left w:val="single" w:sz="12" w:space="0" w:color="auto"/>
              <w:bottom w:val="single" w:sz="4"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Pr>
                <w:rFonts w:ascii="Calibri" w:eastAsia="Times New Roman" w:hAnsi="Calibri" w:cs="Times New Roman"/>
                <w:color w:val="000000"/>
                <w:sz w:val="16"/>
                <w:lang w:eastAsia="en-AU"/>
              </w:rPr>
              <w:t xml:space="preserve"> Group A</w:t>
            </w:r>
            <w:r w:rsidRPr="003029B5">
              <w:rPr>
                <w:rFonts w:ascii="Calibri" w:eastAsia="Times New Roman" w:hAnsi="Calibri" w:cs="Times New Roman"/>
                <w:color w:val="000000"/>
                <w:sz w:val="16"/>
                <w:lang w:eastAsia="en-AU"/>
              </w:rPr>
              <w:t xml:space="preserve">ccom, 4 people </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$15,673</w:t>
            </w:r>
          </w:p>
        </w:tc>
        <w:tc>
          <w:tcPr>
            <w:tcW w:w="992"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$16,378</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$23,479</w:t>
            </w:r>
          </w:p>
        </w:tc>
        <w:tc>
          <w:tcPr>
            <w:tcW w:w="1134"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$24,544</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$27,767</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$29,028</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$1,061</w:t>
            </w:r>
          </w:p>
        </w:tc>
        <w:tc>
          <w:tcPr>
            <w:tcW w:w="1134" w:type="dxa"/>
            <w:tcBorders>
              <w:top w:val="single" w:sz="4" w:space="0" w:color="auto"/>
              <w:left w:val="nil"/>
              <w:bottom w:val="single" w:sz="4"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$33,659</w:t>
            </w:r>
          </w:p>
        </w:tc>
        <w:tc>
          <w:tcPr>
            <w:tcW w:w="1560" w:type="dxa"/>
            <w:tcBorders>
              <w:top w:val="single" w:sz="4" w:space="0" w:color="auto"/>
              <w:left w:val="nil"/>
              <w:bottom w:val="single" w:sz="4"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$34,927</w:t>
            </w:r>
          </w:p>
        </w:tc>
      </w:tr>
      <w:tr w:rsidR="00DA714D" w:rsidRPr="003029B5" w:rsidTr="00DA714D">
        <w:trPr>
          <w:trHeight w:val="193"/>
        </w:trPr>
        <w:tc>
          <w:tcPr>
            <w:tcW w:w="2694" w:type="dxa"/>
            <w:gridSpan w:val="2"/>
            <w:tcBorders>
              <w:top w:val="single" w:sz="4" w:space="0" w:color="auto"/>
              <w:left w:val="single" w:sz="12" w:space="0" w:color="auto"/>
              <w:bottom w:val="single" w:sz="12" w:space="0" w:color="auto"/>
              <w:right w:val="single" w:sz="8" w:space="0" w:color="000000"/>
            </w:tcBorders>
            <w:shd w:val="clear" w:color="000000" w:fill="C1EDFF"/>
            <w:noWrap/>
            <w:vAlign w:val="bottom"/>
            <w:hideMark/>
          </w:tcPr>
          <w:p w:rsidR="00DA714D" w:rsidRPr="003029B5" w:rsidRDefault="00DA714D" w:rsidP="00DA714D">
            <w:pPr>
              <w:spacing w:after="0" w:line="240" w:lineRule="auto"/>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 xml:space="preserve"> Group Accom, 5 residents </w:t>
            </w:r>
          </w:p>
        </w:tc>
        <w:tc>
          <w:tcPr>
            <w:tcW w:w="1134" w:type="dxa"/>
            <w:tcBorders>
              <w:top w:val="single" w:sz="4" w:space="0" w:color="auto"/>
              <w:left w:val="nil"/>
              <w:bottom w:val="single" w:sz="12"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$13,244</w:t>
            </w:r>
          </w:p>
        </w:tc>
        <w:tc>
          <w:tcPr>
            <w:tcW w:w="992" w:type="dxa"/>
            <w:tcBorders>
              <w:top w:val="single" w:sz="4" w:space="0" w:color="auto"/>
              <w:left w:val="nil"/>
              <w:bottom w:val="single" w:sz="12"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$13,822</w:t>
            </w:r>
          </w:p>
        </w:tc>
        <w:tc>
          <w:tcPr>
            <w:tcW w:w="850" w:type="dxa"/>
            <w:tcBorders>
              <w:top w:val="single" w:sz="4" w:space="0" w:color="auto"/>
              <w:left w:val="nil"/>
              <w:bottom w:val="single" w:sz="12"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$20,680</w:t>
            </w:r>
          </w:p>
        </w:tc>
        <w:tc>
          <w:tcPr>
            <w:tcW w:w="1134" w:type="dxa"/>
            <w:tcBorders>
              <w:top w:val="single" w:sz="4" w:space="0" w:color="auto"/>
              <w:left w:val="nil"/>
              <w:bottom w:val="single" w:sz="12"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$21,523</w:t>
            </w:r>
          </w:p>
        </w:tc>
        <w:tc>
          <w:tcPr>
            <w:tcW w:w="993" w:type="dxa"/>
            <w:tcBorders>
              <w:top w:val="single" w:sz="4" w:space="0" w:color="auto"/>
              <w:left w:val="nil"/>
              <w:bottom w:val="single" w:sz="12"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$24,509</w:t>
            </w:r>
          </w:p>
        </w:tc>
        <w:tc>
          <w:tcPr>
            <w:tcW w:w="992" w:type="dxa"/>
            <w:tcBorders>
              <w:top w:val="single" w:sz="4" w:space="0" w:color="auto"/>
              <w:left w:val="nil"/>
              <w:bottom w:val="single" w:sz="12"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$25,504</w:t>
            </w:r>
          </w:p>
        </w:tc>
        <w:tc>
          <w:tcPr>
            <w:tcW w:w="850" w:type="dxa"/>
            <w:tcBorders>
              <w:top w:val="single" w:sz="4" w:space="0" w:color="auto"/>
              <w:left w:val="nil"/>
              <w:bottom w:val="single" w:sz="12" w:space="0" w:color="auto"/>
              <w:right w:val="single" w:sz="4" w:space="0" w:color="auto"/>
            </w:tcBorders>
            <w:shd w:val="clear" w:color="000000" w:fill="E2EFDA"/>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$838</w:t>
            </w:r>
          </w:p>
        </w:tc>
        <w:tc>
          <w:tcPr>
            <w:tcW w:w="1134" w:type="dxa"/>
            <w:tcBorders>
              <w:top w:val="single" w:sz="4" w:space="0" w:color="auto"/>
              <w:left w:val="nil"/>
              <w:bottom w:val="single" w:sz="12" w:space="0" w:color="auto"/>
              <w:right w:val="single" w:sz="4"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$30,117</w:t>
            </w:r>
          </w:p>
        </w:tc>
        <w:tc>
          <w:tcPr>
            <w:tcW w:w="1560" w:type="dxa"/>
            <w:tcBorders>
              <w:top w:val="single" w:sz="4" w:space="0" w:color="auto"/>
              <w:left w:val="nil"/>
              <w:bottom w:val="single" w:sz="12" w:space="0" w:color="auto"/>
              <w:right w:val="single" w:sz="12" w:space="0" w:color="auto"/>
            </w:tcBorders>
            <w:shd w:val="clear" w:color="000000" w:fill="C1EDFF"/>
            <w:noWrap/>
            <w:vAlign w:val="bottom"/>
            <w:hideMark/>
          </w:tcPr>
          <w:p w:rsidR="00DA714D" w:rsidRPr="003029B5" w:rsidRDefault="00DA714D" w:rsidP="00DA714D">
            <w:pPr>
              <w:spacing w:after="0" w:line="240" w:lineRule="auto"/>
              <w:jc w:val="right"/>
              <w:rPr>
                <w:rFonts w:ascii="Calibri" w:eastAsia="Times New Roman" w:hAnsi="Calibri" w:cs="Times New Roman"/>
                <w:color w:val="000000"/>
                <w:sz w:val="16"/>
                <w:lang w:eastAsia="en-AU"/>
              </w:rPr>
            </w:pPr>
            <w:r w:rsidRPr="003029B5">
              <w:rPr>
                <w:rFonts w:ascii="Calibri" w:eastAsia="Times New Roman" w:hAnsi="Calibri" w:cs="Times New Roman"/>
                <w:color w:val="000000"/>
                <w:sz w:val="16"/>
                <w:lang w:eastAsia="en-AU"/>
              </w:rPr>
              <w:t>$29,909</w:t>
            </w:r>
          </w:p>
        </w:tc>
      </w:tr>
    </w:tbl>
    <w:p w:rsidR="0084462F" w:rsidRDefault="0084462F" w:rsidP="0084462F">
      <w:pPr>
        <w:rPr>
          <w:lang w:val="en-AU"/>
        </w:rPr>
      </w:pPr>
    </w:p>
    <w:p w:rsidR="006B624F" w:rsidRDefault="006B624F" w:rsidP="00DA714D">
      <w:pPr>
        <w:rPr>
          <w:b/>
          <w:noProof/>
          <w:lang w:val="en-AU" w:eastAsia="en-AU"/>
        </w:rPr>
      </w:pPr>
    </w:p>
    <w:p w:rsidR="006B624F" w:rsidRDefault="006B624F" w:rsidP="00DA714D">
      <w:pPr>
        <w:rPr>
          <w:b/>
          <w:noProof/>
          <w:lang w:val="en-AU" w:eastAsia="en-AU"/>
        </w:rPr>
      </w:pPr>
    </w:p>
    <w:p w:rsidR="006B624F" w:rsidRDefault="006B624F" w:rsidP="00DA714D">
      <w:pPr>
        <w:rPr>
          <w:b/>
          <w:noProof/>
          <w:lang w:val="en-AU" w:eastAsia="en-AU"/>
        </w:rPr>
      </w:pPr>
    </w:p>
    <w:p w:rsidR="00DA714D" w:rsidRPr="008513F7" w:rsidRDefault="00DA714D" w:rsidP="00DA714D">
      <w:pPr>
        <w:rPr>
          <w:b/>
          <w:noProof/>
          <w:lang w:val="en-AU" w:eastAsia="en-AU"/>
        </w:rPr>
      </w:pPr>
      <w:r w:rsidRPr="008513F7">
        <w:rPr>
          <w:b/>
          <w:noProof/>
          <w:lang w:val="en-AU" w:eastAsia="en-AU"/>
        </w:rPr>
        <w:t>Percentage adjustments in price limits, 2018-19</w:t>
      </w:r>
    </w:p>
    <w:tbl>
      <w:tblPr>
        <w:tblW w:w="10540" w:type="dxa"/>
        <w:tblLook w:val="04A0" w:firstRow="1" w:lastRow="0" w:firstColumn="1" w:lastColumn="0" w:noHBand="0" w:noVBand="1"/>
      </w:tblPr>
      <w:tblGrid>
        <w:gridCol w:w="1820"/>
        <w:gridCol w:w="1820"/>
        <w:gridCol w:w="1380"/>
        <w:gridCol w:w="1380"/>
        <w:gridCol w:w="1245"/>
        <w:gridCol w:w="1542"/>
        <w:gridCol w:w="1353"/>
      </w:tblGrid>
      <w:tr w:rsidR="00DA714D" w:rsidRPr="00497D0B" w:rsidTr="004D677B">
        <w:trPr>
          <w:trHeight w:val="285"/>
          <w:tblHeader/>
        </w:trPr>
        <w:tc>
          <w:tcPr>
            <w:tcW w:w="1820" w:type="dxa"/>
            <w:tcBorders>
              <w:top w:val="nil"/>
              <w:left w:val="nil"/>
              <w:bottom w:val="nil"/>
              <w:right w:val="nil"/>
            </w:tcBorders>
            <w:shd w:val="clear" w:color="auto" w:fill="auto"/>
            <w:noWrap/>
            <w:vAlign w:val="bottom"/>
            <w:hideMark/>
          </w:tcPr>
          <w:p w:rsidR="00DA714D" w:rsidRPr="00497D0B" w:rsidRDefault="00DA714D" w:rsidP="00DA714D">
            <w:pPr>
              <w:spacing w:after="0" w:line="240" w:lineRule="auto"/>
              <w:rPr>
                <w:rFonts w:ascii="Times New Roman" w:eastAsia="Times New Roman" w:hAnsi="Times New Roman" w:cs="Times New Roman"/>
                <w:sz w:val="16"/>
                <w:lang w:eastAsia="en-AU"/>
              </w:rPr>
            </w:pPr>
          </w:p>
        </w:tc>
        <w:tc>
          <w:tcPr>
            <w:tcW w:w="1820" w:type="dxa"/>
            <w:tcBorders>
              <w:top w:val="nil"/>
              <w:left w:val="nil"/>
              <w:bottom w:val="nil"/>
              <w:right w:val="single" w:sz="12" w:space="0" w:color="auto"/>
            </w:tcBorders>
            <w:shd w:val="clear" w:color="auto" w:fill="auto"/>
            <w:noWrap/>
            <w:vAlign w:val="bottom"/>
            <w:hideMark/>
          </w:tcPr>
          <w:p w:rsidR="00DA714D" w:rsidRPr="00497D0B" w:rsidRDefault="00DA714D" w:rsidP="00DA714D">
            <w:pPr>
              <w:spacing w:after="0" w:line="240" w:lineRule="auto"/>
              <w:rPr>
                <w:rFonts w:ascii="Times New Roman" w:eastAsia="Times New Roman" w:hAnsi="Times New Roman" w:cs="Times New Roman"/>
                <w:sz w:val="16"/>
                <w:szCs w:val="20"/>
                <w:lang w:eastAsia="en-AU"/>
              </w:rPr>
            </w:pPr>
          </w:p>
        </w:tc>
        <w:tc>
          <w:tcPr>
            <w:tcW w:w="2760" w:type="dxa"/>
            <w:gridSpan w:val="2"/>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Fully accessible</w:t>
            </w:r>
          </w:p>
        </w:tc>
        <w:tc>
          <w:tcPr>
            <w:tcW w:w="4140" w:type="dxa"/>
            <w:gridSpan w:val="3"/>
            <w:tcBorders>
              <w:top w:val="single" w:sz="12" w:space="0" w:color="auto"/>
              <w:left w:val="nil"/>
              <w:bottom w:val="single" w:sz="12" w:space="0" w:color="auto"/>
              <w:right w:val="single" w:sz="12"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Robust</w:t>
            </w:r>
          </w:p>
        </w:tc>
      </w:tr>
      <w:tr w:rsidR="00DA714D" w:rsidRPr="00497D0B" w:rsidTr="00DA714D">
        <w:trPr>
          <w:trHeight w:val="293"/>
        </w:trPr>
        <w:tc>
          <w:tcPr>
            <w:tcW w:w="1820" w:type="dxa"/>
            <w:tcBorders>
              <w:top w:val="nil"/>
              <w:left w:val="nil"/>
              <w:bottom w:val="single" w:sz="12" w:space="0" w:color="auto"/>
              <w:right w:val="nil"/>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p>
        </w:tc>
        <w:tc>
          <w:tcPr>
            <w:tcW w:w="1820" w:type="dxa"/>
            <w:tcBorders>
              <w:top w:val="nil"/>
              <w:left w:val="nil"/>
              <w:bottom w:val="single" w:sz="12" w:space="0" w:color="auto"/>
              <w:right w:val="single" w:sz="12" w:space="0" w:color="auto"/>
            </w:tcBorders>
            <w:shd w:val="clear" w:color="auto" w:fill="auto"/>
            <w:noWrap/>
            <w:vAlign w:val="bottom"/>
            <w:hideMark/>
          </w:tcPr>
          <w:p w:rsidR="00DA714D" w:rsidRPr="00497D0B" w:rsidRDefault="00DA714D" w:rsidP="00DA714D">
            <w:pPr>
              <w:spacing w:after="0" w:line="240" w:lineRule="auto"/>
              <w:rPr>
                <w:rFonts w:ascii="Times New Roman" w:eastAsia="Times New Roman" w:hAnsi="Times New Roman" w:cs="Times New Roman"/>
                <w:sz w:val="16"/>
                <w:szCs w:val="20"/>
                <w:lang w:eastAsia="en-AU"/>
              </w:rPr>
            </w:pPr>
          </w:p>
        </w:tc>
        <w:tc>
          <w:tcPr>
            <w:tcW w:w="1380"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No OOA</w:t>
            </w:r>
          </w:p>
        </w:tc>
        <w:tc>
          <w:tcPr>
            <w:tcW w:w="1380"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With OOA</w:t>
            </w:r>
          </w:p>
        </w:tc>
        <w:tc>
          <w:tcPr>
            <w:tcW w:w="1245"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No OOA</w:t>
            </w:r>
          </w:p>
        </w:tc>
        <w:tc>
          <w:tcPr>
            <w:tcW w:w="1542" w:type="dxa"/>
            <w:tcBorders>
              <w:top w:val="single" w:sz="12" w:space="0" w:color="auto"/>
              <w:left w:val="nil"/>
              <w:bottom w:val="single" w:sz="12" w:space="0" w:color="auto"/>
              <w:right w:val="single" w:sz="4"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With OOA</w:t>
            </w:r>
          </w:p>
        </w:tc>
        <w:tc>
          <w:tcPr>
            <w:tcW w:w="1353" w:type="dxa"/>
            <w:tcBorders>
              <w:top w:val="single" w:sz="12" w:space="0" w:color="auto"/>
              <w:left w:val="nil"/>
              <w:bottom w:val="single" w:sz="12" w:space="0" w:color="auto"/>
              <w:right w:val="single" w:sz="12" w:space="0" w:color="auto"/>
            </w:tcBorders>
            <w:shd w:val="clear" w:color="auto" w:fill="auto"/>
            <w:noWrap/>
            <w:vAlign w:val="bottom"/>
            <w:hideMark/>
          </w:tcPr>
          <w:p w:rsidR="00DA714D" w:rsidRPr="00497D0B" w:rsidRDefault="00DA714D" w:rsidP="00DA714D">
            <w:pPr>
              <w:spacing w:after="0" w:line="240" w:lineRule="auto"/>
              <w:rPr>
                <w:rFonts w:ascii="Calibri" w:eastAsia="Times New Roman" w:hAnsi="Calibri" w:cs="Times New Roman"/>
                <w:b/>
                <w:bCs/>
                <w:color w:val="000000"/>
                <w:sz w:val="16"/>
                <w:lang w:eastAsia="en-AU"/>
              </w:rPr>
            </w:pPr>
            <w:r w:rsidRPr="00497D0B">
              <w:rPr>
                <w:rFonts w:ascii="Calibri" w:eastAsia="Times New Roman" w:hAnsi="Calibri" w:cs="Times New Roman"/>
                <w:b/>
                <w:bCs/>
                <w:color w:val="000000"/>
                <w:sz w:val="16"/>
                <w:lang w:eastAsia="en-AU"/>
              </w:rPr>
              <w:t>+1 Room</w:t>
            </w:r>
          </w:p>
        </w:tc>
      </w:tr>
      <w:tr w:rsidR="00DA714D" w:rsidRPr="00497D0B" w:rsidTr="00DA714D">
        <w:trPr>
          <w:trHeight w:val="229"/>
        </w:trPr>
        <w:tc>
          <w:tcPr>
            <w:tcW w:w="3640" w:type="dxa"/>
            <w:gridSpan w:val="2"/>
            <w:tcBorders>
              <w:top w:val="single" w:sz="12"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Apartment, 1 bedroom, 1 resident </w:t>
            </w:r>
          </w:p>
        </w:tc>
        <w:tc>
          <w:tcPr>
            <w:tcW w:w="1380" w:type="dxa"/>
            <w:tcBorders>
              <w:top w:val="single" w:sz="12" w:space="0" w:color="auto"/>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13.9%</w:t>
            </w:r>
          </w:p>
        </w:tc>
        <w:tc>
          <w:tcPr>
            <w:tcW w:w="1380" w:type="dxa"/>
            <w:tcBorders>
              <w:top w:val="single" w:sz="12" w:space="0" w:color="auto"/>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13.9%</w:t>
            </w:r>
          </w:p>
        </w:tc>
        <w:tc>
          <w:tcPr>
            <w:tcW w:w="1245" w:type="dxa"/>
            <w:tcBorders>
              <w:top w:val="single" w:sz="12" w:space="0" w:color="auto"/>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542" w:type="dxa"/>
            <w:tcBorders>
              <w:top w:val="single" w:sz="12" w:space="0" w:color="auto"/>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353" w:type="dxa"/>
            <w:tcBorders>
              <w:top w:val="single" w:sz="12" w:space="0" w:color="auto"/>
              <w:left w:val="nil"/>
              <w:bottom w:val="single" w:sz="4" w:space="0" w:color="auto"/>
              <w:right w:val="single" w:sz="12"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r>
      <w:tr w:rsidR="00DA714D" w:rsidRPr="00497D0B" w:rsidTr="00DA714D">
        <w:trPr>
          <w:trHeight w:val="139"/>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Apartment, 2 bedrooms, 1 resident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14.3%</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14.3%</w:t>
            </w:r>
          </w:p>
        </w:tc>
        <w:tc>
          <w:tcPr>
            <w:tcW w:w="1245" w:type="dxa"/>
            <w:tcBorders>
              <w:top w:val="nil"/>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542" w:type="dxa"/>
            <w:tcBorders>
              <w:top w:val="nil"/>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353" w:type="dxa"/>
            <w:tcBorders>
              <w:top w:val="nil"/>
              <w:left w:val="nil"/>
              <w:bottom w:val="single" w:sz="4" w:space="0" w:color="auto"/>
              <w:right w:val="single" w:sz="12"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r>
      <w:tr w:rsidR="00DA714D" w:rsidRPr="00497D0B" w:rsidTr="00DA714D">
        <w:trPr>
          <w:trHeight w:val="71"/>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Apartment, 3 bedrooms, 2 residents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16.4%</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16.4%</w:t>
            </w:r>
          </w:p>
        </w:tc>
        <w:tc>
          <w:tcPr>
            <w:tcW w:w="1245" w:type="dxa"/>
            <w:tcBorders>
              <w:top w:val="nil"/>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542" w:type="dxa"/>
            <w:tcBorders>
              <w:top w:val="nil"/>
              <w:left w:val="nil"/>
              <w:bottom w:val="single" w:sz="4" w:space="0" w:color="auto"/>
              <w:right w:val="single" w:sz="4"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c>
          <w:tcPr>
            <w:tcW w:w="1353" w:type="dxa"/>
            <w:tcBorders>
              <w:top w:val="nil"/>
              <w:left w:val="nil"/>
              <w:bottom w:val="single" w:sz="4" w:space="0" w:color="auto"/>
              <w:right w:val="single" w:sz="12"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r>
      <w:tr w:rsidR="00DA714D" w:rsidRPr="00497D0B" w:rsidTr="00DA714D">
        <w:trPr>
          <w:trHeight w:val="146"/>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Villa, 1 bedroom, 1 resident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12.8%</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13.1%</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11.4%</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11.6%</w:t>
            </w:r>
          </w:p>
        </w:tc>
        <w:tc>
          <w:tcPr>
            <w:tcW w:w="1353" w:type="dxa"/>
            <w:tcBorders>
              <w:top w:val="nil"/>
              <w:left w:val="nil"/>
              <w:bottom w:val="single" w:sz="4" w:space="0" w:color="auto"/>
              <w:right w:val="single" w:sz="12" w:space="0" w:color="auto"/>
            </w:tcBorders>
            <w:shd w:val="clear" w:color="000000" w:fill="DDEBF7"/>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w:t>
            </w:r>
          </w:p>
        </w:tc>
      </w:tr>
      <w:tr w:rsidR="00DA714D" w:rsidRPr="00497D0B" w:rsidTr="00DA714D">
        <w:trPr>
          <w:trHeight w:val="91"/>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Duplex/townhouse, 2 residents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12.8%</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13.0%</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11.4%</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11.6%</w:t>
            </w:r>
          </w:p>
        </w:tc>
        <w:tc>
          <w:tcPr>
            <w:tcW w:w="1353" w:type="dxa"/>
            <w:tcBorders>
              <w:top w:val="nil"/>
              <w:left w:val="nil"/>
              <w:bottom w:val="single" w:sz="4"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r>
      <w:tr w:rsidR="00DA714D" w:rsidRPr="00497D0B" w:rsidTr="00DA714D">
        <w:trPr>
          <w:trHeight w:val="137"/>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Duplex/townhouse, 3 residents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13.9%</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12.2%</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12.3%</w:t>
            </w:r>
          </w:p>
        </w:tc>
        <w:tc>
          <w:tcPr>
            <w:tcW w:w="1353" w:type="dxa"/>
            <w:tcBorders>
              <w:top w:val="nil"/>
              <w:left w:val="nil"/>
              <w:bottom w:val="single" w:sz="4"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r>
      <w:tr w:rsidR="00DA714D" w:rsidRPr="00497D0B" w:rsidTr="00DA714D">
        <w:trPr>
          <w:trHeight w:val="97"/>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House, 2 people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10.1%</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10.4%</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9.4%</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9.6%</w:t>
            </w:r>
          </w:p>
        </w:tc>
        <w:tc>
          <w:tcPr>
            <w:tcW w:w="1353" w:type="dxa"/>
            <w:tcBorders>
              <w:top w:val="nil"/>
              <w:left w:val="nil"/>
              <w:bottom w:val="single" w:sz="4"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r>
      <w:tr w:rsidR="00DA714D" w:rsidRPr="00497D0B" w:rsidTr="00DA714D">
        <w:trPr>
          <w:trHeight w:val="129"/>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House, 3 people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11.9%</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12.1%</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10.7%</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10.9%</w:t>
            </w:r>
          </w:p>
        </w:tc>
        <w:tc>
          <w:tcPr>
            <w:tcW w:w="1353" w:type="dxa"/>
            <w:tcBorders>
              <w:top w:val="nil"/>
              <w:left w:val="nil"/>
              <w:bottom w:val="single" w:sz="4"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r>
      <w:tr w:rsidR="00DA714D" w:rsidRPr="00497D0B" w:rsidTr="00DA714D">
        <w:trPr>
          <w:trHeight w:val="117"/>
        </w:trPr>
        <w:tc>
          <w:tcPr>
            <w:tcW w:w="3640" w:type="dxa"/>
            <w:gridSpan w:val="2"/>
            <w:tcBorders>
              <w:top w:val="single" w:sz="4" w:space="0" w:color="auto"/>
              <w:left w:val="single" w:sz="12" w:space="0" w:color="auto"/>
              <w:bottom w:val="single" w:sz="4"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Group Accom, 4 people </w:t>
            </w:r>
          </w:p>
        </w:tc>
        <w:tc>
          <w:tcPr>
            <w:tcW w:w="1380" w:type="dxa"/>
            <w:tcBorders>
              <w:top w:val="nil"/>
              <w:left w:val="single" w:sz="12" w:space="0" w:color="auto"/>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13.3%</w:t>
            </w:r>
          </w:p>
        </w:tc>
        <w:tc>
          <w:tcPr>
            <w:tcW w:w="1380"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13.4%</w:t>
            </w:r>
          </w:p>
        </w:tc>
        <w:tc>
          <w:tcPr>
            <w:tcW w:w="1245"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11.7%</w:t>
            </w:r>
          </w:p>
        </w:tc>
        <w:tc>
          <w:tcPr>
            <w:tcW w:w="1542" w:type="dxa"/>
            <w:tcBorders>
              <w:top w:val="nil"/>
              <w:left w:val="nil"/>
              <w:bottom w:val="single" w:sz="4"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11.8%</w:t>
            </w:r>
          </w:p>
        </w:tc>
        <w:tc>
          <w:tcPr>
            <w:tcW w:w="1353" w:type="dxa"/>
            <w:tcBorders>
              <w:top w:val="nil"/>
              <w:left w:val="nil"/>
              <w:bottom w:val="single" w:sz="4"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14.1%</w:t>
            </w:r>
          </w:p>
        </w:tc>
      </w:tr>
      <w:tr w:rsidR="00DA714D" w:rsidRPr="00497D0B" w:rsidTr="00DA714D">
        <w:trPr>
          <w:trHeight w:val="135"/>
        </w:trPr>
        <w:tc>
          <w:tcPr>
            <w:tcW w:w="3640" w:type="dxa"/>
            <w:gridSpan w:val="2"/>
            <w:tcBorders>
              <w:top w:val="single" w:sz="4" w:space="0" w:color="auto"/>
              <w:left w:val="single" w:sz="12" w:space="0" w:color="auto"/>
              <w:bottom w:val="single" w:sz="12" w:space="0" w:color="auto"/>
              <w:right w:val="single" w:sz="12" w:space="0" w:color="auto"/>
            </w:tcBorders>
            <w:shd w:val="clear" w:color="000000" w:fill="C1EDFF"/>
            <w:noWrap/>
            <w:vAlign w:val="bottom"/>
            <w:hideMark/>
          </w:tcPr>
          <w:p w:rsidR="00DA714D" w:rsidRPr="008513F7" w:rsidRDefault="00DA714D" w:rsidP="00DA714D">
            <w:pPr>
              <w:spacing w:after="0" w:line="240" w:lineRule="auto"/>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 xml:space="preserve"> Group Accom, 5 residents </w:t>
            </w:r>
          </w:p>
        </w:tc>
        <w:tc>
          <w:tcPr>
            <w:tcW w:w="1380" w:type="dxa"/>
            <w:tcBorders>
              <w:top w:val="nil"/>
              <w:left w:val="single" w:sz="12" w:space="0" w:color="auto"/>
              <w:bottom w:val="single" w:sz="12"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14.1%</w:t>
            </w:r>
          </w:p>
        </w:tc>
        <w:tc>
          <w:tcPr>
            <w:tcW w:w="1380" w:type="dxa"/>
            <w:tcBorders>
              <w:top w:val="nil"/>
              <w:left w:val="nil"/>
              <w:bottom w:val="single" w:sz="12"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14.1%</w:t>
            </w:r>
          </w:p>
        </w:tc>
        <w:tc>
          <w:tcPr>
            <w:tcW w:w="1245" w:type="dxa"/>
            <w:tcBorders>
              <w:top w:val="nil"/>
              <w:left w:val="nil"/>
              <w:bottom w:val="single" w:sz="12"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12.3%</w:t>
            </w:r>
          </w:p>
        </w:tc>
        <w:tc>
          <w:tcPr>
            <w:tcW w:w="1542" w:type="dxa"/>
            <w:tcBorders>
              <w:top w:val="nil"/>
              <w:left w:val="nil"/>
              <w:bottom w:val="single" w:sz="12" w:space="0" w:color="auto"/>
              <w:right w:val="single" w:sz="4"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12.4%</w:t>
            </w:r>
          </w:p>
        </w:tc>
        <w:tc>
          <w:tcPr>
            <w:tcW w:w="1353" w:type="dxa"/>
            <w:tcBorders>
              <w:top w:val="nil"/>
              <w:left w:val="nil"/>
              <w:bottom w:val="single" w:sz="12" w:space="0" w:color="auto"/>
              <w:right w:val="single" w:sz="12" w:space="0" w:color="auto"/>
            </w:tcBorders>
            <w:shd w:val="clear" w:color="000000" w:fill="E2EFDA"/>
            <w:noWrap/>
            <w:vAlign w:val="bottom"/>
            <w:hideMark/>
          </w:tcPr>
          <w:p w:rsidR="00DA714D" w:rsidRPr="008513F7" w:rsidRDefault="00DA714D" w:rsidP="00DA714D">
            <w:pPr>
              <w:spacing w:after="0" w:line="240" w:lineRule="auto"/>
              <w:jc w:val="right"/>
              <w:rPr>
                <w:rFonts w:ascii="Calibri" w:eastAsia="Times New Roman" w:hAnsi="Calibri" w:cs="Times New Roman"/>
                <w:color w:val="000000"/>
                <w:sz w:val="18"/>
                <w:lang w:eastAsia="en-AU"/>
              </w:rPr>
            </w:pPr>
            <w:r w:rsidRPr="008513F7">
              <w:rPr>
                <w:rFonts w:ascii="Calibri" w:eastAsia="Times New Roman" w:hAnsi="Calibri" w:cs="Times New Roman"/>
                <w:color w:val="000000"/>
                <w:sz w:val="18"/>
                <w:lang w:eastAsia="en-AU"/>
              </w:rPr>
              <w:t>14.0%</w:t>
            </w:r>
          </w:p>
        </w:tc>
      </w:tr>
    </w:tbl>
    <w:p w:rsidR="0084462F" w:rsidRDefault="0084462F" w:rsidP="0084462F">
      <w:pPr>
        <w:rPr>
          <w:lang w:val="en-AU"/>
        </w:rPr>
      </w:pPr>
    </w:p>
    <w:p w:rsidR="0084462F" w:rsidRDefault="0084462F" w:rsidP="0084462F">
      <w:pPr>
        <w:rPr>
          <w:lang w:val="en-AU"/>
        </w:rPr>
      </w:pPr>
    </w:p>
    <w:p w:rsidR="0084462F" w:rsidRPr="0084462F" w:rsidRDefault="0084462F" w:rsidP="0084462F">
      <w:pPr>
        <w:rPr>
          <w:lang w:val="en-AU"/>
        </w:rPr>
      </w:pPr>
    </w:p>
    <w:p w:rsidR="00FE4A76" w:rsidRPr="00F64913" w:rsidRDefault="00FE4A76" w:rsidP="00FE4A76">
      <w:pPr>
        <w:spacing w:after="200"/>
        <w:rPr>
          <w:rFonts w:cs="Arial"/>
          <w:lang w:val="en-AU"/>
        </w:rPr>
        <w:sectPr w:rsidR="00FE4A76" w:rsidRPr="00F64913" w:rsidSect="007C422F">
          <w:pgSz w:w="16838" w:h="11906" w:orient="landscape" w:code="9"/>
          <w:pgMar w:top="1440" w:right="1440" w:bottom="1440" w:left="1440" w:header="709" w:footer="709" w:gutter="0"/>
          <w:cols w:space="708"/>
          <w:titlePg/>
          <w:docGrid w:linePitch="360"/>
        </w:sectPr>
      </w:pPr>
    </w:p>
    <w:p w:rsidR="006773BA" w:rsidRDefault="006773BA" w:rsidP="006773BA">
      <w:pPr>
        <w:pStyle w:val="Heading1"/>
        <w:rPr>
          <w:lang w:val="en-AU"/>
        </w:rPr>
      </w:pPr>
      <w:bookmarkStart w:id="53" w:name="_Toc23156380"/>
      <w:r>
        <w:rPr>
          <w:lang w:val="en-AU"/>
        </w:rPr>
        <w:t>Monitoring of the SDA market through the NDIA’s Market Enablement Framework</w:t>
      </w:r>
      <w:bookmarkEnd w:id="53"/>
    </w:p>
    <w:p w:rsidR="006773BA" w:rsidRPr="00A3319D" w:rsidRDefault="006773BA" w:rsidP="006773BA">
      <w:r>
        <w:rPr>
          <w:rFonts w:cs="Arial"/>
          <w:lang w:val="en-AU"/>
        </w:rPr>
        <w:t xml:space="preserve">The </w:t>
      </w:r>
      <w:hyperlink r:id="rId31" w:anchor="market-enablement-role-of-ndia-as-market-steward" w:history="1">
        <w:r w:rsidRPr="00F75CBB">
          <w:rPr>
            <w:rStyle w:val="Hyperlink"/>
            <w:rFonts w:cs="Arial"/>
            <w:lang w:val="en-AU"/>
          </w:rPr>
          <w:t>NDIS Market Enablement Framework</w:t>
        </w:r>
      </w:hyperlink>
      <w:r>
        <w:rPr>
          <w:rFonts w:cs="Arial"/>
          <w:lang w:val="en-AU"/>
        </w:rPr>
        <w:t xml:space="preserve"> was published in October 2018 and describes the NDIA’s market stewardship role. </w:t>
      </w:r>
      <w:r>
        <w:t xml:space="preserve">This role includes monitoring, evaluation, oversight and, where necessary, intervention. The vision of the NDIS is to build a competitive and contestable marketplace that is flexible and responds to the choices and </w:t>
      </w:r>
      <w:r w:rsidRPr="00A3319D">
        <w:t>preferences of participants.</w:t>
      </w:r>
    </w:p>
    <w:p w:rsidR="001B1CCF" w:rsidRPr="00A3319D" w:rsidRDefault="001B1CCF" w:rsidP="001B1CCF">
      <w:pPr>
        <w:shd w:val="clear" w:color="auto" w:fill="FFFFFF" w:themeFill="background1"/>
        <w:rPr>
          <w:lang w:val="en-AU"/>
        </w:rPr>
      </w:pPr>
      <w:r w:rsidRPr="00A3319D">
        <w:rPr>
          <w:b/>
          <w:lang w:val="en-AU"/>
        </w:rPr>
        <w:t>The Review recommends that the NDIA should monitor the impact of location factors on supply and the distribution of SDA design category supply, through the NDIA’s Market Enablement Framework, to ensure that any remaining or emerging problems with location factors or cost assumptions are identified and appropriate actions taken.</w:t>
      </w:r>
    </w:p>
    <w:p w:rsidR="006773BA" w:rsidRDefault="001B1CCF" w:rsidP="006773BA">
      <w:r w:rsidRPr="00A3319D">
        <w:t>The</w:t>
      </w:r>
      <w:r w:rsidR="006773BA" w:rsidRPr="00A3319D">
        <w:t xml:space="preserve"> NDIA will enhance its monitoring activities</w:t>
      </w:r>
      <w:r w:rsidRPr="00A3319D">
        <w:t xml:space="preserve"> within the Market Enablement Framework</w:t>
      </w:r>
      <w:r w:rsidR="006773BA" w:rsidRPr="00A3319D">
        <w:t>. As part of this</w:t>
      </w:r>
      <w:r w:rsidR="006773BA">
        <w:t xml:space="preserve"> process, the NDIA welcomes any information from participants and the market more broadly regarding matters that may require investigation. The monitoring function will be performed primarily by the NDIA Market, Providers and Sector Development Group.</w:t>
      </w:r>
    </w:p>
    <w:p w:rsidR="00974410" w:rsidRDefault="00974410" w:rsidP="00974410">
      <w:pPr>
        <w:pStyle w:val="Heading3"/>
      </w:pPr>
      <w:r>
        <w:t>Focus areas for monitoring</w:t>
      </w:r>
    </w:p>
    <w:p w:rsidR="00974410" w:rsidRDefault="00974410" w:rsidP="00974410">
      <w:r>
        <w:t>Location factors and construction cost assumptions will remain focus areas for monitoring following this review.</w:t>
      </w:r>
    </w:p>
    <w:p w:rsidR="000233F5" w:rsidRDefault="00974410" w:rsidP="006773BA">
      <w:r>
        <w:t>As noted in this report, analysing location factors will need to be monitored to ensure adequate supply is present across Australia</w:t>
      </w:r>
      <w:r w:rsidR="000E4C82">
        <w:t xml:space="preserve"> encompassing metropolitan, </w:t>
      </w:r>
      <w:r>
        <w:t xml:space="preserve">regional, rural and remote locations. </w:t>
      </w:r>
    </w:p>
    <w:p w:rsidR="00974410" w:rsidRDefault="00974410" w:rsidP="006773BA">
      <w:r>
        <w:t>Design category supply will also be closely monitored to determine whether the spread across the SDA design categories is progressing appropriately.</w:t>
      </w:r>
    </w:p>
    <w:p w:rsidR="00974410" w:rsidRDefault="00974410" w:rsidP="000E4C82">
      <w:pPr>
        <w:pStyle w:val="Heading3"/>
      </w:pPr>
      <w:r>
        <w:t>Key activities</w:t>
      </w:r>
    </w:p>
    <w:p w:rsidR="006C5C50" w:rsidRDefault="007C1EFF" w:rsidP="006773BA">
      <w:r>
        <w:t xml:space="preserve">While analysis of the market has been performed to date, a number of key activities </w:t>
      </w:r>
      <w:r w:rsidR="00686000">
        <w:t>to expand and formalize this work is</w:t>
      </w:r>
      <w:r>
        <w:t xml:space="preserve"> proposed </w:t>
      </w:r>
      <w:r w:rsidR="0055212D">
        <w:t>following</w:t>
      </w:r>
      <w:r>
        <w:t xml:space="preserve"> from this Review</w:t>
      </w:r>
      <w:r w:rsidR="00F40C38">
        <w:t xml:space="preserve"> as described below</w:t>
      </w:r>
      <w:r>
        <w:t>.</w:t>
      </w:r>
      <w:r w:rsidR="00F40C38">
        <w:t xml:space="preserve"> These activities will help to ensure that any new issues that arise during the development of the market are appropriately addressed, and assist in analysing whether the pricing increases recommended from this Review are having the desired effect.</w:t>
      </w:r>
    </w:p>
    <w:p w:rsidR="006C5C50" w:rsidRDefault="006C5C50" w:rsidP="006773BA">
      <w:r>
        <w:t>These activities are:</w:t>
      </w:r>
    </w:p>
    <w:p w:rsidR="006C5C50" w:rsidRDefault="006C5C50" w:rsidP="000E4C82">
      <w:pPr>
        <w:pStyle w:val="ListParagraph"/>
        <w:numPr>
          <w:ilvl w:val="0"/>
          <w:numId w:val="20"/>
        </w:numPr>
      </w:pPr>
      <w:r>
        <w:t>continued provision of further data to the market</w:t>
      </w:r>
    </w:p>
    <w:p w:rsidR="006C5C50" w:rsidRDefault="006C5C50" w:rsidP="000E4C82">
      <w:pPr>
        <w:pStyle w:val="ListParagraph"/>
        <w:numPr>
          <w:ilvl w:val="0"/>
          <w:numId w:val="20"/>
        </w:numPr>
      </w:pPr>
      <w:r>
        <w:t>establishment of new data sets to support market oversight and growth</w:t>
      </w:r>
    </w:p>
    <w:p w:rsidR="006C5C50" w:rsidRDefault="006C5C50" w:rsidP="000E4C82">
      <w:pPr>
        <w:pStyle w:val="ListParagraph"/>
        <w:numPr>
          <w:ilvl w:val="0"/>
          <w:numId w:val="20"/>
        </w:numPr>
      </w:pPr>
      <w:r>
        <w:t>research and analysis under the SDA Innovation Plan</w:t>
      </w:r>
    </w:p>
    <w:p w:rsidR="006C5C50" w:rsidRDefault="006C5C50" w:rsidP="000E4C82">
      <w:pPr>
        <w:pStyle w:val="ListParagraph"/>
        <w:numPr>
          <w:ilvl w:val="0"/>
          <w:numId w:val="20"/>
        </w:numPr>
      </w:pPr>
      <w:r>
        <w:t>provision of further market information and signalling resulting from monitoring</w:t>
      </w:r>
    </w:p>
    <w:p w:rsidR="007C1EFF" w:rsidRPr="004F1824" w:rsidRDefault="006C5C50" w:rsidP="004F1824">
      <w:pPr>
        <w:pStyle w:val="ListParagraph"/>
        <w:numPr>
          <w:ilvl w:val="0"/>
          <w:numId w:val="20"/>
        </w:numPr>
      </w:pPr>
      <w:r>
        <w:t>pricing interventions to address emerging issues</w:t>
      </w:r>
      <w:r w:rsidR="006773BA" w:rsidRPr="004F1824">
        <w:t>:</w:t>
      </w:r>
    </w:p>
    <w:p w:rsidR="006773BA" w:rsidRDefault="007C1EFF" w:rsidP="000E4C82">
      <w:pPr>
        <w:pStyle w:val="Heading3"/>
      </w:pPr>
      <w:r>
        <w:t>C</w:t>
      </w:r>
      <w:r w:rsidR="006773BA">
        <w:t>ontinued provision of further data to the market</w:t>
      </w:r>
    </w:p>
    <w:p w:rsidR="0055212D" w:rsidRPr="0055212D" w:rsidRDefault="0055212D" w:rsidP="0055212D">
      <w:pPr>
        <w:rPr>
          <w:lang w:val="en-AU"/>
        </w:rPr>
      </w:pPr>
      <w:r w:rsidRPr="0055212D">
        <w:rPr>
          <w:lang w:val="en-AU"/>
        </w:rPr>
        <w:t xml:space="preserve">The NDIA has been progressively releasing more SDA data through an Appendix to the Quarterly Report. </w:t>
      </w:r>
    </w:p>
    <w:p w:rsidR="0055212D" w:rsidRPr="0055212D" w:rsidRDefault="0055212D" w:rsidP="0055212D">
      <w:pPr>
        <w:rPr>
          <w:lang w:val="en-AU"/>
        </w:rPr>
      </w:pPr>
      <w:r w:rsidRPr="0055212D">
        <w:rPr>
          <w:lang w:val="en-AU"/>
        </w:rPr>
        <w:t>The first release of data occurred in October 2018, and was focussed on supply information, including SDA dwellings enrolled by location. Since then, the data has been expanded to include numbers of SDA and SIL participants by region, SDA enrolled dwellings by type and maximum capacities for enrolled SDA dwellings, amongst other things.</w:t>
      </w:r>
    </w:p>
    <w:p w:rsidR="0055212D" w:rsidRDefault="0055212D" w:rsidP="000E4C82">
      <w:pPr>
        <w:rPr>
          <w:lang w:val="en-AU"/>
        </w:rPr>
      </w:pPr>
      <w:r>
        <w:rPr>
          <w:lang w:val="en-AU"/>
        </w:rPr>
        <w:t xml:space="preserve">The NDIA recognises that monitoring and promoting the growth of the SDA market will be facilitated through the provision of data to the market and the continued establishment of new sets of data. </w:t>
      </w:r>
    </w:p>
    <w:p w:rsidR="0055212D" w:rsidRDefault="0055212D" w:rsidP="000E4C82">
      <w:pPr>
        <w:rPr>
          <w:lang w:val="en-AU"/>
        </w:rPr>
      </w:pPr>
      <w:r>
        <w:rPr>
          <w:lang w:val="en-AU"/>
        </w:rPr>
        <w:t>Current projects underway include:</w:t>
      </w:r>
    </w:p>
    <w:p w:rsidR="0055212D" w:rsidRPr="000E4C82" w:rsidRDefault="0055212D" w:rsidP="000E4C82">
      <w:pPr>
        <w:pStyle w:val="ListParagraph"/>
        <w:numPr>
          <w:ilvl w:val="0"/>
          <w:numId w:val="20"/>
        </w:numPr>
      </w:pPr>
      <w:r>
        <w:rPr>
          <w:lang w:val="en-AU"/>
        </w:rPr>
        <w:t xml:space="preserve">Finalisation of work to publish </w:t>
      </w:r>
      <w:r w:rsidRPr="00686000">
        <w:rPr>
          <w:lang w:val="en-AU"/>
        </w:rPr>
        <w:t>the SDA dwelling database</w:t>
      </w:r>
      <w:r w:rsidR="007478A9">
        <w:rPr>
          <w:lang w:val="en-AU"/>
        </w:rPr>
        <w:t xml:space="preserve"> (minus addresses) to the NDIA website quarterly, to provide even more visibility of SDA supply</w:t>
      </w:r>
      <w:r w:rsidRPr="00686000">
        <w:rPr>
          <w:lang w:val="en-AU"/>
        </w:rPr>
        <w:t xml:space="preserve">. </w:t>
      </w:r>
    </w:p>
    <w:p w:rsidR="007C1EFF" w:rsidRPr="000E4C82" w:rsidRDefault="0055212D" w:rsidP="000E4C82">
      <w:pPr>
        <w:pStyle w:val="ListParagraph"/>
        <w:numPr>
          <w:ilvl w:val="0"/>
          <w:numId w:val="20"/>
        </w:numPr>
      </w:pPr>
      <w:r w:rsidRPr="00686000">
        <w:rPr>
          <w:lang w:val="en-AU"/>
        </w:rPr>
        <w:t>A final update will allow for sharing of more granular data regarding participants with SDA in their plan by SDA type and location. This later dataset requires improvements to the NDIA’s CRM system for extraction on a regular basis</w:t>
      </w:r>
      <w:r w:rsidR="007478A9" w:rsidRPr="00686000">
        <w:rPr>
          <w:lang w:val="en-AU"/>
        </w:rPr>
        <w:t xml:space="preserve">, which are being progressed </w:t>
      </w:r>
      <w:r w:rsidR="007478A9">
        <w:rPr>
          <w:lang w:val="en-AU"/>
        </w:rPr>
        <w:t>with the</w:t>
      </w:r>
      <w:r w:rsidR="007478A9" w:rsidRPr="00686000">
        <w:rPr>
          <w:lang w:val="en-AU"/>
        </w:rPr>
        <w:t xml:space="preserve"> </w:t>
      </w:r>
      <w:r w:rsidR="007478A9">
        <w:rPr>
          <w:lang w:val="en-AU"/>
        </w:rPr>
        <w:t xml:space="preserve">relevant government </w:t>
      </w:r>
      <w:r w:rsidR="00ED429E">
        <w:rPr>
          <w:lang w:val="en-AU"/>
        </w:rPr>
        <w:t>d</w:t>
      </w:r>
      <w:r w:rsidR="007478A9">
        <w:rPr>
          <w:lang w:val="en-AU"/>
        </w:rPr>
        <w:t>epartments.</w:t>
      </w:r>
    </w:p>
    <w:p w:rsidR="007478A9" w:rsidRDefault="007478A9" w:rsidP="000E4C82">
      <w:r>
        <w:t>Release of these sets of data will provide the market with a much clearer picture of SDA demand, enabling investment decisions to be made with more confidence. It will also provide the NDIA with an important tool with which to compare supply information, to determine whether actions are necessary to ensure SDA supply and demand are correlated across Australia.</w:t>
      </w:r>
    </w:p>
    <w:p w:rsidR="007478A9" w:rsidRPr="000E4C82" w:rsidRDefault="007478A9" w:rsidP="000E4C82">
      <w:r>
        <w:t>The NDIA is working on delivering reporting functionality on these datasets as a priority.</w:t>
      </w:r>
    </w:p>
    <w:p w:rsidR="007478A9" w:rsidRPr="000E4C82" w:rsidRDefault="007478A9" w:rsidP="000E4C82">
      <w:pPr>
        <w:pStyle w:val="Heading3"/>
      </w:pPr>
      <w:r>
        <w:t>Third-party certification process and the analysis of the SDA development pipeline</w:t>
      </w:r>
    </w:p>
    <w:p w:rsidR="007478A9" w:rsidRDefault="007478A9" w:rsidP="000E4C82">
      <w:r>
        <w:t xml:space="preserve">A further activity to be undertaken as part of the NDIA’s monitoring functions will be the establishment of </w:t>
      </w:r>
      <w:r w:rsidR="00686000">
        <w:t>a new dataset</w:t>
      </w:r>
      <w:r>
        <w:t xml:space="preserve"> from the implementation of the third-party certification process that is part of the soon-to-be released SDA Design Standards.</w:t>
      </w:r>
    </w:p>
    <w:p w:rsidR="007478A9" w:rsidRDefault="007478A9" w:rsidP="000E4C82">
      <w:r>
        <w:t xml:space="preserve">The third-party certification process </w:t>
      </w:r>
      <w:r w:rsidR="007B30E9">
        <w:t xml:space="preserve">will </w:t>
      </w:r>
      <w:r>
        <w:t xml:space="preserve">involve </w:t>
      </w:r>
      <w:r w:rsidR="00ED429E">
        <w:t xml:space="preserve">independent </w:t>
      </w:r>
      <w:r>
        <w:t>assess</w:t>
      </w:r>
      <w:r w:rsidR="00ED429E">
        <w:t>ment of</w:t>
      </w:r>
      <w:r>
        <w:t xml:space="preserve"> SDA dwellings against the NDIA’s Design Standards. Pre-certification</w:t>
      </w:r>
      <w:r w:rsidR="00B815B3">
        <w:t xml:space="preserve"> enables</w:t>
      </w:r>
      <w:r>
        <w:t xml:space="preserve"> providers to </w:t>
      </w:r>
      <w:r w:rsidR="00B815B3">
        <w:t xml:space="preserve">have their projects </w:t>
      </w:r>
      <w:r>
        <w:t>certif</w:t>
      </w:r>
      <w:r w:rsidR="00B815B3">
        <w:t>ied</w:t>
      </w:r>
      <w:r>
        <w:t xml:space="preserve"> at the design stage, subject to a final assessment on dwelling completion. </w:t>
      </w:r>
    </w:p>
    <w:p w:rsidR="007478A9" w:rsidRDefault="007478A9" w:rsidP="000E4C82">
      <w:r>
        <w:t xml:space="preserve">Pre-certification offers the opportunity for the NDIA to collect data about the number and nature of projects that are in the pipeline for SDA and </w:t>
      </w:r>
      <w:r w:rsidR="00AC3926">
        <w:t xml:space="preserve">will </w:t>
      </w:r>
      <w:r>
        <w:t xml:space="preserve">provide an important picture of </w:t>
      </w:r>
      <w:r>
        <w:rPr>
          <w:i/>
        </w:rPr>
        <w:t xml:space="preserve">future </w:t>
      </w:r>
      <w:r>
        <w:t>supply.</w:t>
      </w:r>
    </w:p>
    <w:p w:rsidR="007478A9" w:rsidRPr="00686000" w:rsidRDefault="007478A9" w:rsidP="000E4C82">
      <w:r>
        <w:t>This dataset will enable to the NDIA to monitor locations for upcoming projects and determine earlier whether any actions should be taken for locations with a lack of supply.</w:t>
      </w:r>
    </w:p>
    <w:p w:rsidR="00974410" w:rsidRDefault="00974410" w:rsidP="000E4C82">
      <w:pPr>
        <w:pStyle w:val="Heading3"/>
      </w:pPr>
      <w:r>
        <w:t>Review of actual construction cost data</w:t>
      </w:r>
    </w:p>
    <w:p w:rsidR="00275B14" w:rsidRDefault="00275B14" w:rsidP="00275B14">
      <w:pPr>
        <w:shd w:val="clear" w:color="auto" w:fill="FFFFFF" w:themeFill="background1"/>
        <w:rPr>
          <w:lang w:val="en-AU" w:eastAsia="en-AU"/>
        </w:rPr>
      </w:pPr>
      <w:r w:rsidRPr="00BF27E8">
        <w:rPr>
          <w:lang w:val="en-AU" w:eastAsia="en-AU"/>
        </w:rPr>
        <w:t xml:space="preserve">While the SDA market is moving towards maturity, its newness presents challenges for the NDIA in conducting its market stewardship role. Data upon which to base pricing or policy decisions is only just beginning to become available that is of the quality and quantity necessary. Further data sets will be required as the market matures in order to aid any decisions, as well as to provide additional points of reference for validation of existing data. </w:t>
      </w:r>
    </w:p>
    <w:p w:rsidR="000233F5" w:rsidRDefault="000233F5" w:rsidP="003F0B87">
      <w:r>
        <w:t xml:space="preserve">The NDIA will be scoping a process for the collection of actual construction cost information for projects that have been completed. This may occur as part of the </w:t>
      </w:r>
      <w:r w:rsidR="005848DF">
        <w:t xml:space="preserve">established </w:t>
      </w:r>
      <w:r>
        <w:t xml:space="preserve">dwelling enrolment process. </w:t>
      </w:r>
    </w:p>
    <w:p w:rsidR="00275B14" w:rsidRDefault="00275B14" w:rsidP="003F0B87">
      <w:r w:rsidRPr="00BF27E8">
        <w:rPr>
          <w:lang w:val="en-AU" w:eastAsia="en-AU"/>
        </w:rPr>
        <w:t xml:space="preserve">This information </w:t>
      </w:r>
      <w:r w:rsidR="00AC3926">
        <w:rPr>
          <w:lang w:val="en-AU" w:eastAsia="en-AU"/>
        </w:rPr>
        <w:t xml:space="preserve">will </w:t>
      </w:r>
      <w:r w:rsidRPr="00BF27E8">
        <w:rPr>
          <w:lang w:val="en-AU" w:eastAsia="en-AU"/>
        </w:rPr>
        <w:t xml:space="preserve">allow for accurate pricing to be accomplished that supports investment at the rate and scale necessary to meet </w:t>
      </w:r>
      <w:r w:rsidR="006A2F0E">
        <w:rPr>
          <w:lang w:val="en-AU" w:eastAsia="en-AU"/>
        </w:rPr>
        <w:t xml:space="preserve">future </w:t>
      </w:r>
      <w:r w:rsidRPr="00BF27E8">
        <w:rPr>
          <w:lang w:val="en-AU" w:eastAsia="en-AU"/>
        </w:rPr>
        <w:t xml:space="preserve">demand. Such reporting would need to take into account </w:t>
      </w:r>
      <w:r w:rsidR="00AC3926">
        <w:rPr>
          <w:lang w:val="en-AU" w:eastAsia="en-AU"/>
        </w:rPr>
        <w:t xml:space="preserve">of </w:t>
      </w:r>
      <w:r w:rsidRPr="00BF27E8">
        <w:rPr>
          <w:lang w:val="en-AU" w:eastAsia="en-AU"/>
        </w:rPr>
        <w:t>commercial sensitivities, and be done in a way that does not create an unnecessary burden to stakeholders.</w:t>
      </w:r>
    </w:p>
    <w:p w:rsidR="000233F5" w:rsidRDefault="000233F5" w:rsidP="003F0B87">
      <w:r>
        <w:t>Reporting of actual construction costs will allow the NDIA to more accurately reflect costs in its pricing models, and will assist in the identification of any areas where assumptions are not matching real-world costs.</w:t>
      </w:r>
    </w:p>
    <w:p w:rsidR="00275B14" w:rsidRDefault="000233F5" w:rsidP="003F0B87">
      <w:r>
        <w:t xml:space="preserve">This approach will be discussed and developed in consultation with the SDA Reference Group. </w:t>
      </w:r>
    </w:p>
    <w:p w:rsidR="006773BA" w:rsidRDefault="007C1EFF" w:rsidP="003F0B87">
      <w:pPr>
        <w:pStyle w:val="Heading3"/>
      </w:pPr>
      <w:r>
        <w:t>T</w:t>
      </w:r>
      <w:r w:rsidR="006773BA">
        <w:t>he SDA Innovation Plan</w:t>
      </w:r>
    </w:p>
    <w:p w:rsidR="00AC5634" w:rsidRPr="00AC5634" w:rsidRDefault="00AC5634" w:rsidP="000E4C82">
      <w:pPr>
        <w:rPr>
          <w:lang w:val="en-AU"/>
        </w:rPr>
      </w:pPr>
      <w:r w:rsidRPr="00AC5634">
        <w:rPr>
          <w:lang w:val="en-AU"/>
        </w:rPr>
        <w:t>The SDA Innovati</w:t>
      </w:r>
      <w:r>
        <w:rPr>
          <w:lang w:val="en-AU"/>
        </w:rPr>
        <w:t xml:space="preserve">on Plan initiates a </w:t>
      </w:r>
      <w:r w:rsidRPr="00AC5634">
        <w:rPr>
          <w:lang w:val="en-AU"/>
        </w:rPr>
        <w:t xml:space="preserve">program of work to enable SDA innovation over the next 12 to 18 months, </w:t>
      </w:r>
      <w:r w:rsidR="00021C64">
        <w:rPr>
          <w:lang w:val="en-AU"/>
        </w:rPr>
        <w:t>which will include</w:t>
      </w:r>
      <w:r w:rsidRPr="00AC5634">
        <w:rPr>
          <w:lang w:val="en-AU"/>
        </w:rPr>
        <w:t xml:space="preserve"> commission</w:t>
      </w:r>
      <w:r w:rsidR="00021C64">
        <w:rPr>
          <w:lang w:val="en-AU"/>
        </w:rPr>
        <w:t>ed</w:t>
      </w:r>
      <w:r w:rsidRPr="00AC5634">
        <w:rPr>
          <w:lang w:val="en-AU"/>
        </w:rPr>
        <w:t xml:space="preserve"> research, </w:t>
      </w:r>
      <w:r w:rsidR="00021C64">
        <w:rPr>
          <w:lang w:val="en-AU"/>
        </w:rPr>
        <w:t>and gathering of</w:t>
      </w:r>
      <w:r w:rsidRPr="00AC5634">
        <w:rPr>
          <w:lang w:val="en-AU"/>
        </w:rPr>
        <w:t xml:space="preserve"> participant preference data. </w:t>
      </w:r>
    </w:p>
    <w:p w:rsidR="00021C64" w:rsidRDefault="00AC5634" w:rsidP="006773BA">
      <w:r>
        <w:t xml:space="preserve">Work under the SDA Innovation Plan will contribute to the NDIA’s understanding of the market and allow for the targeting of oversight activities to promote innovative approaches to SDA and respond to future challenges. </w:t>
      </w:r>
    </w:p>
    <w:p w:rsidR="00F40C38" w:rsidRDefault="00021C64" w:rsidP="006773BA">
      <w:r>
        <w:t>The NDIA will consider release of data obtained through activities under the SDA Innovation Plan as these datasets become available and mature.</w:t>
      </w:r>
    </w:p>
    <w:p w:rsidR="00F40C38" w:rsidRDefault="006C5C50" w:rsidP="00AC3926">
      <w:pPr>
        <w:pStyle w:val="Heading3"/>
      </w:pPr>
      <w:r>
        <w:t xml:space="preserve">Market information </w:t>
      </w:r>
    </w:p>
    <w:p w:rsidR="006C5C50" w:rsidRPr="00AC3926" w:rsidRDefault="006C5C50" w:rsidP="006773BA">
      <w:pPr>
        <w:rPr>
          <w:b/>
        </w:rPr>
      </w:pPr>
      <w:r>
        <w:rPr>
          <w:b/>
        </w:rPr>
        <w:t xml:space="preserve">Market information under development </w:t>
      </w:r>
    </w:p>
    <w:p w:rsidR="006C5C50" w:rsidRDefault="006C5C50" w:rsidP="006773BA">
      <w:r>
        <w:t xml:space="preserve">The NDIA is developing further information for the market regarding </w:t>
      </w:r>
      <w:r w:rsidR="000E4C82">
        <w:t>t</w:t>
      </w:r>
      <w:r w:rsidR="001111B7">
        <w:t xml:space="preserve">he NDIA’s SDA </w:t>
      </w:r>
      <w:r>
        <w:t xml:space="preserve">price modelling. This information is in draft and will be provided to the </w:t>
      </w:r>
      <w:r w:rsidR="00E72525">
        <w:t xml:space="preserve">NDIA Pricing Reference Group </w:t>
      </w:r>
      <w:r>
        <w:t xml:space="preserve">for feedback ahead of public release. </w:t>
      </w:r>
      <w:r w:rsidR="00E72525">
        <w:t xml:space="preserve">The SDA Reference Group may be consulted about the product once it has been approved by PRG. </w:t>
      </w:r>
      <w:r>
        <w:t>This information sets out information about costing assumptions and other matters that go into determining SDA prices.</w:t>
      </w:r>
    </w:p>
    <w:p w:rsidR="007039B2" w:rsidRDefault="007039B2" w:rsidP="006773BA">
      <w:pPr>
        <w:rPr>
          <w:b/>
        </w:rPr>
      </w:pPr>
      <w:r>
        <w:rPr>
          <w:b/>
        </w:rPr>
        <w:t>Annual statement of SDA market monitoring</w:t>
      </w:r>
    </w:p>
    <w:p w:rsidR="007039B2" w:rsidRDefault="007039B2" w:rsidP="006773BA">
      <w:r>
        <w:t xml:space="preserve">The NDIA will also develop a statement annually regarding any challenges or opportunities that have been detected as part of its monitoring role. </w:t>
      </w:r>
      <w:r w:rsidR="0042440B">
        <w:t>This statement will not replace other, regular information that is provided to the market but instead provide an outline of monitoring undertaken through a 12-month period and provide NDIA commentary on SDA market signs.</w:t>
      </w:r>
    </w:p>
    <w:p w:rsidR="007039B2" w:rsidRDefault="007039B2" w:rsidP="006773BA">
      <w:r>
        <w:t xml:space="preserve">This statement may include, for example, signalling if evidence is growing that suggests an undersupply in particular locations or design categories. </w:t>
      </w:r>
    </w:p>
    <w:p w:rsidR="00BF079E" w:rsidRPr="001D07D9" w:rsidRDefault="007039B2">
      <w:r>
        <w:t>These first of these statements will be released within the 12 months following from this Review.</w:t>
      </w:r>
    </w:p>
    <w:p w:rsidR="006C5C50" w:rsidRDefault="007039B2" w:rsidP="000E4C82">
      <w:pPr>
        <w:pStyle w:val="Heading3"/>
      </w:pPr>
      <w:r>
        <w:t>Future limited price reviews</w:t>
      </w:r>
    </w:p>
    <w:p w:rsidR="007039B2" w:rsidRDefault="00AC3926" w:rsidP="006773BA">
      <w:r>
        <w:t xml:space="preserve">As </w:t>
      </w:r>
      <w:r w:rsidR="00EC1BAD">
        <w:t xml:space="preserve">envisaged </w:t>
      </w:r>
      <w:r>
        <w:t xml:space="preserve">in the </w:t>
      </w:r>
      <w:r w:rsidR="00EC1BAD" w:rsidRPr="00EC1BAD">
        <w:t>KPMG Review</w:t>
      </w:r>
      <w:r>
        <w:t>, t</w:t>
      </w:r>
      <w:r w:rsidR="007039B2">
        <w:t>he NDIA will also be open to conducting future limited price reviews should particular issues be identified and an intervention is required in order to promote the growth of the SDA market across the various design categories and locations around Australia.</w:t>
      </w:r>
    </w:p>
    <w:p w:rsidR="006773BA" w:rsidRDefault="007039B2" w:rsidP="006773BA">
      <w:r>
        <w:t xml:space="preserve">Any </w:t>
      </w:r>
      <w:r w:rsidR="006773BA">
        <w:t xml:space="preserve">adjustments to pricing </w:t>
      </w:r>
      <w:r>
        <w:t xml:space="preserve">through future reviews </w:t>
      </w:r>
      <w:r w:rsidR="006773BA">
        <w:t>will occur at the conclusion of each financial year for application in the next SDA Price Guide.</w:t>
      </w:r>
    </w:p>
    <w:p w:rsidR="006773BA" w:rsidRDefault="006773BA" w:rsidP="006773BA">
      <w:r>
        <w:t xml:space="preserve">Consistent with both the Market Enablement Framework and the SDA Pricing and Payments Framework, adjustments to pricing </w:t>
      </w:r>
      <w:r w:rsidR="001B1CCF">
        <w:t xml:space="preserve">will </w:t>
      </w:r>
      <w:r>
        <w:t xml:space="preserve">occur </w:t>
      </w:r>
      <w:r w:rsidR="007039B2">
        <w:t>if they are</w:t>
      </w:r>
      <w:r>
        <w:t xml:space="preserve"> necessary to address a significant market issue and there will be no reduction in prices </w:t>
      </w:r>
      <w:r w:rsidR="007039B2">
        <w:t>as part of a limited review process</w:t>
      </w:r>
      <w:r>
        <w:t xml:space="preserve">. </w:t>
      </w:r>
    </w:p>
    <w:p w:rsidR="00F32C64" w:rsidRDefault="00F32C64" w:rsidP="00ED6386">
      <w:pPr>
        <w:pStyle w:val="Heading1"/>
        <w:shd w:val="clear" w:color="auto" w:fill="FFFFFF" w:themeFill="background1"/>
        <w:rPr>
          <w:lang w:val="en-AU"/>
        </w:rPr>
      </w:pPr>
      <w:bookmarkStart w:id="54" w:name="_Toc23156381"/>
      <w:r w:rsidRPr="00F64913">
        <w:rPr>
          <w:lang w:val="en-AU"/>
        </w:rPr>
        <w:t>Other issue</w:t>
      </w:r>
      <w:r w:rsidR="00ED6386">
        <w:rPr>
          <w:lang w:val="en-AU"/>
        </w:rPr>
        <w:t>s</w:t>
      </w:r>
      <w:bookmarkEnd w:id="54"/>
    </w:p>
    <w:p w:rsidR="00BF27E8" w:rsidRPr="00BF27E8" w:rsidRDefault="00BF27E8" w:rsidP="00BF27E8">
      <w:pPr>
        <w:pStyle w:val="Heading2"/>
      </w:pPr>
      <w:bookmarkStart w:id="55" w:name="_Toc23156382"/>
      <w:r>
        <w:t>Other cost assumptions</w:t>
      </w:r>
      <w:bookmarkEnd w:id="55"/>
    </w:p>
    <w:p w:rsidR="009638E6" w:rsidRPr="00F64913" w:rsidRDefault="00ED6386" w:rsidP="00BF27E8">
      <w:pPr>
        <w:pStyle w:val="Heading3"/>
      </w:pPr>
      <w:r>
        <w:t>M</w:t>
      </w:r>
      <w:r w:rsidR="009638E6" w:rsidRPr="00F64913">
        <w:t>edian land value assumption</w:t>
      </w:r>
    </w:p>
    <w:p w:rsidR="00084A62" w:rsidRPr="00F64913" w:rsidRDefault="003E2498" w:rsidP="00ED6386">
      <w:pPr>
        <w:shd w:val="clear" w:color="auto" w:fill="FFFFFF" w:themeFill="background1"/>
        <w:rPr>
          <w:lang w:val="en-AU"/>
        </w:rPr>
      </w:pPr>
      <w:r>
        <w:rPr>
          <w:lang w:val="en-AU"/>
        </w:rPr>
        <w:t>The</w:t>
      </w:r>
      <w:r w:rsidR="00084A62" w:rsidRPr="00F64913">
        <w:rPr>
          <w:lang w:val="en-AU"/>
        </w:rPr>
        <w:t xml:space="preserve"> current approach uses Valuer-General data complimented with other information to determine median land values</w:t>
      </w:r>
      <w:r w:rsidR="00ED6386">
        <w:rPr>
          <w:lang w:val="en-AU"/>
        </w:rPr>
        <w:t xml:space="preserve"> as part of the SDA cost equation</w:t>
      </w:r>
      <w:r w:rsidR="00084A62" w:rsidRPr="00F64913">
        <w:rPr>
          <w:lang w:val="en-AU"/>
        </w:rPr>
        <w:t xml:space="preserve">. </w:t>
      </w:r>
      <w:r w:rsidR="00ED6386">
        <w:rPr>
          <w:lang w:val="en-AU"/>
        </w:rPr>
        <w:t xml:space="preserve">Some submissions made the point that </w:t>
      </w:r>
      <w:r w:rsidRPr="00F64913">
        <w:rPr>
          <w:lang w:val="en-AU"/>
        </w:rPr>
        <w:t xml:space="preserve">median land value </w:t>
      </w:r>
      <w:r>
        <w:rPr>
          <w:lang w:val="en-AU"/>
        </w:rPr>
        <w:t xml:space="preserve">vary significantly </w:t>
      </w:r>
      <w:r w:rsidRPr="00F64913">
        <w:rPr>
          <w:lang w:val="en-AU"/>
        </w:rPr>
        <w:t xml:space="preserve">within an SA4, and </w:t>
      </w:r>
      <w:r w:rsidR="00ED6386">
        <w:rPr>
          <w:lang w:val="en-AU"/>
        </w:rPr>
        <w:t xml:space="preserve">may </w:t>
      </w:r>
      <w:r w:rsidRPr="00F64913">
        <w:rPr>
          <w:lang w:val="en-AU"/>
        </w:rPr>
        <w:t>not reflect the actual cost, pa</w:t>
      </w:r>
      <w:r w:rsidR="00ED6386">
        <w:rPr>
          <w:lang w:val="en-AU"/>
        </w:rPr>
        <w:t>rticularly in inner city areas. However, t</w:t>
      </w:r>
      <w:r w:rsidR="00084A62" w:rsidRPr="00F64913">
        <w:rPr>
          <w:lang w:val="en-AU"/>
        </w:rPr>
        <w:t>here is currently no other database with the transparency, familia</w:t>
      </w:r>
      <w:r w:rsidR="00ED6386">
        <w:rPr>
          <w:lang w:val="en-AU"/>
        </w:rPr>
        <w:t>rity and coverage as the Valuer-</w:t>
      </w:r>
      <w:r w:rsidR="00084A62" w:rsidRPr="00F64913">
        <w:rPr>
          <w:lang w:val="en-AU"/>
        </w:rPr>
        <w:t>General data. In the future</w:t>
      </w:r>
      <w:r w:rsidR="00ED6386">
        <w:rPr>
          <w:lang w:val="en-AU"/>
        </w:rPr>
        <w:t>,</w:t>
      </w:r>
      <w:r w:rsidR="00084A62" w:rsidRPr="00F64913">
        <w:rPr>
          <w:lang w:val="en-AU"/>
        </w:rPr>
        <w:t xml:space="preserve"> the NDIA may </w:t>
      </w:r>
      <w:r w:rsidR="00ED6386">
        <w:rPr>
          <w:lang w:val="en-AU"/>
        </w:rPr>
        <w:t>consider areas where the Valuer-</w:t>
      </w:r>
      <w:r w:rsidR="00084A62" w:rsidRPr="00F64913">
        <w:rPr>
          <w:lang w:val="en-AU"/>
        </w:rPr>
        <w:t>General data could possibly be less accurate (e.g. possibly higher transaction areas) and attempt to formulate alternative approaches for these areas.</w:t>
      </w:r>
    </w:p>
    <w:p w:rsidR="00445879" w:rsidRPr="00F64913" w:rsidRDefault="00CF0EE9" w:rsidP="00BF27E8">
      <w:pPr>
        <w:pStyle w:val="Heading3"/>
      </w:pPr>
      <w:r w:rsidRPr="00F64913">
        <w:t>Property management costs</w:t>
      </w:r>
    </w:p>
    <w:p w:rsidR="00084A62" w:rsidRPr="00ED6386" w:rsidRDefault="00385AAA" w:rsidP="00ED6386">
      <w:pPr>
        <w:shd w:val="clear" w:color="auto" w:fill="FFFFFF" w:themeFill="background1"/>
        <w:rPr>
          <w:lang w:val="en-AU"/>
        </w:rPr>
      </w:pPr>
      <w:r w:rsidRPr="00ED6386">
        <w:rPr>
          <w:lang w:val="en-AU"/>
        </w:rPr>
        <w:t xml:space="preserve">A number of submissions </w:t>
      </w:r>
      <w:r w:rsidR="00ED6386" w:rsidRPr="00ED6386">
        <w:rPr>
          <w:lang w:val="en-AU"/>
        </w:rPr>
        <w:t>argued that the current assumptions for</w:t>
      </w:r>
      <w:r w:rsidRPr="00ED6386">
        <w:rPr>
          <w:lang w:val="en-AU"/>
        </w:rPr>
        <w:t xml:space="preserve"> maintenance costs </w:t>
      </w:r>
      <w:r w:rsidR="00ED6386" w:rsidRPr="00ED6386">
        <w:rPr>
          <w:lang w:val="en-AU"/>
        </w:rPr>
        <w:t>in robust</w:t>
      </w:r>
      <w:r w:rsidR="0051532C">
        <w:rPr>
          <w:lang w:val="en-AU"/>
        </w:rPr>
        <w:t xml:space="preserve"> dwellings</w:t>
      </w:r>
      <w:r w:rsidR="00ED6386" w:rsidRPr="00ED6386">
        <w:rPr>
          <w:lang w:val="en-AU"/>
        </w:rPr>
        <w:t xml:space="preserve"> were </w:t>
      </w:r>
      <w:r w:rsidRPr="00ED6386">
        <w:rPr>
          <w:lang w:val="en-AU"/>
        </w:rPr>
        <w:t xml:space="preserve">lower than what should be expected considering </w:t>
      </w:r>
      <w:r w:rsidR="008A6A6C" w:rsidRPr="00ED6386">
        <w:rPr>
          <w:lang w:val="en-AU"/>
        </w:rPr>
        <w:t>the category is designed</w:t>
      </w:r>
      <w:r w:rsidRPr="00ED6386">
        <w:rPr>
          <w:lang w:val="en-AU"/>
        </w:rPr>
        <w:t xml:space="preserve"> </w:t>
      </w:r>
      <w:r w:rsidR="008A6A6C" w:rsidRPr="00ED6386">
        <w:rPr>
          <w:lang w:val="en-AU"/>
        </w:rPr>
        <w:t xml:space="preserve">for </w:t>
      </w:r>
      <w:r w:rsidRPr="00ED6386">
        <w:rPr>
          <w:lang w:val="en-AU"/>
        </w:rPr>
        <w:t>participants who</w:t>
      </w:r>
      <w:r w:rsidR="008A6A6C" w:rsidRPr="00ED6386">
        <w:rPr>
          <w:lang w:val="en-AU"/>
        </w:rPr>
        <w:t xml:space="preserve"> may</w:t>
      </w:r>
      <w:r w:rsidRPr="00ED6386">
        <w:rPr>
          <w:lang w:val="en-AU"/>
        </w:rPr>
        <w:t xml:space="preserve"> </w:t>
      </w:r>
      <w:r w:rsidR="008A6A6C" w:rsidRPr="00ED6386">
        <w:rPr>
          <w:lang w:val="en-AU"/>
        </w:rPr>
        <w:t>have</w:t>
      </w:r>
      <w:r w:rsidRPr="00ED6386">
        <w:rPr>
          <w:lang w:val="en-AU"/>
        </w:rPr>
        <w:t xml:space="preserve"> behaviours of concern, including </w:t>
      </w:r>
      <w:r w:rsidR="008A6A6C" w:rsidRPr="00ED6386">
        <w:rPr>
          <w:lang w:val="en-AU"/>
        </w:rPr>
        <w:t xml:space="preserve">through </w:t>
      </w:r>
      <w:r w:rsidRPr="00ED6386">
        <w:rPr>
          <w:lang w:val="en-AU"/>
        </w:rPr>
        <w:t>property damage</w:t>
      </w:r>
      <w:r w:rsidR="008A6A6C" w:rsidRPr="00ED6386">
        <w:rPr>
          <w:lang w:val="en-AU"/>
        </w:rPr>
        <w:t>.</w:t>
      </w:r>
      <w:r w:rsidR="00997920">
        <w:rPr>
          <w:lang w:val="en-AU"/>
        </w:rPr>
        <w:t xml:space="preserve"> They </w:t>
      </w:r>
      <w:r w:rsidR="00ED6386" w:rsidRPr="00ED6386">
        <w:rPr>
          <w:lang w:val="en-AU"/>
        </w:rPr>
        <w:t>argued that m</w:t>
      </w:r>
      <w:r w:rsidR="00FE09EC" w:rsidRPr="00ED6386">
        <w:rPr>
          <w:lang w:val="en-AU"/>
        </w:rPr>
        <w:t xml:space="preserve">aintenance costs for Robust asset types were higher than other asset types due to the high upfront additional capital investment required and the greater frequency of damages that </w:t>
      </w:r>
      <w:r w:rsidR="008A6A6C" w:rsidRPr="00ED6386">
        <w:rPr>
          <w:lang w:val="en-AU"/>
        </w:rPr>
        <w:t>may be</w:t>
      </w:r>
      <w:r w:rsidR="00FE09EC" w:rsidRPr="00ED6386">
        <w:rPr>
          <w:lang w:val="en-AU"/>
        </w:rPr>
        <w:t xml:space="preserve"> incurred (e.g. broken windows, damage to walls). </w:t>
      </w:r>
      <w:r w:rsidR="00ED6386" w:rsidRPr="00ED6386">
        <w:rPr>
          <w:lang w:val="en-AU"/>
        </w:rPr>
        <w:t xml:space="preserve">However, </w:t>
      </w:r>
      <w:r w:rsidR="00FE09EC" w:rsidRPr="00ED6386">
        <w:rPr>
          <w:lang w:val="en-AU"/>
        </w:rPr>
        <w:t xml:space="preserve">Robust asset types </w:t>
      </w:r>
      <w:r w:rsidR="00ED6386" w:rsidRPr="00ED6386">
        <w:rPr>
          <w:lang w:val="en-AU"/>
        </w:rPr>
        <w:t>also</w:t>
      </w:r>
      <w:r w:rsidR="00FE09EC" w:rsidRPr="00ED6386">
        <w:rPr>
          <w:lang w:val="en-AU"/>
        </w:rPr>
        <w:t xml:space="preserve"> utilise stronger materials </w:t>
      </w:r>
      <w:r w:rsidR="00AC733F" w:rsidRPr="00ED6386">
        <w:rPr>
          <w:lang w:val="en-AU"/>
        </w:rPr>
        <w:t xml:space="preserve">by design </w:t>
      </w:r>
      <w:r w:rsidR="00FE09EC" w:rsidRPr="00ED6386">
        <w:rPr>
          <w:lang w:val="en-AU"/>
        </w:rPr>
        <w:t xml:space="preserve">which may reduce the need for structural maintenance in the long run. </w:t>
      </w:r>
      <w:r w:rsidR="00ED6386" w:rsidRPr="00ED6386">
        <w:rPr>
          <w:lang w:val="en-AU"/>
        </w:rPr>
        <w:t>Moreover, no</w:t>
      </w:r>
      <w:r w:rsidR="00084A62" w:rsidRPr="00ED6386">
        <w:rPr>
          <w:lang w:val="en-AU"/>
        </w:rPr>
        <w:t xml:space="preserve"> submissions were able to specify the additional impact, and management and maintenance costs are considered to be broadly consistent with industry benchmarks. </w:t>
      </w:r>
    </w:p>
    <w:p w:rsidR="00084A62" w:rsidRPr="00F64913" w:rsidRDefault="00ED6386" w:rsidP="00ED6386">
      <w:pPr>
        <w:shd w:val="clear" w:color="auto" w:fill="FFFFFF" w:themeFill="background1"/>
        <w:rPr>
          <w:lang w:val="en-AU"/>
        </w:rPr>
      </w:pPr>
      <w:r w:rsidRPr="00ED6386">
        <w:rPr>
          <w:lang w:val="en-AU"/>
        </w:rPr>
        <w:t>On balance, the Review therefore considered that, given</w:t>
      </w:r>
      <w:r w:rsidR="00084A62" w:rsidRPr="00ED6386">
        <w:rPr>
          <w:lang w:val="en-AU"/>
        </w:rPr>
        <w:t xml:space="preserve"> the variable nature of Robust client needs and requirements</w:t>
      </w:r>
      <w:r w:rsidRPr="00ED6386">
        <w:rPr>
          <w:lang w:val="en-AU"/>
        </w:rPr>
        <w:t>,</w:t>
      </w:r>
      <w:r w:rsidR="00084A62" w:rsidRPr="00ED6386">
        <w:rPr>
          <w:lang w:val="en-AU"/>
        </w:rPr>
        <w:t xml:space="preserve"> the current mechanism for Extraordinary Reactive Maintenance payments is deemed appropriate.</w:t>
      </w:r>
      <w:r w:rsidR="001E0305">
        <w:rPr>
          <w:lang w:val="en-AU"/>
        </w:rPr>
        <w:t xml:space="preserve"> </w:t>
      </w:r>
      <w:r w:rsidR="001E0305" w:rsidRPr="00ED6386">
        <w:rPr>
          <w:lang w:val="en-AU"/>
        </w:rPr>
        <w:t>Extraordinary Reactive Maintenance payments were specified in the NDIA’s Decision Paper relating to SDA Pricing and Payments. The payments would involve a mechanism for payment for actual costs incurred for maintenance over and above what is reflected in Robust pricing.</w:t>
      </w:r>
      <w:r>
        <w:rPr>
          <w:lang w:val="en-AU"/>
        </w:rPr>
        <w:t xml:space="preserve"> </w:t>
      </w:r>
      <w:r w:rsidR="00084A62" w:rsidRPr="00ED6386">
        <w:rPr>
          <w:lang w:val="en-AU"/>
        </w:rPr>
        <w:t>The NDIA acknowledges, however, that this policy is currently under</w:t>
      </w:r>
      <w:r w:rsidRPr="00ED6386">
        <w:rPr>
          <w:lang w:val="en-AU"/>
        </w:rPr>
        <w:t xml:space="preserve">developed. </w:t>
      </w:r>
      <w:r>
        <w:rPr>
          <w:lang w:val="en-AU"/>
        </w:rPr>
        <w:t>The</w:t>
      </w:r>
      <w:r w:rsidR="00084A62" w:rsidRPr="00ED6386">
        <w:rPr>
          <w:lang w:val="en-AU"/>
        </w:rPr>
        <w:t xml:space="preserve"> NDIA </w:t>
      </w:r>
      <w:r w:rsidRPr="00ED6386">
        <w:rPr>
          <w:lang w:val="en-AU"/>
        </w:rPr>
        <w:t>will</w:t>
      </w:r>
      <w:r w:rsidR="00084A62" w:rsidRPr="00ED6386">
        <w:rPr>
          <w:lang w:val="en-AU"/>
        </w:rPr>
        <w:t xml:space="preserve"> work to implement an Extraordinary Reactive Maintenance payments policy and consult with stakeholders to inform its implementation. Additional work should aim to improve the understanding of the Extraordinary Maintenance payments provisions once developed, including how to apply for it and what and how much it covers.</w:t>
      </w:r>
    </w:p>
    <w:p w:rsidR="00BC151D" w:rsidRPr="00ED6386" w:rsidRDefault="00ED6386" w:rsidP="00BF27E8">
      <w:pPr>
        <w:pStyle w:val="Heading3"/>
      </w:pPr>
      <w:r w:rsidRPr="00ED6386">
        <w:t>V</w:t>
      </w:r>
      <w:r w:rsidR="00431B4E" w:rsidRPr="00ED6386">
        <w:t>acancy management cost</w:t>
      </w:r>
      <w:r w:rsidRPr="00ED6386">
        <w:t>s</w:t>
      </w:r>
    </w:p>
    <w:p w:rsidR="00084A62" w:rsidRPr="00F64913" w:rsidRDefault="00ED6386" w:rsidP="00ED6386">
      <w:pPr>
        <w:shd w:val="clear" w:color="auto" w:fill="FFFFFF" w:themeFill="background1"/>
        <w:rPr>
          <w:lang w:val="en-AU"/>
        </w:rPr>
      </w:pPr>
      <w:r w:rsidRPr="00ED6386">
        <w:rPr>
          <w:lang w:val="en-AU"/>
        </w:rPr>
        <w:t>Some submissions argued that the current v</w:t>
      </w:r>
      <w:r w:rsidR="00FE09EC" w:rsidRPr="00ED6386">
        <w:rPr>
          <w:lang w:val="en-AU"/>
        </w:rPr>
        <w:t>acancy management cost</w:t>
      </w:r>
      <w:r w:rsidRPr="00ED6386">
        <w:rPr>
          <w:lang w:val="en-AU"/>
        </w:rPr>
        <w:t xml:space="preserve"> assumptions </w:t>
      </w:r>
      <w:r w:rsidR="00FE09EC" w:rsidRPr="00ED6386">
        <w:rPr>
          <w:lang w:val="en-AU"/>
        </w:rPr>
        <w:t>were too low, particularly for asset types with greater level of modifications (e.g. Robust), which would tak</w:t>
      </w:r>
      <w:r w:rsidR="00997920">
        <w:rPr>
          <w:lang w:val="en-AU"/>
        </w:rPr>
        <w:t xml:space="preserve">e longer to find a participant. </w:t>
      </w:r>
      <w:r w:rsidRPr="00ED6386">
        <w:rPr>
          <w:lang w:val="en-AU"/>
        </w:rPr>
        <w:t>However, the Review considers that the c</w:t>
      </w:r>
      <w:r w:rsidR="00084A62" w:rsidRPr="00ED6386">
        <w:rPr>
          <w:lang w:val="en-AU"/>
        </w:rPr>
        <w:t>urrent vacancy management cost is consistent with industry benchmarks and there is little additional evidence to suggest that the allowance is insuff</w:t>
      </w:r>
      <w:r w:rsidR="00484A7C">
        <w:rPr>
          <w:lang w:val="en-AU"/>
        </w:rPr>
        <w:t>icient. The Review also notes</w:t>
      </w:r>
      <w:r w:rsidRPr="00ED6386">
        <w:rPr>
          <w:lang w:val="en-AU"/>
        </w:rPr>
        <w:t xml:space="preserve"> that t</w:t>
      </w:r>
      <w:r w:rsidR="00084A62" w:rsidRPr="00ED6386">
        <w:rPr>
          <w:lang w:val="en-AU"/>
        </w:rPr>
        <w:t xml:space="preserve">he NDIA has improved and will continue </w:t>
      </w:r>
      <w:r w:rsidRPr="00ED6386">
        <w:rPr>
          <w:lang w:val="en-AU"/>
        </w:rPr>
        <w:t>to improve</w:t>
      </w:r>
      <w:r w:rsidR="00084A62" w:rsidRPr="00ED6386">
        <w:rPr>
          <w:lang w:val="en-AU"/>
        </w:rPr>
        <w:t xml:space="preserve"> its process for </w:t>
      </w:r>
      <w:r w:rsidR="00484A7C">
        <w:rPr>
          <w:lang w:val="en-AU"/>
        </w:rPr>
        <w:t>enrolling</w:t>
      </w:r>
      <w:r w:rsidR="00084A62" w:rsidRPr="00ED6386">
        <w:rPr>
          <w:lang w:val="en-AU"/>
        </w:rPr>
        <w:t xml:space="preserve"> new dwellings</w:t>
      </w:r>
      <w:r w:rsidRPr="00ED6386">
        <w:rPr>
          <w:lang w:val="en-AU"/>
        </w:rPr>
        <w:t>,</w:t>
      </w:r>
      <w:r w:rsidR="00084A62" w:rsidRPr="00ED6386">
        <w:rPr>
          <w:lang w:val="en-AU"/>
        </w:rPr>
        <w:t xml:space="preserve"> which should reduce vacancy risks.</w:t>
      </w:r>
      <w:r w:rsidR="00084A62" w:rsidRPr="00F64913">
        <w:rPr>
          <w:lang w:val="en-AU"/>
        </w:rPr>
        <w:t xml:space="preserve"> </w:t>
      </w:r>
    </w:p>
    <w:p w:rsidR="00ED7A74" w:rsidRPr="00F64913" w:rsidRDefault="00885A2B" w:rsidP="00BF27E8">
      <w:pPr>
        <w:pStyle w:val="Heading3"/>
      </w:pPr>
      <w:r w:rsidRPr="00F64913">
        <w:t>Financing</w:t>
      </w:r>
      <w:r w:rsidR="00BF27E8">
        <w:t xml:space="preserve"> assumptions</w:t>
      </w:r>
    </w:p>
    <w:p w:rsidR="00944174" w:rsidRDefault="00AC733F" w:rsidP="00BF27E8">
      <w:pPr>
        <w:shd w:val="clear" w:color="auto" w:fill="FFFFFF" w:themeFill="background1"/>
        <w:rPr>
          <w:lang w:val="en-AU"/>
        </w:rPr>
      </w:pPr>
      <w:r w:rsidRPr="00F64913">
        <w:rPr>
          <w:lang w:val="en-AU"/>
        </w:rPr>
        <w:t xml:space="preserve">As </w:t>
      </w:r>
      <w:r w:rsidR="00FE09EC" w:rsidRPr="00F64913">
        <w:rPr>
          <w:lang w:val="en-AU"/>
        </w:rPr>
        <w:t xml:space="preserve">SDA is a relatively new </w:t>
      </w:r>
      <w:r w:rsidRPr="00F64913">
        <w:rPr>
          <w:lang w:val="en-AU"/>
        </w:rPr>
        <w:t>market</w:t>
      </w:r>
      <w:r w:rsidR="00FE09EC" w:rsidRPr="00F64913">
        <w:rPr>
          <w:lang w:val="en-AU"/>
        </w:rPr>
        <w:t xml:space="preserve"> (in comparison to </w:t>
      </w:r>
      <w:r w:rsidRPr="00F64913">
        <w:rPr>
          <w:lang w:val="en-AU"/>
        </w:rPr>
        <w:t>markets with some similarities</w:t>
      </w:r>
      <w:r w:rsidR="00FE09EC" w:rsidRPr="00F64913">
        <w:rPr>
          <w:lang w:val="en-AU"/>
        </w:rPr>
        <w:t xml:space="preserve"> like aged care) </w:t>
      </w:r>
      <w:r w:rsidR="00ED6386">
        <w:rPr>
          <w:lang w:val="en-AU"/>
        </w:rPr>
        <w:t xml:space="preserve">some submissions argued that </w:t>
      </w:r>
      <w:r w:rsidR="00FE09EC" w:rsidRPr="00F64913">
        <w:rPr>
          <w:lang w:val="en-AU"/>
        </w:rPr>
        <w:t>greater levels of equity (which is more expensive than debt) are required in order to finance SDA dwellings.</w:t>
      </w:r>
      <w:r w:rsidR="00997920">
        <w:rPr>
          <w:lang w:val="en-AU"/>
        </w:rPr>
        <w:t xml:space="preserve"> </w:t>
      </w:r>
      <w:r w:rsidR="001677FC" w:rsidRPr="00F64913">
        <w:rPr>
          <w:lang w:val="en-AU"/>
        </w:rPr>
        <w:t>The</w:t>
      </w:r>
      <w:r w:rsidR="00ED6386">
        <w:rPr>
          <w:lang w:val="en-AU"/>
        </w:rPr>
        <w:t>se submissions argued that the</w:t>
      </w:r>
      <w:r w:rsidR="001677FC" w:rsidRPr="00F64913">
        <w:rPr>
          <w:lang w:val="en-AU"/>
        </w:rPr>
        <w:t xml:space="preserve"> existing </w:t>
      </w:r>
      <w:r w:rsidR="00ED6386">
        <w:rPr>
          <w:lang w:val="en-AU"/>
        </w:rPr>
        <w:t>assumed debt to equity ratio (60 per cent / 40 per cent</w:t>
      </w:r>
      <w:r w:rsidR="001677FC" w:rsidRPr="00F64913">
        <w:rPr>
          <w:lang w:val="en-AU"/>
        </w:rPr>
        <w:t xml:space="preserve">) </w:t>
      </w:r>
      <w:r w:rsidR="00ED6386">
        <w:rPr>
          <w:lang w:val="en-AU"/>
        </w:rPr>
        <w:t>was</w:t>
      </w:r>
      <w:r w:rsidR="001677FC" w:rsidRPr="00F64913">
        <w:rPr>
          <w:lang w:val="en-AU"/>
        </w:rPr>
        <w:t xml:space="preserve"> determined based on a review of benchmarks used for other long-term asset types</w:t>
      </w:r>
      <w:r w:rsidR="00BF27E8">
        <w:rPr>
          <w:lang w:val="en-AU"/>
        </w:rPr>
        <w:t xml:space="preserve"> and that these benchmarks were not appropriate</w:t>
      </w:r>
      <w:r w:rsidR="001677FC" w:rsidRPr="00F64913">
        <w:rPr>
          <w:lang w:val="en-AU"/>
        </w:rPr>
        <w:t>. On balance, the Review did not consider that this</w:t>
      </w:r>
      <w:r w:rsidR="00BF27E8">
        <w:rPr>
          <w:lang w:val="en-AU"/>
        </w:rPr>
        <w:t xml:space="preserve"> assumption requires revision at this time</w:t>
      </w:r>
      <w:r w:rsidR="008E4348" w:rsidRPr="00F64913">
        <w:rPr>
          <w:lang w:val="en-AU"/>
        </w:rPr>
        <w:t>.</w:t>
      </w:r>
      <w:r w:rsidR="00650839">
        <w:rPr>
          <w:lang w:val="en-AU"/>
        </w:rPr>
        <w:t xml:space="preserve"> </w:t>
      </w:r>
      <w:r w:rsidR="008E4348" w:rsidRPr="00F64913">
        <w:rPr>
          <w:lang w:val="en-AU"/>
        </w:rPr>
        <w:t>However, this issue could be reconsidered at the next SDA pricing review, by when there will be more evidence</w:t>
      </w:r>
      <w:r w:rsidR="001677FC" w:rsidRPr="00F64913">
        <w:rPr>
          <w:lang w:val="en-AU"/>
        </w:rPr>
        <w:t>.</w:t>
      </w:r>
    </w:p>
    <w:p w:rsidR="00944174" w:rsidRPr="00F64913" w:rsidRDefault="00FE09EC" w:rsidP="00BF27E8">
      <w:pPr>
        <w:shd w:val="clear" w:color="auto" w:fill="FFFFFF" w:themeFill="background1"/>
        <w:rPr>
          <w:lang w:val="en-AU"/>
        </w:rPr>
      </w:pPr>
      <w:r w:rsidRPr="00F64913">
        <w:rPr>
          <w:lang w:val="en-AU"/>
        </w:rPr>
        <w:t>S</w:t>
      </w:r>
      <w:r w:rsidR="001677FC" w:rsidRPr="00F64913">
        <w:rPr>
          <w:lang w:val="en-AU"/>
        </w:rPr>
        <w:t>ome s</w:t>
      </w:r>
      <w:r w:rsidRPr="00F64913">
        <w:rPr>
          <w:lang w:val="en-AU"/>
        </w:rPr>
        <w:t>ubmissions noted a mismatch between the frequency of price reviews (every five years) and the long-term investment horizon and that this opens the industr</w:t>
      </w:r>
      <w:r w:rsidR="00997920">
        <w:rPr>
          <w:lang w:val="en-AU"/>
        </w:rPr>
        <w:t xml:space="preserve">y up to financing risks. </w:t>
      </w:r>
      <w:r w:rsidR="00BF27E8">
        <w:rPr>
          <w:lang w:val="en-AU"/>
        </w:rPr>
        <w:t>However, i</w:t>
      </w:r>
      <w:r w:rsidR="001677FC" w:rsidRPr="00F64913">
        <w:rPr>
          <w:lang w:val="en-AU"/>
        </w:rPr>
        <w:t>t is common practice for price reviews to occur periodically in other industries with regulated prices. This also serves as an important mechanism for ensuring the price reflects efficient costs and is providing the right incentives to deliver on the SDA program.</w:t>
      </w:r>
      <w:r w:rsidR="00F10726">
        <w:rPr>
          <w:lang w:val="en-AU"/>
        </w:rPr>
        <w:t xml:space="preserve"> </w:t>
      </w:r>
      <w:r w:rsidR="00BF27E8">
        <w:rPr>
          <w:lang w:val="en-AU"/>
        </w:rPr>
        <w:t>The Review considers that there</w:t>
      </w:r>
      <w:r w:rsidR="008E4348" w:rsidRPr="00F64913">
        <w:rPr>
          <w:lang w:val="en-AU"/>
        </w:rPr>
        <w:t xml:space="preserve"> appears to be little downside risk for providers from five yearly reviews.</w:t>
      </w:r>
      <w:r w:rsidR="00650839">
        <w:rPr>
          <w:lang w:val="en-AU"/>
        </w:rPr>
        <w:t xml:space="preserve"> </w:t>
      </w:r>
      <w:r w:rsidR="008E4348" w:rsidRPr="00F64913">
        <w:rPr>
          <w:lang w:val="en-AU"/>
        </w:rPr>
        <w:t xml:space="preserve">The Agency is unlikely to reduce </w:t>
      </w:r>
      <w:r w:rsidR="006773BA">
        <w:rPr>
          <w:lang w:val="en-AU"/>
        </w:rPr>
        <w:t>price cap</w:t>
      </w:r>
      <w:r w:rsidR="008E4348" w:rsidRPr="00F64913">
        <w:rPr>
          <w:lang w:val="en-AU"/>
        </w:rPr>
        <w:t>s in real terms for existing dwellings.</w:t>
      </w:r>
      <w:r w:rsidR="00650839">
        <w:rPr>
          <w:lang w:val="en-AU"/>
        </w:rPr>
        <w:t xml:space="preserve"> </w:t>
      </w:r>
      <w:r w:rsidR="008E4348" w:rsidRPr="00F64913">
        <w:rPr>
          <w:lang w:val="en-AU"/>
        </w:rPr>
        <w:t xml:space="preserve">Conversely, if reviews were less frequent, providers may lose out in real terms as </w:t>
      </w:r>
      <w:r w:rsidR="006773BA">
        <w:rPr>
          <w:lang w:val="en-AU"/>
        </w:rPr>
        <w:t>price cap</w:t>
      </w:r>
      <w:r w:rsidR="008E4348" w:rsidRPr="00F64913">
        <w:rPr>
          <w:lang w:val="en-AU"/>
        </w:rPr>
        <w:t>s were not indexed for wage and price inflation.</w:t>
      </w:r>
      <w:r w:rsidR="00484A7C">
        <w:rPr>
          <w:lang w:val="en-AU"/>
        </w:rPr>
        <w:t xml:space="preserve"> </w:t>
      </w:r>
      <w:r w:rsidR="001677FC" w:rsidRPr="00F64913">
        <w:rPr>
          <w:lang w:val="en-AU"/>
        </w:rPr>
        <w:t xml:space="preserve">On balance, the Review </w:t>
      </w:r>
      <w:r w:rsidR="00BF27E8">
        <w:rPr>
          <w:lang w:val="en-AU"/>
        </w:rPr>
        <w:t>does</w:t>
      </w:r>
      <w:r w:rsidR="001677FC" w:rsidRPr="00F64913">
        <w:rPr>
          <w:lang w:val="en-AU"/>
        </w:rPr>
        <w:t xml:space="preserve"> not consider that this </w:t>
      </w:r>
      <w:r w:rsidR="00BF27E8">
        <w:rPr>
          <w:lang w:val="en-AU"/>
        </w:rPr>
        <w:t xml:space="preserve">assumption requires revision at this time because </w:t>
      </w:r>
      <w:r w:rsidR="008E4348" w:rsidRPr="00F64913">
        <w:rPr>
          <w:lang w:val="en-AU"/>
        </w:rPr>
        <w:t>f</w:t>
      </w:r>
      <w:r w:rsidR="001677FC" w:rsidRPr="00F64913">
        <w:rPr>
          <w:lang w:val="en-AU"/>
        </w:rPr>
        <w:t xml:space="preserve">inanciers can factor these risks into their analysis </w:t>
      </w:r>
      <w:r w:rsidR="008E4348" w:rsidRPr="00F64913">
        <w:rPr>
          <w:lang w:val="en-AU"/>
        </w:rPr>
        <w:t>before</w:t>
      </w:r>
      <w:r w:rsidR="001677FC" w:rsidRPr="00F64913">
        <w:rPr>
          <w:lang w:val="en-AU"/>
        </w:rPr>
        <w:t xml:space="preserve"> investment.</w:t>
      </w:r>
    </w:p>
    <w:p w:rsidR="00BF27E8" w:rsidRDefault="000E2DCA" w:rsidP="00BF27E8">
      <w:pPr>
        <w:pStyle w:val="Heading2"/>
      </w:pPr>
      <w:bookmarkStart w:id="56" w:name="_Toc23156383"/>
      <w:r>
        <w:t>Other</w:t>
      </w:r>
      <w:r w:rsidR="008E3975" w:rsidRPr="00F64913">
        <w:t xml:space="preserve"> </w:t>
      </w:r>
      <w:r>
        <w:t>issues</w:t>
      </w:r>
      <w:bookmarkEnd w:id="56"/>
    </w:p>
    <w:p w:rsidR="008E3975" w:rsidRPr="00F64913" w:rsidRDefault="008E3975" w:rsidP="00BF27E8">
      <w:pPr>
        <w:pStyle w:val="Heading3"/>
        <w:rPr>
          <w:lang w:eastAsia="en-US"/>
        </w:rPr>
      </w:pPr>
      <w:r w:rsidRPr="00F64913">
        <w:t>Barriers to families wishing to live together</w:t>
      </w:r>
    </w:p>
    <w:p w:rsidR="008E3975" w:rsidRPr="00BF27E8" w:rsidRDefault="008E3975" w:rsidP="00BF27E8">
      <w:pPr>
        <w:shd w:val="clear" w:color="auto" w:fill="FFFFFF" w:themeFill="background1"/>
        <w:rPr>
          <w:lang w:val="en-AU" w:eastAsia="en-AU"/>
        </w:rPr>
      </w:pPr>
      <w:r w:rsidRPr="00F64913">
        <w:rPr>
          <w:lang w:val="en-AU" w:eastAsia="en-AU"/>
        </w:rPr>
        <w:t>The Department of Social</w:t>
      </w:r>
      <w:r w:rsidR="00BF27E8">
        <w:rPr>
          <w:lang w:val="en-AU" w:eastAsia="en-AU"/>
        </w:rPr>
        <w:t xml:space="preserve"> Services and the NDIA continue to</w:t>
      </w:r>
      <w:r w:rsidRPr="00F64913">
        <w:rPr>
          <w:lang w:val="en-AU" w:eastAsia="en-AU"/>
        </w:rPr>
        <w:t xml:space="preserve"> work on reducing any barriers for participants residing in SDA with non-participants. The work at this stage involves questions of policy and legislation that must be resolved before any required pricing changes can be </w:t>
      </w:r>
      <w:r w:rsidRPr="00BF27E8">
        <w:rPr>
          <w:lang w:val="en-AU" w:eastAsia="en-AU"/>
        </w:rPr>
        <w:t>considered.</w:t>
      </w:r>
      <w:r w:rsidR="00BF27E8" w:rsidRPr="00BF27E8">
        <w:rPr>
          <w:lang w:val="en-AU" w:eastAsia="en-AU"/>
        </w:rPr>
        <w:t xml:space="preserve"> While the R</w:t>
      </w:r>
      <w:r w:rsidRPr="00BF27E8">
        <w:rPr>
          <w:lang w:val="en-AU" w:eastAsia="en-AU"/>
        </w:rPr>
        <w:t>eview identified pricing areas that may need adjustment, such adjustment was not withi</w:t>
      </w:r>
      <w:r w:rsidR="00BF27E8" w:rsidRPr="00BF27E8">
        <w:rPr>
          <w:lang w:val="en-AU" w:eastAsia="en-AU"/>
        </w:rPr>
        <w:t>n scope for the R</w:t>
      </w:r>
      <w:r w:rsidRPr="00BF27E8">
        <w:rPr>
          <w:lang w:val="en-AU" w:eastAsia="en-AU"/>
        </w:rPr>
        <w:t>eview until necessary changes to the S</w:t>
      </w:r>
      <w:r w:rsidR="00BF27E8" w:rsidRPr="00BF27E8">
        <w:rPr>
          <w:lang w:val="en-AU" w:eastAsia="en-AU"/>
        </w:rPr>
        <w:t>DA Rules and related policies was completed</w:t>
      </w:r>
      <w:r w:rsidRPr="00BF27E8">
        <w:rPr>
          <w:lang w:val="en-AU" w:eastAsia="en-AU"/>
        </w:rPr>
        <w:t>.</w:t>
      </w:r>
    </w:p>
    <w:p w:rsidR="008E3975" w:rsidRPr="00BF27E8" w:rsidRDefault="008E3975" w:rsidP="00BF27E8">
      <w:pPr>
        <w:pStyle w:val="Heading3"/>
      </w:pPr>
      <w:r w:rsidRPr="00BF27E8">
        <w:t>Challenges to Improved Liveability classification within the National Construction Code</w:t>
      </w:r>
    </w:p>
    <w:p w:rsidR="008E3975" w:rsidRPr="00BF27E8" w:rsidRDefault="008E3975" w:rsidP="00BF27E8">
      <w:pPr>
        <w:shd w:val="clear" w:color="auto" w:fill="FFFFFF" w:themeFill="background1"/>
        <w:rPr>
          <w:lang w:val="en-AU" w:eastAsia="en-AU"/>
        </w:rPr>
      </w:pPr>
      <w:r w:rsidRPr="00BF27E8">
        <w:rPr>
          <w:lang w:val="en-AU" w:eastAsia="en-AU"/>
        </w:rPr>
        <w:t>One stakeholder raised concerns around the classification of Improved Liveability dwellings under the National Construction Code, noting that Class 3 compliance may be required in order for dwellings to be compliant, which raises costs.</w:t>
      </w:r>
      <w:r w:rsidR="00BF27E8" w:rsidRPr="00BF27E8">
        <w:rPr>
          <w:lang w:val="en-AU" w:eastAsia="en-AU"/>
        </w:rPr>
        <w:t xml:space="preserve"> </w:t>
      </w:r>
      <w:r w:rsidRPr="00BF27E8">
        <w:rPr>
          <w:lang w:val="en-AU" w:eastAsia="en-AU"/>
        </w:rPr>
        <w:t>The NDIA is investigating this matter, however there is currently insufficient evidence to support pricing changes as part of this review.</w:t>
      </w:r>
    </w:p>
    <w:p w:rsidR="008E3975" w:rsidRPr="00BF27E8" w:rsidRDefault="008E3975" w:rsidP="00BF27E8">
      <w:pPr>
        <w:pStyle w:val="Heading3"/>
        <w:shd w:val="clear" w:color="auto" w:fill="FFFFFF" w:themeFill="background1"/>
      </w:pPr>
      <w:bookmarkStart w:id="57" w:name="_Ref16249541"/>
      <w:r w:rsidRPr="00BF27E8">
        <w:t>Transparency of pricing and price reviews</w:t>
      </w:r>
      <w:bookmarkEnd w:id="57"/>
    </w:p>
    <w:p w:rsidR="007C1EFF" w:rsidRDefault="008E3975" w:rsidP="00BF27E8">
      <w:pPr>
        <w:shd w:val="clear" w:color="auto" w:fill="FFFFFF" w:themeFill="background1"/>
        <w:rPr>
          <w:lang w:val="en-AU" w:eastAsia="en-AU"/>
        </w:rPr>
      </w:pPr>
      <w:r w:rsidRPr="00BF27E8">
        <w:rPr>
          <w:lang w:val="en-AU" w:eastAsia="en-AU"/>
        </w:rPr>
        <w:t xml:space="preserve">It is noted that a number of submissions raised concerns regarding the transparency of pricing and price reviews. Following the release </w:t>
      </w:r>
      <w:r w:rsidR="007C1EFF">
        <w:rPr>
          <w:lang w:val="en-AU" w:eastAsia="en-AU"/>
        </w:rPr>
        <w:t>the</w:t>
      </w:r>
      <w:r w:rsidRPr="00BF27E8">
        <w:rPr>
          <w:lang w:val="en-AU" w:eastAsia="en-AU"/>
        </w:rPr>
        <w:t xml:space="preserve"> KPMG </w:t>
      </w:r>
      <w:r w:rsidR="007C1EFF">
        <w:rPr>
          <w:lang w:val="en-AU" w:eastAsia="en-AU"/>
        </w:rPr>
        <w:t>Review</w:t>
      </w:r>
      <w:r w:rsidR="007C1EFF" w:rsidRPr="00BF27E8">
        <w:rPr>
          <w:lang w:val="en-AU" w:eastAsia="en-AU"/>
        </w:rPr>
        <w:t xml:space="preserve"> </w:t>
      </w:r>
      <w:r w:rsidR="007C1EFF">
        <w:rPr>
          <w:lang w:val="en-AU" w:eastAsia="en-AU"/>
        </w:rPr>
        <w:t>in</w:t>
      </w:r>
      <w:r w:rsidRPr="00BF27E8">
        <w:rPr>
          <w:lang w:val="en-AU" w:eastAsia="en-AU"/>
        </w:rPr>
        <w:t xml:space="preserve"> 2018</w:t>
      </w:r>
      <w:r w:rsidR="007C1EFF">
        <w:rPr>
          <w:lang w:val="en-AU" w:eastAsia="en-AU"/>
        </w:rPr>
        <w:t>, the</w:t>
      </w:r>
      <w:r w:rsidRPr="00BF27E8">
        <w:rPr>
          <w:lang w:val="en-AU" w:eastAsia="en-AU"/>
        </w:rPr>
        <w:t xml:space="preserve"> SDA Pricing and Payments Framework</w:t>
      </w:r>
      <w:r w:rsidR="007C1EFF">
        <w:rPr>
          <w:lang w:val="en-AU" w:eastAsia="en-AU"/>
        </w:rPr>
        <w:t xml:space="preserve"> was updated to include additional guidance about limited reviews</w:t>
      </w:r>
      <w:r w:rsidRPr="00BF27E8">
        <w:rPr>
          <w:lang w:val="en-AU" w:eastAsia="en-AU"/>
        </w:rPr>
        <w:t>,</w:t>
      </w:r>
      <w:r w:rsidR="007C1EFF">
        <w:rPr>
          <w:lang w:val="en-AU" w:eastAsia="en-AU"/>
        </w:rPr>
        <w:t xml:space="preserve"> including that they would not result in reductions to prices.</w:t>
      </w:r>
      <w:r w:rsidRPr="00BF27E8">
        <w:rPr>
          <w:lang w:val="en-AU" w:eastAsia="en-AU"/>
        </w:rPr>
        <w:t xml:space="preserve"> </w:t>
      </w:r>
    </w:p>
    <w:p w:rsidR="008E3975" w:rsidRPr="00F64913" w:rsidRDefault="007C1EFF" w:rsidP="00BF27E8">
      <w:pPr>
        <w:shd w:val="clear" w:color="auto" w:fill="FFFFFF" w:themeFill="background1"/>
        <w:rPr>
          <w:lang w:val="en-AU"/>
        </w:rPr>
      </w:pPr>
      <w:r>
        <w:rPr>
          <w:lang w:val="en-AU" w:eastAsia="en-AU"/>
        </w:rPr>
        <w:t>T</w:t>
      </w:r>
      <w:r w:rsidRPr="00BF27E8">
        <w:rPr>
          <w:lang w:val="en-AU" w:eastAsia="en-AU"/>
        </w:rPr>
        <w:t xml:space="preserve">he </w:t>
      </w:r>
      <w:r w:rsidR="008E3975" w:rsidRPr="00BF27E8">
        <w:rPr>
          <w:lang w:val="en-AU" w:eastAsia="en-AU"/>
        </w:rPr>
        <w:t>NDIA is working on developing simple and clear guidance for the market regarding benchmark pricing development and the price review process.</w:t>
      </w:r>
      <w:r w:rsidR="00BF27E8" w:rsidRPr="00BF27E8">
        <w:rPr>
          <w:lang w:val="en-AU" w:eastAsia="en-AU"/>
        </w:rPr>
        <w:t xml:space="preserve"> </w:t>
      </w:r>
      <w:r w:rsidR="005848DF">
        <w:rPr>
          <w:lang w:val="en-AU" w:eastAsia="en-AU"/>
        </w:rPr>
        <w:t>The SDA Reference Group will be consulted regarding this guidance material in 2019</w:t>
      </w:r>
      <w:r w:rsidR="008E3975" w:rsidRPr="00BF27E8">
        <w:rPr>
          <w:lang w:val="en-AU" w:eastAsia="en-AU"/>
        </w:rPr>
        <w:t>.</w:t>
      </w:r>
      <w:r w:rsidR="008E3975" w:rsidRPr="00F64913">
        <w:rPr>
          <w:lang w:val="en-AU" w:eastAsia="en-AU"/>
        </w:rPr>
        <w:t xml:space="preserve"> </w:t>
      </w:r>
      <w:r w:rsidR="008E3975" w:rsidRPr="00F64913">
        <w:rPr>
          <w:lang w:val="en-AU" w:eastAsia="en-AU"/>
        </w:rPr>
        <w:br/>
      </w:r>
    </w:p>
    <w:sectPr w:rsidR="008E3975" w:rsidRPr="00F64913" w:rsidSect="009438A6">
      <w:headerReference w:type="default" r:id="rId32"/>
      <w:footerReference w:type="default" r:id="rId33"/>
      <w:headerReference w:type="first" r:id="rId3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AA" w:rsidRDefault="00EC7CAA" w:rsidP="007D3D53">
      <w:pPr>
        <w:spacing w:after="0" w:line="240" w:lineRule="auto"/>
      </w:pPr>
      <w:r>
        <w:separator/>
      </w:r>
    </w:p>
  </w:endnote>
  <w:endnote w:type="continuationSeparator" w:id="0">
    <w:p w:rsidR="00EC7CAA" w:rsidRDefault="00EC7CAA" w:rsidP="007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Times New Roman"/>
    <w:charset w:val="00"/>
    <w:family w:val="auto"/>
    <w:pitch w:val="variable"/>
    <w:sig w:usb0="00000001" w:usb1="4000204A" w:usb2="00000000" w:usb3="00000000" w:csb0="0000009B" w:csb1="00000000"/>
  </w:font>
  <w:font w:name="ArialMT">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43128"/>
      <w:docPartObj>
        <w:docPartGallery w:val="Page Numbers (Bottom of Page)"/>
        <w:docPartUnique/>
      </w:docPartObj>
    </w:sdtPr>
    <w:sdtEndPr/>
    <w:sdtContent>
      <w:p w:rsidR="006B624F" w:rsidRDefault="006B624F" w:rsidP="00FD4484">
        <w:pPr>
          <w:pStyle w:val="Footer"/>
        </w:pPr>
        <w:r>
          <w:fldChar w:fldCharType="begin"/>
        </w:r>
        <w:r>
          <w:instrText xml:space="preserve"> PAGE   \* MERGEFORMAT </w:instrText>
        </w:r>
        <w:r>
          <w:fldChar w:fldCharType="separate"/>
        </w:r>
        <w:r w:rsidR="00936DE9">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4F" w:rsidRDefault="006B624F" w:rsidP="00507084">
    <w:r>
      <w:tab/>
    </w:r>
  </w:p>
  <w:p w:rsidR="006B624F" w:rsidRDefault="006B624F" w:rsidP="00507084"/>
  <w:p w:rsidR="006B624F" w:rsidRPr="00810025" w:rsidRDefault="006B624F" w:rsidP="00507084">
    <w:pPr>
      <w:tabs>
        <w:tab w:val="center" w:pos="4820"/>
        <w:tab w:val="right" w:pos="8931"/>
      </w:tabs>
      <w:spacing w:before="0" w:after="200" w:line="288" w:lineRule="auto"/>
      <w:rPr>
        <w:rFonts w:ascii="FS Me Light" w:hAnsi="FS Me Light" w:cs="Arial"/>
        <w:color w:val="5E2D73"/>
        <w:sz w:val="32"/>
        <w:szCs w:val="32"/>
        <w:lang w:eastAsia="ja-JP"/>
      </w:rPr>
    </w:pPr>
    <w:r w:rsidRPr="00FB5514">
      <w:rPr>
        <w:rFonts w:cs="Arial"/>
        <w:b/>
        <w:noProof/>
        <w:lang w:val="en-AU" w:eastAsia="en-AU"/>
      </w:rPr>
      <w:drawing>
        <wp:anchor distT="0" distB="0" distL="114300" distR="114300" simplePos="0" relativeHeight="251659264" behindDoc="1" locked="0" layoutInCell="1" allowOverlap="1" wp14:anchorId="063D1E1A" wp14:editId="71B87E2B">
          <wp:simplePos x="0" y="0"/>
          <wp:positionH relativeFrom="page">
            <wp:posOffset>5588000</wp:posOffset>
          </wp:positionH>
          <wp:positionV relativeFrom="page">
            <wp:posOffset>9506585</wp:posOffset>
          </wp:positionV>
          <wp:extent cx="1536065" cy="798195"/>
          <wp:effectExtent l="0" t="0" r="6985" b="1905"/>
          <wp:wrapNone/>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F7F80">
      <w:rPr>
        <w:rFonts w:cs="Arial"/>
        <w:b/>
        <w:color w:val="5E2D73"/>
        <w:sz w:val="32"/>
        <w:szCs w:val="32"/>
        <w:lang w:eastAsia="ja-JP"/>
      </w:rPr>
      <w:t>ndis.gov.au</w:t>
    </w:r>
    <w:r w:rsidRPr="00FF7F80">
      <w:rPr>
        <w:rFonts w:cs="Arial"/>
        <w:b/>
        <w:color w:val="5E2D73"/>
        <w:sz w:val="32"/>
        <w:szCs w:val="32"/>
        <w:lang w:eastAsia="ja-JP"/>
      </w:rPr>
      <w:tab/>
    </w:r>
    <w:r w:rsidRPr="00FF7F80">
      <w:rPr>
        <w:rFonts w:cs="Arial"/>
        <w:lang w:eastAsia="ja-JP"/>
      </w:rPr>
      <w:tab/>
    </w:r>
    <w:sdt>
      <w:sdtPr>
        <w:rPr>
          <w:rFonts w:cs="Arial"/>
          <w:lang w:eastAsia="ja-JP"/>
        </w:rPr>
        <w:id w:val="-1143651809"/>
        <w:docPartObj>
          <w:docPartGallery w:val="Page Numbers (Bottom of Page)"/>
          <w:docPartUnique/>
        </w:docPartObj>
      </w:sdtPr>
      <w:sdtEndPr>
        <w:rPr>
          <w:noProof/>
        </w:rPr>
      </w:sdtEndPr>
      <w:sdtContent>
        <w:r w:rsidRPr="00FF7F80">
          <w:rPr>
            <w:rFonts w:cs="Arial"/>
            <w:lang w:eastAsia="ja-JP"/>
          </w:rPr>
          <w:fldChar w:fldCharType="begin"/>
        </w:r>
        <w:r w:rsidRPr="00FF7F80">
          <w:rPr>
            <w:rFonts w:cs="Arial"/>
            <w:lang w:eastAsia="ja-JP"/>
          </w:rPr>
          <w:instrText xml:space="preserve"> PAGE   \* MERGEFORMAT </w:instrText>
        </w:r>
        <w:r w:rsidRPr="00FF7F80">
          <w:rPr>
            <w:rFonts w:cs="Arial"/>
            <w:lang w:eastAsia="ja-JP"/>
          </w:rPr>
          <w:fldChar w:fldCharType="separate"/>
        </w:r>
        <w:r w:rsidR="00936DE9">
          <w:rPr>
            <w:rFonts w:cs="Arial"/>
            <w:noProof/>
            <w:lang w:eastAsia="ja-JP"/>
          </w:rPr>
          <w:t>1</w:t>
        </w:r>
        <w:r w:rsidRPr="00FF7F80">
          <w:rPr>
            <w:rFonts w:cs="Arial"/>
            <w:noProof/>
            <w:lang w:eastAsia="ja-JP"/>
          </w:rPr>
          <w:fldChar w:fldCharType="end"/>
        </w:r>
      </w:sdtContent>
    </w:sdt>
  </w:p>
  <w:p w:rsidR="006B624F" w:rsidRDefault="006B624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00322"/>
      <w:docPartObj>
        <w:docPartGallery w:val="Page Numbers (Bottom of Page)"/>
        <w:docPartUnique/>
      </w:docPartObj>
    </w:sdtPr>
    <w:sdtEndPr/>
    <w:sdtContent>
      <w:p w:rsidR="006B624F" w:rsidRPr="009438A6" w:rsidRDefault="006B624F" w:rsidP="009438A6">
        <w:pPr>
          <w:pStyle w:val="Footer"/>
        </w:pPr>
        <w:r>
          <w:fldChar w:fldCharType="begin"/>
        </w:r>
        <w:r>
          <w:instrText xml:space="preserve"> PAGE   \* MERGEFORMAT </w:instrText>
        </w:r>
        <w:r>
          <w:fldChar w:fldCharType="separate"/>
        </w:r>
        <w:r w:rsidR="00936DE9">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911508"/>
      <w:docPartObj>
        <w:docPartGallery w:val="Page Numbers (Bottom of Page)"/>
        <w:docPartUnique/>
      </w:docPartObj>
    </w:sdtPr>
    <w:sdtEndPr>
      <w:rPr>
        <w:noProof/>
      </w:rPr>
    </w:sdtEndPr>
    <w:sdtContent>
      <w:p w:rsidR="006B624F" w:rsidRDefault="006B624F">
        <w:pPr>
          <w:jc w:val="right"/>
        </w:pPr>
        <w:r>
          <w:fldChar w:fldCharType="begin"/>
        </w:r>
        <w:r>
          <w:instrText xml:space="preserve"> PAGE   \* MERGEFORMAT </w:instrText>
        </w:r>
        <w:r>
          <w:fldChar w:fldCharType="separate"/>
        </w:r>
        <w:r w:rsidR="00936DE9">
          <w:rPr>
            <w:noProof/>
          </w:rPr>
          <w:t>46</w:t>
        </w:r>
        <w:r>
          <w:rPr>
            <w:noProof/>
          </w:rPr>
          <w:fldChar w:fldCharType="end"/>
        </w:r>
      </w:p>
    </w:sdtContent>
  </w:sdt>
  <w:p w:rsidR="006B624F" w:rsidRDefault="006B62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AA" w:rsidRDefault="00EC7CAA" w:rsidP="007D3D53">
      <w:pPr>
        <w:spacing w:after="0" w:line="240" w:lineRule="auto"/>
      </w:pPr>
      <w:r>
        <w:separator/>
      </w:r>
    </w:p>
  </w:footnote>
  <w:footnote w:type="continuationSeparator" w:id="0">
    <w:p w:rsidR="00EC7CAA" w:rsidRDefault="00EC7CAA" w:rsidP="007D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4F" w:rsidRDefault="006B624F" w:rsidP="00944174">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4F" w:rsidRDefault="006B624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4F" w:rsidRDefault="006B62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CD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5169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C0854"/>
    <w:multiLevelType w:val="hybridMultilevel"/>
    <w:tmpl w:val="82509F4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 w15:restartNumberingAfterBreak="0">
    <w:nsid w:val="09E42E78"/>
    <w:multiLevelType w:val="hybridMultilevel"/>
    <w:tmpl w:val="B530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B3840"/>
    <w:multiLevelType w:val="hybridMultilevel"/>
    <w:tmpl w:val="557E1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B6A79AA"/>
    <w:multiLevelType w:val="hybridMultilevel"/>
    <w:tmpl w:val="6820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C575F"/>
    <w:multiLevelType w:val="hybridMultilevel"/>
    <w:tmpl w:val="DE82E55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D0E0B"/>
    <w:multiLevelType w:val="hybridMultilevel"/>
    <w:tmpl w:val="B8E2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C76B4D"/>
    <w:multiLevelType w:val="hybridMultilevel"/>
    <w:tmpl w:val="BFB4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1D62F4"/>
    <w:multiLevelType w:val="multilevel"/>
    <w:tmpl w:val="F014F19A"/>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51E05"/>
    <w:multiLevelType w:val="hybridMultilevel"/>
    <w:tmpl w:val="6100AA2C"/>
    <w:lvl w:ilvl="0" w:tplc="AA947D68">
      <w:start w:val="1"/>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D6D59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C41C35"/>
    <w:multiLevelType w:val="multilevel"/>
    <w:tmpl w:val="F020A128"/>
    <w:lvl w:ilvl="0">
      <w:start w:val="1"/>
      <w:numFmt w:val="decimal"/>
      <w:lvlText w:val="%1."/>
      <w:lvlJc w:val="left"/>
      <w:pPr>
        <w:tabs>
          <w:tab w:val="num" w:pos="425"/>
        </w:tabs>
        <w:ind w:left="425" w:hanging="425"/>
      </w:pPr>
    </w:lvl>
    <w:lvl w:ilvl="1">
      <w:start w:val="1"/>
      <w:numFmt w:val="lowerRoman"/>
      <w:lvlText w:val="(%2)"/>
      <w:lvlJc w:val="left"/>
      <w:pPr>
        <w:tabs>
          <w:tab w:val="num" w:pos="851"/>
        </w:tabs>
        <w:ind w:left="851" w:hanging="426"/>
      </w:pPr>
    </w:lvl>
    <w:lvl w:ilvl="2">
      <w:start w:val="1"/>
      <w:numFmt w:val="lowerLetter"/>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 w15:restartNumberingAfterBreak="0">
    <w:nsid w:val="34E3269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B00CDD"/>
    <w:multiLevelType w:val="hybridMultilevel"/>
    <w:tmpl w:val="643CC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329363A"/>
    <w:multiLevelType w:val="hybridMultilevel"/>
    <w:tmpl w:val="01102F5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15:restartNumberingAfterBreak="0">
    <w:nsid w:val="502D1503"/>
    <w:multiLevelType w:val="hybridMultilevel"/>
    <w:tmpl w:val="911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7F5D49"/>
    <w:multiLevelType w:val="multilevel"/>
    <w:tmpl w:val="509023BC"/>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i w:val="0"/>
      </w:rPr>
    </w:lvl>
    <w:lvl w:ilvl="2">
      <w:start w:val="1"/>
      <w:numFmt w:val="decimal"/>
      <w:lvlText w:val="%1.%2.%3"/>
      <w:lvlJc w:val="left"/>
      <w:pPr>
        <w:ind w:left="0" w:firstLine="0"/>
      </w:pPr>
      <w:rPr>
        <w:rFonts w:hint="default"/>
        <w:b/>
      </w:rPr>
    </w:lvl>
    <w:lvl w:ilvl="3">
      <w:start w:val="1"/>
      <w:numFmt w:val="decimal"/>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1E0481"/>
    <w:multiLevelType w:val="multilevel"/>
    <w:tmpl w:val="F020A128"/>
    <w:lvl w:ilvl="0">
      <w:start w:val="1"/>
      <w:numFmt w:val="decimal"/>
      <w:lvlText w:val="%1."/>
      <w:lvlJc w:val="left"/>
      <w:pPr>
        <w:tabs>
          <w:tab w:val="num" w:pos="425"/>
        </w:tabs>
        <w:ind w:left="425" w:hanging="425"/>
      </w:pPr>
    </w:lvl>
    <w:lvl w:ilvl="1">
      <w:start w:val="1"/>
      <w:numFmt w:val="lowerRoman"/>
      <w:lvlText w:val="(%2)"/>
      <w:lvlJc w:val="left"/>
      <w:pPr>
        <w:tabs>
          <w:tab w:val="num" w:pos="851"/>
        </w:tabs>
        <w:ind w:left="851" w:hanging="426"/>
      </w:pPr>
    </w:lvl>
    <w:lvl w:ilvl="2">
      <w:start w:val="1"/>
      <w:numFmt w:val="lowerLetter"/>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0" w15:restartNumberingAfterBreak="0">
    <w:nsid w:val="73FF4B73"/>
    <w:multiLevelType w:val="hybridMultilevel"/>
    <w:tmpl w:val="75CC6DB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58956E5"/>
    <w:multiLevelType w:val="hybridMultilevel"/>
    <w:tmpl w:val="9092D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885DAC"/>
    <w:multiLevelType w:val="hybridMultilevel"/>
    <w:tmpl w:val="A8F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B8B5FF3"/>
    <w:multiLevelType w:val="hybridMultilevel"/>
    <w:tmpl w:val="7800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9D597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7"/>
  </w:num>
  <w:num w:numId="7">
    <w:abstractNumId w:val="5"/>
  </w:num>
  <w:num w:numId="8">
    <w:abstractNumId w:val="11"/>
  </w:num>
  <w:num w:numId="9">
    <w:abstractNumId w:val="13"/>
  </w:num>
  <w:num w:numId="10">
    <w:abstractNumId w:val="3"/>
  </w:num>
  <w:num w:numId="11">
    <w:abstractNumId w:val="18"/>
  </w:num>
  <w:num w:numId="12">
    <w:abstractNumId w:val="24"/>
  </w:num>
  <w:num w:numId="13">
    <w:abstractNumId w:val="14"/>
  </w:num>
  <w:num w:numId="14">
    <w:abstractNumId w:val="12"/>
  </w:num>
  <w:num w:numId="15">
    <w:abstractNumId w:val="0"/>
  </w:num>
  <w:num w:numId="16">
    <w:abstractNumId w:val="8"/>
  </w:num>
  <w:num w:numId="17">
    <w:abstractNumId w:val="6"/>
  </w:num>
  <w:num w:numId="18">
    <w:abstractNumId w:val="23"/>
  </w:num>
  <w:num w:numId="19">
    <w:abstractNumId w:val="17"/>
  </w:num>
  <w:num w:numId="20">
    <w:abstractNumId w:val="9"/>
  </w:num>
  <w:num w:numId="21">
    <w:abstractNumId w:val="21"/>
  </w:num>
  <w:num w:numId="22">
    <w:abstractNumId w:val="2"/>
  </w:num>
  <w:num w:numId="23">
    <w:abstractNumId w:val="15"/>
  </w:num>
  <w:num w:numId="24">
    <w:abstractNumId w:val="22"/>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4C"/>
    <w:rsid w:val="00007E16"/>
    <w:rsid w:val="000179C5"/>
    <w:rsid w:val="00017DCF"/>
    <w:rsid w:val="00021C64"/>
    <w:rsid w:val="000233F5"/>
    <w:rsid w:val="00025593"/>
    <w:rsid w:val="00026B2F"/>
    <w:rsid w:val="0003575F"/>
    <w:rsid w:val="0003588E"/>
    <w:rsid w:val="00040BFA"/>
    <w:rsid w:val="000432DB"/>
    <w:rsid w:val="00057FCF"/>
    <w:rsid w:val="00062FD7"/>
    <w:rsid w:val="00070DCD"/>
    <w:rsid w:val="00070E02"/>
    <w:rsid w:val="000775F2"/>
    <w:rsid w:val="00080404"/>
    <w:rsid w:val="00080B48"/>
    <w:rsid w:val="00084A62"/>
    <w:rsid w:val="00084ADA"/>
    <w:rsid w:val="000867EC"/>
    <w:rsid w:val="00093D51"/>
    <w:rsid w:val="00093DBF"/>
    <w:rsid w:val="00095F48"/>
    <w:rsid w:val="000A58A3"/>
    <w:rsid w:val="000A76FC"/>
    <w:rsid w:val="000B049D"/>
    <w:rsid w:val="000B081C"/>
    <w:rsid w:val="000B1506"/>
    <w:rsid w:val="000B279D"/>
    <w:rsid w:val="000B36B1"/>
    <w:rsid w:val="000B3A0D"/>
    <w:rsid w:val="000B47CA"/>
    <w:rsid w:val="000C0F45"/>
    <w:rsid w:val="000C245C"/>
    <w:rsid w:val="000D10E0"/>
    <w:rsid w:val="000D52F1"/>
    <w:rsid w:val="000D5321"/>
    <w:rsid w:val="000D5DE0"/>
    <w:rsid w:val="000E0C4D"/>
    <w:rsid w:val="000E2DCA"/>
    <w:rsid w:val="000E4C82"/>
    <w:rsid w:val="000E54FD"/>
    <w:rsid w:val="000E5A75"/>
    <w:rsid w:val="000F55E1"/>
    <w:rsid w:val="001015F9"/>
    <w:rsid w:val="00105F5E"/>
    <w:rsid w:val="001075A5"/>
    <w:rsid w:val="00107CDE"/>
    <w:rsid w:val="001103D7"/>
    <w:rsid w:val="001110FA"/>
    <w:rsid w:val="001111B7"/>
    <w:rsid w:val="00114CDB"/>
    <w:rsid w:val="00116B82"/>
    <w:rsid w:val="0011788F"/>
    <w:rsid w:val="00117BBB"/>
    <w:rsid w:val="00121E6B"/>
    <w:rsid w:val="001229C3"/>
    <w:rsid w:val="00126268"/>
    <w:rsid w:val="00131C93"/>
    <w:rsid w:val="00131D16"/>
    <w:rsid w:val="00132B36"/>
    <w:rsid w:val="001338DF"/>
    <w:rsid w:val="00137355"/>
    <w:rsid w:val="00140C00"/>
    <w:rsid w:val="001422CD"/>
    <w:rsid w:val="001441E1"/>
    <w:rsid w:val="001446FE"/>
    <w:rsid w:val="00144DB7"/>
    <w:rsid w:val="00147341"/>
    <w:rsid w:val="001506E2"/>
    <w:rsid w:val="00153EA8"/>
    <w:rsid w:val="0016220C"/>
    <w:rsid w:val="001666DF"/>
    <w:rsid w:val="001677FC"/>
    <w:rsid w:val="00167F14"/>
    <w:rsid w:val="00173A3F"/>
    <w:rsid w:val="0017538F"/>
    <w:rsid w:val="00180145"/>
    <w:rsid w:val="00183F95"/>
    <w:rsid w:val="0018617C"/>
    <w:rsid w:val="0018775C"/>
    <w:rsid w:val="001927D3"/>
    <w:rsid w:val="001A2407"/>
    <w:rsid w:val="001A3AD7"/>
    <w:rsid w:val="001A6CD7"/>
    <w:rsid w:val="001B015F"/>
    <w:rsid w:val="001B0B23"/>
    <w:rsid w:val="001B1CCF"/>
    <w:rsid w:val="001B1EDD"/>
    <w:rsid w:val="001B5364"/>
    <w:rsid w:val="001C0F5E"/>
    <w:rsid w:val="001C5580"/>
    <w:rsid w:val="001D07D9"/>
    <w:rsid w:val="001D3A8E"/>
    <w:rsid w:val="001D56AE"/>
    <w:rsid w:val="001D7C54"/>
    <w:rsid w:val="001E0305"/>
    <w:rsid w:val="001E3E13"/>
    <w:rsid w:val="001E6FCE"/>
    <w:rsid w:val="001F0AB9"/>
    <w:rsid w:val="001F68A5"/>
    <w:rsid w:val="00203D4B"/>
    <w:rsid w:val="002116B6"/>
    <w:rsid w:val="002140D1"/>
    <w:rsid w:val="00215175"/>
    <w:rsid w:val="00215734"/>
    <w:rsid w:val="002160AE"/>
    <w:rsid w:val="00217CAE"/>
    <w:rsid w:val="002241F5"/>
    <w:rsid w:val="00234223"/>
    <w:rsid w:val="0023441A"/>
    <w:rsid w:val="002471C6"/>
    <w:rsid w:val="00251374"/>
    <w:rsid w:val="00252195"/>
    <w:rsid w:val="00253534"/>
    <w:rsid w:val="002543A5"/>
    <w:rsid w:val="002544FF"/>
    <w:rsid w:val="00263F38"/>
    <w:rsid w:val="00270498"/>
    <w:rsid w:val="00271C09"/>
    <w:rsid w:val="00273776"/>
    <w:rsid w:val="00273DD0"/>
    <w:rsid w:val="002740B0"/>
    <w:rsid w:val="00275B14"/>
    <w:rsid w:val="00277787"/>
    <w:rsid w:val="00277D2E"/>
    <w:rsid w:val="00280604"/>
    <w:rsid w:val="00282D45"/>
    <w:rsid w:val="00283AC6"/>
    <w:rsid w:val="00287A0F"/>
    <w:rsid w:val="002957B8"/>
    <w:rsid w:val="00296F7C"/>
    <w:rsid w:val="002A0701"/>
    <w:rsid w:val="002A7F24"/>
    <w:rsid w:val="002B11F9"/>
    <w:rsid w:val="002B3C6D"/>
    <w:rsid w:val="002C203A"/>
    <w:rsid w:val="002C2357"/>
    <w:rsid w:val="002C7F8A"/>
    <w:rsid w:val="002D2943"/>
    <w:rsid w:val="002D345B"/>
    <w:rsid w:val="002D3904"/>
    <w:rsid w:val="002D44BF"/>
    <w:rsid w:val="002D4A0D"/>
    <w:rsid w:val="002E7839"/>
    <w:rsid w:val="002F00CB"/>
    <w:rsid w:val="002F4238"/>
    <w:rsid w:val="002F4511"/>
    <w:rsid w:val="002F4DDD"/>
    <w:rsid w:val="003053EB"/>
    <w:rsid w:val="00305D09"/>
    <w:rsid w:val="00306CBB"/>
    <w:rsid w:val="00310359"/>
    <w:rsid w:val="00311B1A"/>
    <w:rsid w:val="00320865"/>
    <w:rsid w:val="00321A40"/>
    <w:rsid w:val="003244FC"/>
    <w:rsid w:val="00325A52"/>
    <w:rsid w:val="00332E7C"/>
    <w:rsid w:val="00340649"/>
    <w:rsid w:val="003429E8"/>
    <w:rsid w:val="00342CDA"/>
    <w:rsid w:val="00351D99"/>
    <w:rsid w:val="00357512"/>
    <w:rsid w:val="00360748"/>
    <w:rsid w:val="00362753"/>
    <w:rsid w:val="003627E5"/>
    <w:rsid w:val="00363442"/>
    <w:rsid w:val="00365E9D"/>
    <w:rsid w:val="003716C2"/>
    <w:rsid w:val="00374245"/>
    <w:rsid w:val="0037652F"/>
    <w:rsid w:val="00376919"/>
    <w:rsid w:val="003826C5"/>
    <w:rsid w:val="003858CE"/>
    <w:rsid w:val="00385AAA"/>
    <w:rsid w:val="00392050"/>
    <w:rsid w:val="00392BC9"/>
    <w:rsid w:val="003A0268"/>
    <w:rsid w:val="003C1A0E"/>
    <w:rsid w:val="003C1A9D"/>
    <w:rsid w:val="003C3988"/>
    <w:rsid w:val="003D6EDB"/>
    <w:rsid w:val="003E1EF5"/>
    <w:rsid w:val="003E2498"/>
    <w:rsid w:val="003E2B51"/>
    <w:rsid w:val="003E7119"/>
    <w:rsid w:val="003E772A"/>
    <w:rsid w:val="003E7742"/>
    <w:rsid w:val="003F0B87"/>
    <w:rsid w:val="003F363B"/>
    <w:rsid w:val="003F6057"/>
    <w:rsid w:val="003F646E"/>
    <w:rsid w:val="003F6491"/>
    <w:rsid w:val="003F675A"/>
    <w:rsid w:val="00402E8F"/>
    <w:rsid w:val="0041514E"/>
    <w:rsid w:val="00421C58"/>
    <w:rsid w:val="0042440B"/>
    <w:rsid w:val="00431B4E"/>
    <w:rsid w:val="004323AB"/>
    <w:rsid w:val="00435056"/>
    <w:rsid w:val="00435CD8"/>
    <w:rsid w:val="00435D60"/>
    <w:rsid w:val="004364F7"/>
    <w:rsid w:val="00436679"/>
    <w:rsid w:val="00436997"/>
    <w:rsid w:val="0044452E"/>
    <w:rsid w:val="00445879"/>
    <w:rsid w:val="00445AC9"/>
    <w:rsid w:val="004476B3"/>
    <w:rsid w:val="00454964"/>
    <w:rsid w:val="00457811"/>
    <w:rsid w:val="00462B79"/>
    <w:rsid w:val="004647B3"/>
    <w:rsid w:val="00466CD9"/>
    <w:rsid w:val="004676C5"/>
    <w:rsid w:val="00467DC5"/>
    <w:rsid w:val="004742DD"/>
    <w:rsid w:val="004747DB"/>
    <w:rsid w:val="00474FFC"/>
    <w:rsid w:val="00475D83"/>
    <w:rsid w:val="00481F0F"/>
    <w:rsid w:val="0048230E"/>
    <w:rsid w:val="00484A7C"/>
    <w:rsid w:val="00491D87"/>
    <w:rsid w:val="0049408B"/>
    <w:rsid w:val="004971E1"/>
    <w:rsid w:val="004A1A98"/>
    <w:rsid w:val="004A2DCA"/>
    <w:rsid w:val="004A3224"/>
    <w:rsid w:val="004A3302"/>
    <w:rsid w:val="004B0E51"/>
    <w:rsid w:val="004B159F"/>
    <w:rsid w:val="004B2F83"/>
    <w:rsid w:val="004B4101"/>
    <w:rsid w:val="004B5B9D"/>
    <w:rsid w:val="004C19FD"/>
    <w:rsid w:val="004C1D90"/>
    <w:rsid w:val="004C6710"/>
    <w:rsid w:val="004D677B"/>
    <w:rsid w:val="004E2D61"/>
    <w:rsid w:val="004E3C69"/>
    <w:rsid w:val="004E4F81"/>
    <w:rsid w:val="004E67DF"/>
    <w:rsid w:val="004E738A"/>
    <w:rsid w:val="004F115D"/>
    <w:rsid w:val="004F1824"/>
    <w:rsid w:val="004F4D61"/>
    <w:rsid w:val="004F7B0A"/>
    <w:rsid w:val="0050042E"/>
    <w:rsid w:val="0050407D"/>
    <w:rsid w:val="005061D6"/>
    <w:rsid w:val="00507084"/>
    <w:rsid w:val="0051532C"/>
    <w:rsid w:val="00517AE7"/>
    <w:rsid w:val="00517B67"/>
    <w:rsid w:val="005204E7"/>
    <w:rsid w:val="005221F5"/>
    <w:rsid w:val="00524E5F"/>
    <w:rsid w:val="00525586"/>
    <w:rsid w:val="0052578E"/>
    <w:rsid w:val="00530B2D"/>
    <w:rsid w:val="005310B7"/>
    <w:rsid w:val="00533BF1"/>
    <w:rsid w:val="00534772"/>
    <w:rsid w:val="00534DCD"/>
    <w:rsid w:val="005356C4"/>
    <w:rsid w:val="00535E2B"/>
    <w:rsid w:val="005375A6"/>
    <w:rsid w:val="005438D1"/>
    <w:rsid w:val="00545443"/>
    <w:rsid w:val="00546520"/>
    <w:rsid w:val="00547351"/>
    <w:rsid w:val="0055209A"/>
    <w:rsid w:val="0055212D"/>
    <w:rsid w:val="005552E2"/>
    <w:rsid w:val="0055612C"/>
    <w:rsid w:val="00556C2C"/>
    <w:rsid w:val="005571F1"/>
    <w:rsid w:val="00565D9F"/>
    <w:rsid w:val="005732EF"/>
    <w:rsid w:val="005848DF"/>
    <w:rsid w:val="00584BDE"/>
    <w:rsid w:val="00586102"/>
    <w:rsid w:val="0058624C"/>
    <w:rsid w:val="00590901"/>
    <w:rsid w:val="00590CB5"/>
    <w:rsid w:val="005924E5"/>
    <w:rsid w:val="00592F14"/>
    <w:rsid w:val="00594B7B"/>
    <w:rsid w:val="005971FB"/>
    <w:rsid w:val="00597240"/>
    <w:rsid w:val="005A0E28"/>
    <w:rsid w:val="005A1AA0"/>
    <w:rsid w:val="005A5E8A"/>
    <w:rsid w:val="005B2D3B"/>
    <w:rsid w:val="005B4F0D"/>
    <w:rsid w:val="005B7E0B"/>
    <w:rsid w:val="005C2D1F"/>
    <w:rsid w:val="005C5680"/>
    <w:rsid w:val="005C5CBE"/>
    <w:rsid w:val="005C7190"/>
    <w:rsid w:val="005D3014"/>
    <w:rsid w:val="005D697A"/>
    <w:rsid w:val="005F0D09"/>
    <w:rsid w:val="005F119F"/>
    <w:rsid w:val="005F1954"/>
    <w:rsid w:val="005F20C0"/>
    <w:rsid w:val="005F3B4D"/>
    <w:rsid w:val="005F5D03"/>
    <w:rsid w:val="005F6D98"/>
    <w:rsid w:val="005F76CE"/>
    <w:rsid w:val="00601987"/>
    <w:rsid w:val="00605D7A"/>
    <w:rsid w:val="00612B67"/>
    <w:rsid w:val="00616124"/>
    <w:rsid w:val="00616A42"/>
    <w:rsid w:val="006174CD"/>
    <w:rsid w:val="00617D24"/>
    <w:rsid w:val="006216B3"/>
    <w:rsid w:val="006219FC"/>
    <w:rsid w:val="00632A03"/>
    <w:rsid w:val="00633FEC"/>
    <w:rsid w:val="006344B2"/>
    <w:rsid w:val="0063536A"/>
    <w:rsid w:val="00640BBD"/>
    <w:rsid w:val="0064594E"/>
    <w:rsid w:val="00650839"/>
    <w:rsid w:val="00650EF1"/>
    <w:rsid w:val="00652824"/>
    <w:rsid w:val="00653367"/>
    <w:rsid w:val="00653B96"/>
    <w:rsid w:val="00654377"/>
    <w:rsid w:val="00654B52"/>
    <w:rsid w:val="006645DA"/>
    <w:rsid w:val="00671328"/>
    <w:rsid w:val="006722FF"/>
    <w:rsid w:val="006773BA"/>
    <w:rsid w:val="006831C0"/>
    <w:rsid w:val="00685937"/>
    <w:rsid w:val="00686000"/>
    <w:rsid w:val="00687549"/>
    <w:rsid w:val="0069339D"/>
    <w:rsid w:val="00695D3C"/>
    <w:rsid w:val="006A2F0E"/>
    <w:rsid w:val="006A4A64"/>
    <w:rsid w:val="006A61E0"/>
    <w:rsid w:val="006B04BE"/>
    <w:rsid w:val="006B1CF4"/>
    <w:rsid w:val="006B3809"/>
    <w:rsid w:val="006B44A5"/>
    <w:rsid w:val="006B4CE3"/>
    <w:rsid w:val="006B500B"/>
    <w:rsid w:val="006B624F"/>
    <w:rsid w:val="006B767E"/>
    <w:rsid w:val="006B7C9C"/>
    <w:rsid w:val="006C28D9"/>
    <w:rsid w:val="006C5BC1"/>
    <w:rsid w:val="006C5C50"/>
    <w:rsid w:val="006D16F2"/>
    <w:rsid w:val="006D265B"/>
    <w:rsid w:val="006D5DEF"/>
    <w:rsid w:val="006D6D90"/>
    <w:rsid w:val="006D7D36"/>
    <w:rsid w:val="006F4B67"/>
    <w:rsid w:val="007017A8"/>
    <w:rsid w:val="007036BA"/>
    <w:rsid w:val="007039B2"/>
    <w:rsid w:val="00707997"/>
    <w:rsid w:val="0071566D"/>
    <w:rsid w:val="007233A1"/>
    <w:rsid w:val="0072553A"/>
    <w:rsid w:val="00734EB3"/>
    <w:rsid w:val="00740025"/>
    <w:rsid w:val="00742DD8"/>
    <w:rsid w:val="00743CD1"/>
    <w:rsid w:val="007478A9"/>
    <w:rsid w:val="00750051"/>
    <w:rsid w:val="00752550"/>
    <w:rsid w:val="00752BEA"/>
    <w:rsid w:val="007544CE"/>
    <w:rsid w:val="00754B3C"/>
    <w:rsid w:val="007629B7"/>
    <w:rsid w:val="00762D79"/>
    <w:rsid w:val="00764215"/>
    <w:rsid w:val="00764EC4"/>
    <w:rsid w:val="00767678"/>
    <w:rsid w:val="007750C8"/>
    <w:rsid w:val="00775661"/>
    <w:rsid w:val="00780334"/>
    <w:rsid w:val="00781CF6"/>
    <w:rsid w:val="00783459"/>
    <w:rsid w:val="007835D3"/>
    <w:rsid w:val="007865D3"/>
    <w:rsid w:val="007873BD"/>
    <w:rsid w:val="0079026D"/>
    <w:rsid w:val="00792509"/>
    <w:rsid w:val="00795915"/>
    <w:rsid w:val="00796430"/>
    <w:rsid w:val="00796CEE"/>
    <w:rsid w:val="007A2F8B"/>
    <w:rsid w:val="007A5B30"/>
    <w:rsid w:val="007A77EE"/>
    <w:rsid w:val="007B02C2"/>
    <w:rsid w:val="007B30E9"/>
    <w:rsid w:val="007B345B"/>
    <w:rsid w:val="007B7C49"/>
    <w:rsid w:val="007C15B4"/>
    <w:rsid w:val="007C1EFF"/>
    <w:rsid w:val="007C422F"/>
    <w:rsid w:val="007C72A7"/>
    <w:rsid w:val="007D3D53"/>
    <w:rsid w:val="007D3F78"/>
    <w:rsid w:val="007D5F6B"/>
    <w:rsid w:val="007D6811"/>
    <w:rsid w:val="007D6A8F"/>
    <w:rsid w:val="007E3929"/>
    <w:rsid w:val="007E793E"/>
    <w:rsid w:val="007F0924"/>
    <w:rsid w:val="007F2CCD"/>
    <w:rsid w:val="007F5C9A"/>
    <w:rsid w:val="007F682B"/>
    <w:rsid w:val="007F7CC3"/>
    <w:rsid w:val="00801DAC"/>
    <w:rsid w:val="00806E10"/>
    <w:rsid w:val="00814E88"/>
    <w:rsid w:val="00822044"/>
    <w:rsid w:val="00822AFE"/>
    <w:rsid w:val="00824B57"/>
    <w:rsid w:val="00825B7C"/>
    <w:rsid w:val="00825C41"/>
    <w:rsid w:val="00826924"/>
    <w:rsid w:val="00833BA3"/>
    <w:rsid w:val="00833EBA"/>
    <w:rsid w:val="00834DC8"/>
    <w:rsid w:val="008433E6"/>
    <w:rsid w:val="0084462F"/>
    <w:rsid w:val="00844E63"/>
    <w:rsid w:val="008466F2"/>
    <w:rsid w:val="0084700F"/>
    <w:rsid w:val="008532B8"/>
    <w:rsid w:val="00860082"/>
    <w:rsid w:val="0086276E"/>
    <w:rsid w:val="00862808"/>
    <w:rsid w:val="00862BBE"/>
    <w:rsid w:val="00863D4F"/>
    <w:rsid w:val="00867217"/>
    <w:rsid w:val="00871E9C"/>
    <w:rsid w:val="00873314"/>
    <w:rsid w:val="00876A01"/>
    <w:rsid w:val="00880F49"/>
    <w:rsid w:val="00884404"/>
    <w:rsid w:val="0088591D"/>
    <w:rsid w:val="00885A2B"/>
    <w:rsid w:val="00885E7C"/>
    <w:rsid w:val="00885F6E"/>
    <w:rsid w:val="0089323C"/>
    <w:rsid w:val="008939F1"/>
    <w:rsid w:val="008953E6"/>
    <w:rsid w:val="008A092A"/>
    <w:rsid w:val="008A0DCF"/>
    <w:rsid w:val="008A3C31"/>
    <w:rsid w:val="008A6A6C"/>
    <w:rsid w:val="008B1497"/>
    <w:rsid w:val="008B1B8A"/>
    <w:rsid w:val="008B70D7"/>
    <w:rsid w:val="008B79F0"/>
    <w:rsid w:val="008C1CD6"/>
    <w:rsid w:val="008C40DE"/>
    <w:rsid w:val="008C4991"/>
    <w:rsid w:val="008C6A37"/>
    <w:rsid w:val="008C75CA"/>
    <w:rsid w:val="008D2B71"/>
    <w:rsid w:val="008D6DD9"/>
    <w:rsid w:val="008D74FE"/>
    <w:rsid w:val="008E3975"/>
    <w:rsid w:val="008E4348"/>
    <w:rsid w:val="008E4D0A"/>
    <w:rsid w:val="008E54A2"/>
    <w:rsid w:val="008E7DB1"/>
    <w:rsid w:val="008E7FAE"/>
    <w:rsid w:val="008F07E5"/>
    <w:rsid w:val="008F3457"/>
    <w:rsid w:val="009006A5"/>
    <w:rsid w:val="009079D2"/>
    <w:rsid w:val="00907C65"/>
    <w:rsid w:val="00913049"/>
    <w:rsid w:val="00917EE0"/>
    <w:rsid w:val="00920BDD"/>
    <w:rsid w:val="009257AB"/>
    <w:rsid w:val="0092625D"/>
    <w:rsid w:val="00926DD3"/>
    <w:rsid w:val="00932569"/>
    <w:rsid w:val="00936DE9"/>
    <w:rsid w:val="009438A6"/>
    <w:rsid w:val="00944174"/>
    <w:rsid w:val="00946717"/>
    <w:rsid w:val="00946BF1"/>
    <w:rsid w:val="00947CBD"/>
    <w:rsid w:val="009549B0"/>
    <w:rsid w:val="009552E9"/>
    <w:rsid w:val="009621A7"/>
    <w:rsid w:val="00962765"/>
    <w:rsid w:val="009636C8"/>
    <w:rsid w:val="009638E6"/>
    <w:rsid w:val="00963B6D"/>
    <w:rsid w:val="00965523"/>
    <w:rsid w:val="009731C2"/>
    <w:rsid w:val="009733D6"/>
    <w:rsid w:val="00974410"/>
    <w:rsid w:val="00975539"/>
    <w:rsid w:val="0098062D"/>
    <w:rsid w:val="0098438F"/>
    <w:rsid w:val="0099274B"/>
    <w:rsid w:val="00997920"/>
    <w:rsid w:val="009A174A"/>
    <w:rsid w:val="009A27E7"/>
    <w:rsid w:val="009A29C9"/>
    <w:rsid w:val="009B1587"/>
    <w:rsid w:val="009B17B7"/>
    <w:rsid w:val="009B5491"/>
    <w:rsid w:val="009C14D6"/>
    <w:rsid w:val="009C179D"/>
    <w:rsid w:val="009C1DEE"/>
    <w:rsid w:val="009C2220"/>
    <w:rsid w:val="009D18CA"/>
    <w:rsid w:val="009D3555"/>
    <w:rsid w:val="009D3B97"/>
    <w:rsid w:val="009D545E"/>
    <w:rsid w:val="009E0FDF"/>
    <w:rsid w:val="009E24C3"/>
    <w:rsid w:val="009E2883"/>
    <w:rsid w:val="009E2C8F"/>
    <w:rsid w:val="009E3713"/>
    <w:rsid w:val="009F01F0"/>
    <w:rsid w:val="00A025F6"/>
    <w:rsid w:val="00A11ACA"/>
    <w:rsid w:val="00A2426C"/>
    <w:rsid w:val="00A249DB"/>
    <w:rsid w:val="00A272C5"/>
    <w:rsid w:val="00A328EC"/>
    <w:rsid w:val="00A3319D"/>
    <w:rsid w:val="00A34676"/>
    <w:rsid w:val="00A35ED4"/>
    <w:rsid w:val="00A36382"/>
    <w:rsid w:val="00A3721E"/>
    <w:rsid w:val="00A41B18"/>
    <w:rsid w:val="00A45DA7"/>
    <w:rsid w:val="00A510F6"/>
    <w:rsid w:val="00A523AF"/>
    <w:rsid w:val="00A55199"/>
    <w:rsid w:val="00A62088"/>
    <w:rsid w:val="00A64D0C"/>
    <w:rsid w:val="00A67E39"/>
    <w:rsid w:val="00A70AEE"/>
    <w:rsid w:val="00A72632"/>
    <w:rsid w:val="00A806AB"/>
    <w:rsid w:val="00A82EDA"/>
    <w:rsid w:val="00A918BB"/>
    <w:rsid w:val="00A950AF"/>
    <w:rsid w:val="00AA0A9D"/>
    <w:rsid w:val="00AA1C7C"/>
    <w:rsid w:val="00AA26B7"/>
    <w:rsid w:val="00AA2CED"/>
    <w:rsid w:val="00AB3FC2"/>
    <w:rsid w:val="00AB4150"/>
    <w:rsid w:val="00AB6861"/>
    <w:rsid w:val="00AC12E7"/>
    <w:rsid w:val="00AC17B9"/>
    <w:rsid w:val="00AC366C"/>
    <w:rsid w:val="00AC3926"/>
    <w:rsid w:val="00AC5634"/>
    <w:rsid w:val="00AC733F"/>
    <w:rsid w:val="00AD02D5"/>
    <w:rsid w:val="00AD1CB9"/>
    <w:rsid w:val="00AD2D41"/>
    <w:rsid w:val="00AD33C9"/>
    <w:rsid w:val="00AD7658"/>
    <w:rsid w:val="00AE48C5"/>
    <w:rsid w:val="00AE59CB"/>
    <w:rsid w:val="00AE5BFF"/>
    <w:rsid w:val="00AF0DA1"/>
    <w:rsid w:val="00B0029A"/>
    <w:rsid w:val="00B027AC"/>
    <w:rsid w:val="00B044EA"/>
    <w:rsid w:val="00B05711"/>
    <w:rsid w:val="00B116C2"/>
    <w:rsid w:val="00B1197A"/>
    <w:rsid w:val="00B1222F"/>
    <w:rsid w:val="00B2132A"/>
    <w:rsid w:val="00B233CE"/>
    <w:rsid w:val="00B23CB1"/>
    <w:rsid w:val="00B274E4"/>
    <w:rsid w:val="00B30505"/>
    <w:rsid w:val="00B32912"/>
    <w:rsid w:val="00B33D6E"/>
    <w:rsid w:val="00B3448F"/>
    <w:rsid w:val="00B35B3A"/>
    <w:rsid w:val="00B362D8"/>
    <w:rsid w:val="00B37A21"/>
    <w:rsid w:val="00B42D10"/>
    <w:rsid w:val="00B4385B"/>
    <w:rsid w:val="00B43BB2"/>
    <w:rsid w:val="00B4474B"/>
    <w:rsid w:val="00B466FE"/>
    <w:rsid w:val="00B53AD2"/>
    <w:rsid w:val="00B5633E"/>
    <w:rsid w:val="00B56BB4"/>
    <w:rsid w:val="00B62410"/>
    <w:rsid w:val="00B65A9B"/>
    <w:rsid w:val="00B71879"/>
    <w:rsid w:val="00B7335E"/>
    <w:rsid w:val="00B768B1"/>
    <w:rsid w:val="00B815B3"/>
    <w:rsid w:val="00B84A5B"/>
    <w:rsid w:val="00B901D7"/>
    <w:rsid w:val="00B9038F"/>
    <w:rsid w:val="00B9259E"/>
    <w:rsid w:val="00B94BCF"/>
    <w:rsid w:val="00B96268"/>
    <w:rsid w:val="00B965AB"/>
    <w:rsid w:val="00BA1983"/>
    <w:rsid w:val="00BA3CA9"/>
    <w:rsid w:val="00BA4E47"/>
    <w:rsid w:val="00BA78AC"/>
    <w:rsid w:val="00BA7DED"/>
    <w:rsid w:val="00BB2583"/>
    <w:rsid w:val="00BB29E1"/>
    <w:rsid w:val="00BB2FCC"/>
    <w:rsid w:val="00BB474F"/>
    <w:rsid w:val="00BB5D51"/>
    <w:rsid w:val="00BB62EA"/>
    <w:rsid w:val="00BB77B6"/>
    <w:rsid w:val="00BC151D"/>
    <w:rsid w:val="00BD27EC"/>
    <w:rsid w:val="00BD4B61"/>
    <w:rsid w:val="00BD564E"/>
    <w:rsid w:val="00BD7D2C"/>
    <w:rsid w:val="00BE4621"/>
    <w:rsid w:val="00BE71AA"/>
    <w:rsid w:val="00BF079E"/>
    <w:rsid w:val="00BF09C9"/>
    <w:rsid w:val="00BF27E8"/>
    <w:rsid w:val="00C01287"/>
    <w:rsid w:val="00C01684"/>
    <w:rsid w:val="00C05D9E"/>
    <w:rsid w:val="00C06C46"/>
    <w:rsid w:val="00C12DE8"/>
    <w:rsid w:val="00C15B4C"/>
    <w:rsid w:val="00C17831"/>
    <w:rsid w:val="00C24808"/>
    <w:rsid w:val="00C253AD"/>
    <w:rsid w:val="00C340C5"/>
    <w:rsid w:val="00C34DD1"/>
    <w:rsid w:val="00C73A32"/>
    <w:rsid w:val="00C74730"/>
    <w:rsid w:val="00C7544B"/>
    <w:rsid w:val="00C80B86"/>
    <w:rsid w:val="00C83DDE"/>
    <w:rsid w:val="00C9063C"/>
    <w:rsid w:val="00C91CEC"/>
    <w:rsid w:val="00C973BF"/>
    <w:rsid w:val="00CA3129"/>
    <w:rsid w:val="00CA5F0A"/>
    <w:rsid w:val="00CA7595"/>
    <w:rsid w:val="00CB2088"/>
    <w:rsid w:val="00CB23C2"/>
    <w:rsid w:val="00CB2E31"/>
    <w:rsid w:val="00CB31D2"/>
    <w:rsid w:val="00CB5F82"/>
    <w:rsid w:val="00CB6DCD"/>
    <w:rsid w:val="00CB7F77"/>
    <w:rsid w:val="00CC4E92"/>
    <w:rsid w:val="00CC6536"/>
    <w:rsid w:val="00CC677F"/>
    <w:rsid w:val="00CC7788"/>
    <w:rsid w:val="00CC7824"/>
    <w:rsid w:val="00CD08E0"/>
    <w:rsid w:val="00CD1DA0"/>
    <w:rsid w:val="00CD2351"/>
    <w:rsid w:val="00CD3F85"/>
    <w:rsid w:val="00CD67FE"/>
    <w:rsid w:val="00CD766E"/>
    <w:rsid w:val="00CE3ABD"/>
    <w:rsid w:val="00CE53BD"/>
    <w:rsid w:val="00CF0EE9"/>
    <w:rsid w:val="00CF1E2A"/>
    <w:rsid w:val="00D00786"/>
    <w:rsid w:val="00D00C00"/>
    <w:rsid w:val="00D016FD"/>
    <w:rsid w:val="00D027DC"/>
    <w:rsid w:val="00D062F1"/>
    <w:rsid w:val="00D1373C"/>
    <w:rsid w:val="00D222B3"/>
    <w:rsid w:val="00D30F78"/>
    <w:rsid w:val="00D35171"/>
    <w:rsid w:val="00D41A5B"/>
    <w:rsid w:val="00D42044"/>
    <w:rsid w:val="00D42D06"/>
    <w:rsid w:val="00D44D83"/>
    <w:rsid w:val="00D461CE"/>
    <w:rsid w:val="00D4736D"/>
    <w:rsid w:val="00D473FF"/>
    <w:rsid w:val="00D64AB2"/>
    <w:rsid w:val="00D72945"/>
    <w:rsid w:val="00D7752A"/>
    <w:rsid w:val="00D849F1"/>
    <w:rsid w:val="00D873B2"/>
    <w:rsid w:val="00D87831"/>
    <w:rsid w:val="00DA1B80"/>
    <w:rsid w:val="00DA4C71"/>
    <w:rsid w:val="00DA5888"/>
    <w:rsid w:val="00DA6CD7"/>
    <w:rsid w:val="00DA714D"/>
    <w:rsid w:val="00DB0133"/>
    <w:rsid w:val="00DB0F66"/>
    <w:rsid w:val="00DB2CC4"/>
    <w:rsid w:val="00DB2F99"/>
    <w:rsid w:val="00DB341F"/>
    <w:rsid w:val="00DB3787"/>
    <w:rsid w:val="00DB64EF"/>
    <w:rsid w:val="00DC30E9"/>
    <w:rsid w:val="00DC3CCC"/>
    <w:rsid w:val="00DC3D24"/>
    <w:rsid w:val="00DC5D85"/>
    <w:rsid w:val="00DD2BC1"/>
    <w:rsid w:val="00DE3862"/>
    <w:rsid w:val="00DE4CCC"/>
    <w:rsid w:val="00DE5E2C"/>
    <w:rsid w:val="00DF277C"/>
    <w:rsid w:val="00DF2AF0"/>
    <w:rsid w:val="00E02CED"/>
    <w:rsid w:val="00E04AE1"/>
    <w:rsid w:val="00E11F41"/>
    <w:rsid w:val="00E12908"/>
    <w:rsid w:val="00E147DC"/>
    <w:rsid w:val="00E14FE2"/>
    <w:rsid w:val="00E179D2"/>
    <w:rsid w:val="00E22733"/>
    <w:rsid w:val="00E261B4"/>
    <w:rsid w:val="00E3212D"/>
    <w:rsid w:val="00E36841"/>
    <w:rsid w:val="00E4080E"/>
    <w:rsid w:val="00E408CE"/>
    <w:rsid w:val="00E518AA"/>
    <w:rsid w:val="00E5678F"/>
    <w:rsid w:val="00E57144"/>
    <w:rsid w:val="00E614BA"/>
    <w:rsid w:val="00E65D7B"/>
    <w:rsid w:val="00E65D9E"/>
    <w:rsid w:val="00E72525"/>
    <w:rsid w:val="00E75ED1"/>
    <w:rsid w:val="00E7692D"/>
    <w:rsid w:val="00E80455"/>
    <w:rsid w:val="00E85858"/>
    <w:rsid w:val="00E86F88"/>
    <w:rsid w:val="00E92406"/>
    <w:rsid w:val="00E943F1"/>
    <w:rsid w:val="00E94E74"/>
    <w:rsid w:val="00EA0033"/>
    <w:rsid w:val="00EA04CA"/>
    <w:rsid w:val="00EA06DD"/>
    <w:rsid w:val="00EA0E02"/>
    <w:rsid w:val="00EA12E5"/>
    <w:rsid w:val="00EA479A"/>
    <w:rsid w:val="00EB1629"/>
    <w:rsid w:val="00EB3D2E"/>
    <w:rsid w:val="00EB3D7B"/>
    <w:rsid w:val="00EB6C82"/>
    <w:rsid w:val="00EC1BAD"/>
    <w:rsid w:val="00EC3368"/>
    <w:rsid w:val="00EC3CAA"/>
    <w:rsid w:val="00EC6B9D"/>
    <w:rsid w:val="00EC7878"/>
    <w:rsid w:val="00EC7CAA"/>
    <w:rsid w:val="00ED429E"/>
    <w:rsid w:val="00ED6386"/>
    <w:rsid w:val="00ED7A4F"/>
    <w:rsid w:val="00ED7A74"/>
    <w:rsid w:val="00EE3BC7"/>
    <w:rsid w:val="00EF016F"/>
    <w:rsid w:val="00EF3329"/>
    <w:rsid w:val="00F0045F"/>
    <w:rsid w:val="00F01F9E"/>
    <w:rsid w:val="00F023CD"/>
    <w:rsid w:val="00F0317B"/>
    <w:rsid w:val="00F06588"/>
    <w:rsid w:val="00F10726"/>
    <w:rsid w:val="00F17561"/>
    <w:rsid w:val="00F17772"/>
    <w:rsid w:val="00F17778"/>
    <w:rsid w:val="00F206EB"/>
    <w:rsid w:val="00F2468C"/>
    <w:rsid w:val="00F249F4"/>
    <w:rsid w:val="00F324F1"/>
    <w:rsid w:val="00F32C64"/>
    <w:rsid w:val="00F338ED"/>
    <w:rsid w:val="00F40C38"/>
    <w:rsid w:val="00F513CD"/>
    <w:rsid w:val="00F51EDF"/>
    <w:rsid w:val="00F56A14"/>
    <w:rsid w:val="00F56DC1"/>
    <w:rsid w:val="00F64913"/>
    <w:rsid w:val="00F67390"/>
    <w:rsid w:val="00F67566"/>
    <w:rsid w:val="00F718CA"/>
    <w:rsid w:val="00F7423A"/>
    <w:rsid w:val="00F755F1"/>
    <w:rsid w:val="00F75A7F"/>
    <w:rsid w:val="00F75B4F"/>
    <w:rsid w:val="00F75CBB"/>
    <w:rsid w:val="00F85C0D"/>
    <w:rsid w:val="00F92D0A"/>
    <w:rsid w:val="00F954AA"/>
    <w:rsid w:val="00F96B91"/>
    <w:rsid w:val="00FA35AA"/>
    <w:rsid w:val="00FB30D1"/>
    <w:rsid w:val="00FB48C9"/>
    <w:rsid w:val="00FB64BA"/>
    <w:rsid w:val="00FC2CFC"/>
    <w:rsid w:val="00FC6EFE"/>
    <w:rsid w:val="00FC7A5B"/>
    <w:rsid w:val="00FD0CDA"/>
    <w:rsid w:val="00FD14C0"/>
    <w:rsid w:val="00FD4484"/>
    <w:rsid w:val="00FD4DF7"/>
    <w:rsid w:val="00FE09EC"/>
    <w:rsid w:val="00FE0FAC"/>
    <w:rsid w:val="00FE4A76"/>
    <w:rsid w:val="00FE5301"/>
    <w:rsid w:val="00FF0A9A"/>
    <w:rsid w:val="00FF253E"/>
    <w:rsid w:val="00FF7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D7ACA1-D208-4F4A-81EF-2424CAA7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pPr>
        <w:spacing w:before="160"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2F"/>
    <w:rPr>
      <w:lang w:val="en-US"/>
    </w:rPr>
  </w:style>
  <w:style w:type="paragraph" w:styleId="Heading1">
    <w:name w:val="heading 1"/>
    <w:basedOn w:val="Normal"/>
    <w:next w:val="Normal"/>
    <w:link w:val="Heading1Char"/>
    <w:uiPriority w:val="9"/>
    <w:unhideWhenUsed/>
    <w:qFormat/>
    <w:rsid w:val="00E147DC"/>
    <w:pPr>
      <w:pageBreakBefore/>
      <w:numPr>
        <w:numId w:val="11"/>
      </w:numPr>
      <w:spacing w:before="640" w:after="320"/>
      <w:outlineLvl w:val="0"/>
    </w:pPr>
    <w:rPr>
      <w:b/>
      <w:color w:val="6A2875"/>
      <w:sz w:val="36"/>
    </w:rPr>
  </w:style>
  <w:style w:type="paragraph" w:styleId="Heading2">
    <w:name w:val="heading 2"/>
    <w:basedOn w:val="Normal"/>
    <w:next w:val="Normal"/>
    <w:link w:val="Heading2Char"/>
    <w:uiPriority w:val="9"/>
    <w:unhideWhenUsed/>
    <w:qFormat/>
    <w:rsid w:val="00F64913"/>
    <w:pPr>
      <w:keepNext/>
      <w:numPr>
        <w:ilvl w:val="1"/>
        <w:numId w:val="11"/>
      </w:numPr>
      <w:shd w:val="clear" w:color="auto" w:fill="FFFFFF" w:themeFill="background1"/>
      <w:spacing w:before="480"/>
      <w:ind w:left="578" w:hanging="578"/>
      <w:outlineLvl w:val="1"/>
    </w:pPr>
    <w:rPr>
      <w:b/>
      <w:color w:val="6A2875"/>
      <w:sz w:val="28"/>
      <w:lang w:val="en-AU"/>
    </w:rPr>
  </w:style>
  <w:style w:type="paragraph" w:styleId="Heading3">
    <w:name w:val="heading 3"/>
    <w:basedOn w:val="Normal"/>
    <w:next w:val="Normal"/>
    <w:link w:val="Heading3Char"/>
    <w:uiPriority w:val="9"/>
    <w:unhideWhenUsed/>
    <w:qFormat/>
    <w:rsid w:val="00BF27E8"/>
    <w:pPr>
      <w:keepNext/>
      <w:spacing w:before="240"/>
      <w:outlineLvl w:val="2"/>
    </w:pPr>
    <w:rPr>
      <w:b/>
      <w:i/>
      <w:color w:val="6B2976" w:themeColor="accent4"/>
      <w:lang w:eastAsia="en-AU"/>
    </w:rPr>
  </w:style>
  <w:style w:type="paragraph" w:styleId="Heading4">
    <w:name w:val="heading 4"/>
    <w:basedOn w:val="Normal"/>
    <w:next w:val="Normal"/>
    <w:link w:val="Heading4Char"/>
    <w:uiPriority w:val="9"/>
    <w:unhideWhenUsed/>
    <w:qFormat/>
    <w:rsid w:val="00E147DC"/>
    <w:pPr>
      <w:keepNext/>
      <w:spacing w:after="80"/>
      <w:jc w:val="both"/>
      <w:outlineLvl w:val="3"/>
    </w:pPr>
    <w:rPr>
      <w:b/>
      <w:smallCaps/>
      <w:color w:val="6B2976" w:themeColor="accent4"/>
      <w:spacing w:val="10"/>
      <w:szCs w:val="22"/>
      <w:lang w:val="en-AU"/>
    </w:rPr>
  </w:style>
  <w:style w:type="paragraph" w:styleId="Heading5">
    <w:name w:val="heading 5"/>
    <w:basedOn w:val="Normal"/>
    <w:next w:val="Normal"/>
    <w:link w:val="Heading5Char"/>
    <w:uiPriority w:val="9"/>
    <w:unhideWhenUsed/>
    <w:rsid w:val="00E147DC"/>
    <w:pPr>
      <w:numPr>
        <w:ilvl w:val="4"/>
        <w:numId w:val="11"/>
      </w:numPr>
      <w:spacing w:before="200" w:after="0"/>
      <w:outlineLvl w:val="4"/>
    </w:pPr>
    <w:rPr>
      <w:rFonts w:eastAsiaTheme="minorEastAsia"/>
      <w:smallCaps/>
      <w:color w:val="943634" w:themeColor="accent2" w:themeShade="BF"/>
      <w:spacing w:val="10"/>
      <w:szCs w:val="26"/>
    </w:rPr>
  </w:style>
  <w:style w:type="paragraph" w:styleId="Heading6">
    <w:name w:val="heading 6"/>
    <w:basedOn w:val="Normal"/>
    <w:next w:val="Normal"/>
    <w:link w:val="Heading6Char"/>
    <w:uiPriority w:val="9"/>
    <w:semiHidden/>
    <w:unhideWhenUsed/>
    <w:rsid w:val="00E147DC"/>
    <w:pPr>
      <w:numPr>
        <w:ilvl w:val="5"/>
        <w:numId w:val="11"/>
      </w:numPr>
      <w:spacing w:after="0"/>
      <w:outlineLvl w:val="5"/>
    </w:pPr>
    <w:rPr>
      <w:rFonts w:eastAsiaTheme="minorEastAsia"/>
      <w:smallCaps/>
      <w:color w:val="C0504D" w:themeColor="accent2"/>
      <w:spacing w:val="5"/>
    </w:rPr>
  </w:style>
  <w:style w:type="paragraph" w:styleId="Heading7">
    <w:name w:val="heading 7"/>
    <w:basedOn w:val="Normal"/>
    <w:next w:val="Normal"/>
    <w:link w:val="Heading7Char"/>
    <w:uiPriority w:val="9"/>
    <w:semiHidden/>
    <w:unhideWhenUsed/>
    <w:qFormat/>
    <w:rsid w:val="00E147DC"/>
    <w:pPr>
      <w:numPr>
        <w:ilvl w:val="6"/>
        <w:numId w:val="11"/>
      </w:numPr>
      <w:spacing w:after="0"/>
      <w:outlineLvl w:val="6"/>
    </w:pPr>
    <w:rPr>
      <w:rFonts w:eastAsiaTheme="minorEastAsia"/>
      <w:b/>
      <w:smallCaps/>
      <w:color w:val="C0504D" w:themeColor="accent2"/>
      <w:spacing w:val="10"/>
      <w:sz w:val="20"/>
    </w:rPr>
  </w:style>
  <w:style w:type="paragraph" w:styleId="Heading8">
    <w:name w:val="heading 8"/>
    <w:basedOn w:val="Normal"/>
    <w:next w:val="Normal"/>
    <w:link w:val="Heading8Char"/>
    <w:uiPriority w:val="9"/>
    <w:semiHidden/>
    <w:unhideWhenUsed/>
    <w:qFormat/>
    <w:rsid w:val="00E147DC"/>
    <w:pPr>
      <w:numPr>
        <w:ilvl w:val="7"/>
        <w:numId w:val="11"/>
      </w:numPr>
      <w:spacing w:after="0"/>
      <w:outlineLvl w:val="7"/>
    </w:pPr>
    <w:rPr>
      <w:rFonts w:eastAsiaTheme="minorEastAsia"/>
      <w:b/>
      <w:i/>
      <w:smallCaps/>
      <w:color w:val="943634" w:themeColor="accent2" w:themeShade="BF"/>
      <w:sz w:val="20"/>
    </w:rPr>
  </w:style>
  <w:style w:type="paragraph" w:styleId="Heading9">
    <w:name w:val="heading 9"/>
    <w:basedOn w:val="Normal"/>
    <w:next w:val="Normal"/>
    <w:link w:val="Heading9Char"/>
    <w:uiPriority w:val="9"/>
    <w:semiHidden/>
    <w:unhideWhenUsed/>
    <w:qFormat/>
    <w:rsid w:val="00E147DC"/>
    <w:pPr>
      <w:numPr>
        <w:ilvl w:val="8"/>
        <w:numId w:val="11"/>
      </w:numPr>
      <w:spacing w:after="0"/>
      <w:outlineLvl w:val="8"/>
    </w:pPr>
    <w:rPr>
      <w:rFonts w:eastAsiaTheme="minorEastAsia"/>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7DC"/>
    <w:rPr>
      <w:b/>
      <w:color w:val="6A2875"/>
      <w:sz w:val="36"/>
      <w:lang w:val="en-US"/>
    </w:rPr>
  </w:style>
  <w:style w:type="character" w:customStyle="1" w:styleId="Heading2Char">
    <w:name w:val="Heading 2 Char"/>
    <w:basedOn w:val="DefaultParagraphFont"/>
    <w:link w:val="Heading2"/>
    <w:uiPriority w:val="9"/>
    <w:rsid w:val="00F64913"/>
    <w:rPr>
      <w:b/>
      <w:color w:val="6A2875"/>
      <w:sz w:val="28"/>
      <w:shd w:val="clear" w:color="auto" w:fill="FFFFFF" w:themeFill="background1"/>
    </w:rPr>
  </w:style>
  <w:style w:type="character" w:customStyle="1" w:styleId="Heading3Char">
    <w:name w:val="Heading 3 Char"/>
    <w:basedOn w:val="DefaultParagraphFont"/>
    <w:link w:val="Heading3"/>
    <w:uiPriority w:val="9"/>
    <w:rsid w:val="00BF27E8"/>
    <w:rPr>
      <w:b/>
      <w:i/>
      <w:color w:val="6B2976" w:themeColor="accent4"/>
      <w:lang w:val="en-US" w:eastAsia="en-AU"/>
    </w:rPr>
  </w:style>
  <w:style w:type="character" w:customStyle="1" w:styleId="Heading4Char">
    <w:name w:val="Heading 4 Char"/>
    <w:basedOn w:val="DefaultParagraphFont"/>
    <w:link w:val="Heading4"/>
    <w:uiPriority w:val="9"/>
    <w:rsid w:val="00E147DC"/>
    <w:rPr>
      <w:b/>
      <w:smallCaps/>
      <w:color w:val="6B2976" w:themeColor="accent4"/>
      <w:spacing w:val="10"/>
      <w:szCs w:val="22"/>
    </w:rPr>
  </w:style>
  <w:style w:type="character" w:customStyle="1" w:styleId="Heading5Char">
    <w:name w:val="Heading 5 Char"/>
    <w:basedOn w:val="DefaultParagraphFont"/>
    <w:link w:val="Heading5"/>
    <w:uiPriority w:val="9"/>
    <w:rsid w:val="00E147DC"/>
    <w:rPr>
      <w:rFonts w:eastAsiaTheme="minorEastAsia"/>
      <w:smallCaps/>
      <w:color w:val="943634" w:themeColor="accent2" w:themeShade="BF"/>
      <w:spacing w:val="10"/>
      <w:szCs w:val="26"/>
      <w:lang w:val="en-US"/>
    </w:rPr>
  </w:style>
  <w:style w:type="character" w:customStyle="1" w:styleId="Heading6Char">
    <w:name w:val="Heading 6 Char"/>
    <w:basedOn w:val="DefaultParagraphFont"/>
    <w:link w:val="Heading6"/>
    <w:uiPriority w:val="9"/>
    <w:semiHidden/>
    <w:rsid w:val="00E147DC"/>
    <w:rPr>
      <w:rFonts w:eastAsiaTheme="minorEastAsia"/>
      <w:smallCaps/>
      <w:color w:val="C0504D" w:themeColor="accent2"/>
      <w:spacing w:val="5"/>
      <w:lang w:val="en-US"/>
    </w:rPr>
  </w:style>
  <w:style w:type="character" w:customStyle="1" w:styleId="Heading7Char">
    <w:name w:val="Heading 7 Char"/>
    <w:basedOn w:val="DefaultParagraphFont"/>
    <w:link w:val="Heading7"/>
    <w:uiPriority w:val="9"/>
    <w:semiHidden/>
    <w:rsid w:val="00E147DC"/>
    <w:rPr>
      <w:rFonts w:eastAsiaTheme="minorEastAsia"/>
      <w:b/>
      <w:smallCaps/>
      <w:color w:val="C0504D" w:themeColor="accent2"/>
      <w:spacing w:val="10"/>
      <w:sz w:val="20"/>
      <w:lang w:val="en-US"/>
    </w:rPr>
  </w:style>
  <w:style w:type="character" w:customStyle="1" w:styleId="Heading8Char">
    <w:name w:val="Heading 8 Char"/>
    <w:basedOn w:val="DefaultParagraphFont"/>
    <w:link w:val="Heading8"/>
    <w:uiPriority w:val="9"/>
    <w:semiHidden/>
    <w:rsid w:val="00E147DC"/>
    <w:rPr>
      <w:rFonts w:eastAsiaTheme="minorEastAsia"/>
      <w:b/>
      <w:i/>
      <w:smallCaps/>
      <w:color w:val="943634" w:themeColor="accent2" w:themeShade="BF"/>
      <w:sz w:val="20"/>
      <w:lang w:val="en-US"/>
    </w:rPr>
  </w:style>
  <w:style w:type="character" w:customStyle="1" w:styleId="Heading9Char">
    <w:name w:val="Heading 9 Char"/>
    <w:basedOn w:val="DefaultParagraphFont"/>
    <w:link w:val="Heading9"/>
    <w:uiPriority w:val="9"/>
    <w:semiHidden/>
    <w:rsid w:val="00E147DC"/>
    <w:rPr>
      <w:rFonts w:eastAsiaTheme="minorEastAsia"/>
      <w:b/>
      <w:i/>
      <w:smallCaps/>
      <w:color w:val="622423" w:themeColor="accent2" w:themeShade="7F"/>
      <w:sz w:val="20"/>
      <w:lang w:val="en-US"/>
    </w:rPr>
  </w:style>
  <w:style w:type="paragraph" w:styleId="BalloonText">
    <w:name w:val="Balloon Text"/>
    <w:basedOn w:val="Normal"/>
    <w:link w:val="BalloonTextChar"/>
    <w:uiPriority w:val="99"/>
    <w:semiHidden/>
    <w:unhideWhenUsed/>
    <w:rsid w:val="00E147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DC"/>
    <w:rPr>
      <w:rFonts w:ascii="Segoe UI" w:hAnsi="Segoe UI" w:cs="Segoe UI"/>
      <w:sz w:val="18"/>
      <w:szCs w:val="18"/>
      <w:lang w:val="en-US"/>
    </w:rPr>
  </w:style>
  <w:style w:type="paragraph" w:styleId="Footer">
    <w:name w:val="footer"/>
    <w:basedOn w:val="Normal"/>
    <w:link w:val="FooterChar"/>
    <w:uiPriority w:val="99"/>
    <w:unhideWhenUsed/>
    <w:qFormat/>
    <w:rsid w:val="0098062D"/>
    <w:pPr>
      <w:tabs>
        <w:tab w:val="center" w:pos="4513"/>
        <w:tab w:val="right" w:pos="9026"/>
      </w:tabs>
      <w:spacing w:before="0" w:after="0" w:line="240" w:lineRule="auto"/>
      <w:jc w:val="center"/>
    </w:pPr>
    <w:rPr>
      <w:noProof/>
    </w:rPr>
  </w:style>
  <w:style w:type="character" w:customStyle="1" w:styleId="FooterChar">
    <w:name w:val="Footer Char"/>
    <w:basedOn w:val="DefaultParagraphFont"/>
    <w:link w:val="Footer"/>
    <w:uiPriority w:val="99"/>
    <w:rsid w:val="0098062D"/>
    <w:rPr>
      <w:noProof/>
      <w:lang w:val="en-US"/>
    </w:rPr>
  </w:style>
  <w:style w:type="paragraph" w:styleId="Header">
    <w:name w:val="header"/>
    <w:basedOn w:val="Normal"/>
    <w:link w:val="HeaderChar"/>
    <w:unhideWhenUsed/>
    <w:rsid w:val="00E147DC"/>
    <w:pPr>
      <w:tabs>
        <w:tab w:val="center" w:pos="4513"/>
        <w:tab w:val="right" w:pos="9026"/>
      </w:tabs>
      <w:spacing w:before="0" w:after="0" w:line="240" w:lineRule="auto"/>
    </w:pPr>
  </w:style>
  <w:style w:type="character" w:customStyle="1" w:styleId="HeaderChar">
    <w:name w:val="Header Char"/>
    <w:basedOn w:val="DefaultParagraphFont"/>
    <w:link w:val="Header"/>
    <w:rsid w:val="00E147DC"/>
    <w:rPr>
      <w:lang w:val="en-US"/>
    </w:rPr>
  </w:style>
  <w:style w:type="paragraph" w:styleId="FootnoteText">
    <w:name w:val="footnote text"/>
    <w:basedOn w:val="Normal"/>
    <w:link w:val="FootnoteTextChar"/>
    <w:uiPriority w:val="99"/>
    <w:unhideWhenUsed/>
    <w:qFormat/>
    <w:rsid w:val="003F675A"/>
    <w:pPr>
      <w:spacing w:before="0" w:after="120" w:line="240" w:lineRule="atLeast"/>
      <w:ind w:left="284" w:hanging="284"/>
    </w:pPr>
    <w:rPr>
      <w:sz w:val="20"/>
      <w:szCs w:val="20"/>
    </w:rPr>
  </w:style>
  <w:style w:type="character" w:customStyle="1" w:styleId="FootnoteTextChar">
    <w:name w:val="Footnote Text Char"/>
    <w:basedOn w:val="DefaultParagraphFont"/>
    <w:link w:val="FootnoteText"/>
    <w:uiPriority w:val="99"/>
    <w:rsid w:val="003F675A"/>
    <w:rPr>
      <w:sz w:val="20"/>
      <w:szCs w:val="20"/>
      <w:lang w:val="en-US"/>
    </w:rPr>
  </w:style>
  <w:style w:type="character" w:styleId="Hyperlink">
    <w:name w:val="Hyperlink"/>
    <w:basedOn w:val="DefaultParagraphFont"/>
    <w:uiPriority w:val="99"/>
    <w:unhideWhenUsed/>
    <w:qFormat/>
    <w:rsid w:val="00E147DC"/>
    <w:rPr>
      <w:color w:val="0000FF" w:themeColor="hyperlink"/>
      <w:u w:val="single"/>
    </w:rPr>
  </w:style>
  <w:style w:type="paragraph" w:styleId="Revision">
    <w:name w:val="Revision"/>
    <w:hidden/>
    <w:uiPriority w:val="99"/>
    <w:semiHidden/>
    <w:rsid w:val="00CD766E"/>
    <w:pPr>
      <w:spacing w:after="0" w:line="240" w:lineRule="auto"/>
    </w:pPr>
  </w:style>
  <w:style w:type="character" w:styleId="FootnoteReference">
    <w:name w:val="footnote reference"/>
    <w:basedOn w:val="DefaultParagraphFont"/>
    <w:uiPriority w:val="99"/>
    <w:unhideWhenUsed/>
    <w:rsid w:val="003F675A"/>
    <w:rPr>
      <w:vertAlign w:val="superscript"/>
    </w:rPr>
  </w:style>
  <w:style w:type="paragraph" w:styleId="Caption">
    <w:name w:val="caption"/>
    <w:basedOn w:val="Normal"/>
    <w:next w:val="Normal"/>
    <w:link w:val="CaptionChar"/>
    <w:unhideWhenUsed/>
    <w:qFormat/>
    <w:rsid w:val="002241F5"/>
    <w:pPr>
      <w:keepNext/>
      <w:pBdr>
        <w:bottom w:val="single" w:sz="18" w:space="1" w:color="6B2976" w:themeColor="accent4"/>
      </w:pBdr>
      <w:shd w:val="clear" w:color="auto" w:fill="FFFFFF" w:themeFill="background1"/>
      <w:spacing w:before="320"/>
      <w:jc w:val="center"/>
    </w:pPr>
    <w:rPr>
      <w:b/>
      <w:i/>
      <w:iCs/>
      <w:color w:val="6B2976" w:themeColor="accent4"/>
      <w:sz w:val="20"/>
      <w:szCs w:val="20"/>
    </w:rPr>
  </w:style>
  <w:style w:type="table" w:styleId="GridTable4-Accent4">
    <w:name w:val="Grid Table 4 Accent 4"/>
    <w:basedOn w:val="TableNormal"/>
    <w:uiPriority w:val="49"/>
    <w:rsid w:val="00884404"/>
    <w:pPr>
      <w:spacing w:before="60" w:after="60" w:line="240" w:lineRule="atLeast"/>
    </w:pPr>
    <w:rPr>
      <w:sz w:val="18"/>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
    <w:name w:val="Table Grid"/>
    <w:basedOn w:val="TableNormal"/>
    <w:uiPriority w:val="59"/>
    <w:rsid w:val="002241F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1F5"/>
    <w:pPr>
      <w:ind w:left="720"/>
      <w:contextualSpacing/>
    </w:pPr>
  </w:style>
  <w:style w:type="paragraph" w:customStyle="1" w:styleId="NDISParagraph">
    <w:name w:val="NDIS Paragraph"/>
    <w:basedOn w:val="Normal"/>
    <w:rsid w:val="002241F5"/>
    <w:pPr>
      <w:spacing w:before="80" w:after="40" w:line="240" w:lineRule="atLeast"/>
    </w:pPr>
    <w:rPr>
      <w:rFonts w:eastAsia="Times New Roman" w:cs="Arial"/>
      <w:sz w:val="22"/>
      <w:szCs w:val="22"/>
      <w:lang w:val="en-AU" w:eastAsia="en-AU"/>
    </w:rPr>
  </w:style>
  <w:style w:type="character" w:customStyle="1" w:styleId="CaptionChar">
    <w:name w:val="Caption Char"/>
    <w:basedOn w:val="DefaultParagraphFont"/>
    <w:link w:val="Caption"/>
    <w:locked/>
    <w:rsid w:val="00C01684"/>
    <w:rPr>
      <w:b/>
      <w:i/>
      <w:iCs/>
      <w:color w:val="6B2976" w:themeColor="accent4"/>
      <w:sz w:val="20"/>
      <w:szCs w:val="20"/>
      <w:shd w:val="clear" w:color="auto" w:fill="FFFFFF" w:themeFill="background1"/>
      <w:lang w:val="en-US"/>
    </w:rPr>
  </w:style>
  <w:style w:type="character" w:styleId="CommentReference">
    <w:name w:val="annotation reference"/>
    <w:basedOn w:val="DefaultParagraphFont"/>
    <w:uiPriority w:val="99"/>
    <w:semiHidden/>
    <w:unhideWhenUsed/>
    <w:rsid w:val="005924E5"/>
    <w:rPr>
      <w:sz w:val="16"/>
      <w:szCs w:val="16"/>
    </w:rPr>
  </w:style>
  <w:style w:type="paragraph" w:styleId="CommentText">
    <w:name w:val="annotation text"/>
    <w:basedOn w:val="Normal"/>
    <w:link w:val="CommentTextChar"/>
    <w:uiPriority w:val="99"/>
    <w:semiHidden/>
    <w:unhideWhenUsed/>
    <w:rsid w:val="005924E5"/>
    <w:pPr>
      <w:spacing w:line="240" w:lineRule="auto"/>
    </w:pPr>
    <w:rPr>
      <w:sz w:val="20"/>
      <w:szCs w:val="20"/>
    </w:rPr>
  </w:style>
  <w:style w:type="character" w:customStyle="1" w:styleId="CommentTextChar">
    <w:name w:val="Comment Text Char"/>
    <w:basedOn w:val="DefaultParagraphFont"/>
    <w:link w:val="CommentText"/>
    <w:uiPriority w:val="99"/>
    <w:semiHidden/>
    <w:rsid w:val="005924E5"/>
    <w:rPr>
      <w:sz w:val="20"/>
      <w:szCs w:val="20"/>
      <w:lang w:val="en-US"/>
    </w:rPr>
  </w:style>
  <w:style w:type="paragraph" w:styleId="CommentSubject">
    <w:name w:val="annotation subject"/>
    <w:basedOn w:val="CommentText"/>
    <w:next w:val="CommentText"/>
    <w:link w:val="CommentSubjectChar"/>
    <w:uiPriority w:val="99"/>
    <w:semiHidden/>
    <w:unhideWhenUsed/>
    <w:rsid w:val="005924E5"/>
    <w:rPr>
      <w:b/>
      <w:bCs/>
    </w:rPr>
  </w:style>
  <w:style w:type="character" w:customStyle="1" w:styleId="CommentSubjectChar">
    <w:name w:val="Comment Subject Char"/>
    <w:basedOn w:val="CommentTextChar"/>
    <w:link w:val="CommentSubject"/>
    <w:uiPriority w:val="99"/>
    <w:semiHidden/>
    <w:rsid w:val="005924E5"/>
    <w:rPr>
      <w:b/>
      <w:bCs/>
      <w:sz w:val="20"/>
      <w:szCs w:val="20"/>
      <w:lang w:val="en-US"/>
    </w:rPr>
  </w:style>
  <w:style w:type="paragraph" w:styleId="NormalWeb">
    <w:name w:val="Normal (Web)"/>
    <w:basedOn w:val="Normal"/>
    <w:uiPriority w:val="99"/>
    <w:semiHidden/>
    <w:unhideWhenUsed/>
    <w:rsid w:val="0098062D"/>
    <w:pPr>
      <w:spacing w:before="100" w:beforeAutospacing="1" w:after="100" w:afterAutospacing="1" w:line="240" w:lineRule="auto"/>
    </w:pPr>
    <w:rPr>
      <w:rFonts w:ascii="Times New Roman" w:eastAsiaTheme="minorEastAsia" w:hAnsi="Times New Roman" w:cs="Times New Roman"/>
      <w:lang w:val="en-AU" w:eastAsia="en-AU"/>
    </w:rPr>
  </w:style>
  <w:style w:type="paragraph" w:customStyle="1" w:styleId="Doctitle">
    <w:name w:val="Doc title"/>
    <w:basedOn w:val="Title"/>
    <w:next w:val="Normal"/>
    <w:uiPriority w:val="9"/>
    <w:qFormat/>
    <w:rsid w:val="0098062D"/>
    <w:pPr>
      <w:spacing w:before="1080" w:beforeAutospacing="1" w:after="100" w:afterAutospacing="1" w:line="264" w:lineRule="auto"/>
    </w:pPr>
    <w:rPr>
      <w:rFonts w:asciiTheme="minorHAnsi" w:hAnsiTheme="minorHAnsi"/>
      <w:b/>
      <w:noProof/>
      <w:color w:val="FFFFFF" w:themeColor="background1"/>
      <w:spacing w:val="5"/>
      <w:kern w:val="0"/>
      <w:sz w:val="72"/>
      <w:szCs w:val="72"/>
      <w:lang w:val="en-AU" w:eastAsia="en-AU"/>
    </w:rPr>
  </w:style>
  <w:style w:type="paragraph" w:styleId="Title">
    <w:name w:val="Title"/>
    <w:basedOn w:val="Normal"/>
    <w:next w:val="Normal"/>
    <w:link w:val="TitleChar"/>
    <w:uiPriority w:val="10"/>
    <w:qFormat/>
    <w:rsid w:val="0098062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62D"/>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C80B86"/>
    <w:pPr>
      <w:numPr>
        <w:numId w:val="0"/>
      </w:numPr>
      <w:ind w:left="431" w:hanging="431"/>
      <w:outlineLvl w:val="9"/>
    </w:pPr>
  </w:style>
  <w:style w:type="paragraph" w:styleId="TOC1">
    <w:name w:val="toc 1"/>
    <w:basedOn w:val="Normal"/>
    <w:next w:val="Normal"/>
    <w:autoRedefine/>
    <w:uiPriority w:val="39"/>
    <w:unhideWhenUsed/>
    <w:rsid w:val="0098062D"/>
    <w:pPr>
      <w:spacing w:after="100"/>
    </w:pPr>
  </w:style>
  <w:style w:type="paragraph" w:styleId="TOC2">
    <w:name w:val="toc 2"/>
    <w:basedOn w:val="Normal"/>
    <w:next w:val="Normal"/>
    <w:autoRedefine/>
    <w:uiPriority w:val="39"/>
    <w:unhideWhenUsed/>
    <w:rsid w:val="004F1824"/>
    <w:pPr>
      <w:tabs>
        <w:tab w:val="left" w:pos="880"/>
        <w:tab w:val="right" w:leader="dot" w:pos="9016"/>
      </w:tabs>
      <w:spacing w:after="100"/>
      <w:ind w:left="240"/>
    </w:pPr>
  </w:style>
  <w:style w:type="paragraph" w:styleId="TOC3">
    <w:name w:val="toc 3"/>
    <w:basedOn w:val="Normal"/>
    <w:next w:val="Normal"/>
    <w:autoRedefine/>
    <w:uiPriority w:val="39"/>
    <w:unhideWhenUsed/>
    <w:rsid w:val="0098062D"/>
    <w:pPr>
      <w:spacing w:after="100"/>
      <w:ind w:left="480"/>
    </w:pPr>
  </w:style>
  <w:style w:type="character" w:styleId="FollowedHyperlink">
    <w:name w:val="FollowedHyperlink"/>
    <w:basedOn w:val="DefaultParagraphFont"/>
    <w:uiPriority w:val="99"/>
    <w:semiHidden/>
    <w:unhideWhenUsed/>
    <w:rsid w:val="00F64913"/>
    <w:rPr>
      <w:color w:val="800080" w:themeColor="followedHyperlink"/>
      <w:u w:val="single"/>
    </w:rPr>
  </w:style>
  <w:style w:type="table" w:customStyle="1" w:styleId="GridTable4-Accent41">
    <w:name w:val="Grid Table 4 - Accent 41"/>
    <w:basedOn w:val="TableNormal"/>
    <w:next w:val="GridTable4-Accent4"/>
    <w:uiPriority w:val="49"/>
    <w:rsid w:val="00907C65"/>
    <w:pPr>
      <w:spacing w:before="60" w:after="60" w:line="240" w:lineRule="atLeast"/>
    </w:pPr>
    <w:rPr>
      <w:sz w:val="18"/>
    </w:rPr>
    <w:tblPr>
      <w:tblStyleRowBandSize w:val="1"/>
      <w:tblStyleColBandSize w:val="1"/>
      <w:tblBorders>
        <w:top w:val="single" w:sz="4" w:space="0" w:color="B962C8"/>
        <w:left w:val="single" w:sz="4" w:space="0" w:color="B962C8"/>
        <w:bottom w:val="single" w:sz="4" w:space="0" w:color="B962C8"/>
        <w:right w:val="single" w:sz="4" w:space="0" w:color="B962C8"/>
        <w:insideH w:val="single" w:sz="4" w:space="0" w:color="B962C8"/>
        <w:insideV w:val="single" w:sz="4" w:space="0" w:color="B962C8"/>
      </w:tblBorders>
    </w:tblPr>
    <w:tblStylePr w:type="firstRow">
      <w:rPr>
        <w:b/>
        <w:bCs/>
        <w:color w:val="FFFFFF"/>
      </w:rPr>
      <w:tblPr/>
      <w:tcPr>
        <w:tcBorders>
          <w:top w:val="single" w:sz="4" w:space="0" w:color="6B2976"/>
          <w:left w:val="single" w:sz="4" w:space="0" w:color="6B2976"/>
          <w:bottom w:val="single" w:sz="4" w:space="0" w:color="6B2976"/>
          <w:right w:val="single" w:sz="4" w:space="0" w:color="6B2976"/>
          <w:insideH w:val="nil"/>
          <w:insideV w:val="nil"/>
        </w:tcBorders>
        <w:shd w:val="clear" w:color="auto" w:fill="6B2976"/>
      </w:tcPr>
    </w:tblStylePr>
    <w:tblStylePr w:type="lastRow">
      <w:rPr>
        <w:b/>
        <w:bCs/>
      </w:rPr>
      <w:tblPr/>
      <w:tcPr>
        <w:tcBorders>
          <w:top w:val="double" w:sz="4" w:space="0" w:color="6B2976"/>
        </w:tcBorders>
      </w:tcPr>
    </w:tblStylePr>
    <w:tblStylePr w:type="firstCol">
      <w:rPr>
        <w:b/>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 w:type="table" w:customStyle="1" w:styleId="GridTable4-Accent42">
    <w:name w:val="Grid Table 4 - Accent 42"/>
    <w:basedOn w:val="TableNormal"/>
    <w:next w:val="GridTable4-Accent4"/>
    <w:uiPriority w:val="49"/>
    <w:rsid w:val="00907C65"/>
    <w:pPr>
      <w:spacing w:before="60" w:after="60" w:line="240" w:lineRule="atLeast"/>
    </w:pPr>
    <w:rPr>
      <w:sz w:val="18"/>
    </w:rPr>
    <w:tblPr>
      <w:tblStyleRowBandSize w:val="1"/>
      <w:tblStyleColBandSize w:val="1"/>
      <w:tblBorders>
        <w:top w:val="single" w:sz="4" w:space="0" w:color="B962C8"/>
        <w:left w:val="single" w:sz="4" w:space="0" w:color="B962C8"/>
        <w:bottom w:val="single" w:sz="4" w:space="0" w:color="B962C8"/>
        <w:right w:val="single" w:sz="4" w:space="0" w:color="B962C8"/>
        <w:insideH w:val="single" w:sz="4" w:space="0" w:color="B962C8"/>
        <w:insideV w:val="single" w:sz="4" w:space="0" w:color="B962C8"/>
      </w:tblBorders>
    </w:tblPr>
    <w:tblStylePr w:type="firstRow">
      <w:rPr>
        <w:b/>
        <w:bCs/>
        <w:color w:val="FFFFFF"/>
      </w:rPr>
      <w:tblPr/>
      <w:tcPr>
        <w:tcBorders>
          <w:top w:val="single" w:sz="4" w:space="0" w:color="6B2976"/>
          <w:left w:val="single" w:sz="4" w:space="0" w:color="6B2976"/>
          <w:bottom w:val="single" w:sz="4" w:space="0" w:color="6B2976"/>
          <w:right w:val="single" w:sz="4" w:space="0" w:color="6B2976"/>
          <w:insideH w:val="nil"/>
          <w:insideV w:val="nil"/>
        </w:tcBorders>
        <w:shd w:val="clear" w:color="auto" w:fill="6B2976"/>
      </w:tcPr>
    </w:tblStylePr>
    <w:tblStylePr w:type="lastRow">
      <w:rPr>
        <w:b/>
        <w:bCs/>
      </w:rPr>
      <w:tblPr/>
      <w:tcPr>
        <w:tcBorders>
          <w:top w:val="double" w:sz="4" w:space="0" w:color="6B2976"/>
        </w:tcBorders>
      </w:tcPr>
    </w:tblStylePr>
    <w:tblStylePr w:type="firstCol">
      <w:rPr>
        <w:b/>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 w:type="paragraph" w:styleId="NoSpacing">
    <w:name w:val="No Spacing"/>
    <w:uiPriority w:val="1"/>
    <w:qFormat/>
    <w:rsid w:val="00DD2BC1"/>
    <w:pPr>
      <w:spacing w:before="0"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15">
      <w:bodyDiv w:val="1"/>
      <w:marLeft w:val="0"/>
      <w:marRight w:val="0"/>
      <w:marTop w:val="0"/>
      <w:marBottom w:val="0"/>
      <w:divBdr>
        <w:top w:val="none" w:sz="0" w:space="0" w:color="auto"/>
        <w:left w:val="none" w:sz="0" w:space="0" w:color="auto"/>
        <w:bottom w:val="none" w:sz="0" w:space="0" w:color="auto"/>
        <w:right w:val="none" w:sz="0" w:space="0" w:color="auto"/>
      </w:divBdr>
      <w:divsChild>
        <w:div w:id="1360161007">
          <w:marLeft w:val="274"/>
          <w:marRight w:val="0"/>
          <w:marTop w:val="0"/>
          <w:marBottom w:val="0"/>
          <w:divBdr>
            <w:top w:val="none" w:sz="0" w:space="0" w:color="auto"/>
            <w:left w:val="none" w:sz="0" w:space="0" w:color="auto"/>
            <w:bottom w:val="none" w:sz="0" w:space="0" w:color="auto"/>
            <w:right w:val="none" w:sz="0" w:space="0" w:color="auto"/>
          </w:divBdr>
        </w:div>
        <w:div w:id="887570158">
          <w:marLeft w:val="274"/>
          <w:marRight w:val="0"/>
          <w:marTop w:val="60"/>
          <w:marBottom w:val="0"/>
          <w:divBdr>
            <w:top w:val="none" w:sz="0" w:space="0" w:color="auto"/>
            <w:left w:val="none" w:sz="0" w:space="0" w:color="auto"/>
            <w:bottom w:val="none" w:sz="0" w:space="0" w:color="auto"/>
            <w:right w:val="none" w:sz="0" w:space="0" w:color="auto"/>
          </w:divBdr>
        </w:div>
        <w:div w:id="1402560717">
          <w:marLeft w:val="274"/>
          <w:marRight w:val="0"/>
          <w:marTop w:val="60"/>
          <w:marBottom w:val="0"/>
          <w:divBdr>
            <w:top w:val="none" w:sz="0" w:space="0" w:color="auto"/>
            <w:left w:val="none" w:sz="0" w:space="0" w:color="auto"/>
            <w:bottom w:val="none" w:sz="0" w:space="0" w:color="auto"/>
            <w:right w:val="none" w:sz="0" w:space="0" w:color="auto"/>
          </w:divBdr>
        </w:div>
        <w:div w:id="761296955">
          <w:marLeft w:val="274"/>
          <w:marRight w:val="0"/>
          <w:marTop w:val="0"/>
          <w:marBottom w:val="0"/>
          <w:divBdr>
            <w:top w:val="none" w:sz="0" w:space="0" w:color="auto"/>
            <w:left w:val="none" w:sz="0" w:space="0" w:color="auto"/>
            <w:bottom w:val="none" w:sz="0" w:space="0" w:color="auto"/>
            <w:right w:val="none" w:sz="0" w:space="0" w:color="auto"/>
          </w:divBdr>
        </w:div>
        <w:div w:id="638076647">
          <w:marLeft w:val="274"/>
          <w:marRight w:val="0"/>
          <w:marTop w:val="60"/>
          <w:marBottom w:val="0"/>
          <w:divBdr>
            <w:top w:val="none" w:sz="0" w:space="0" w:color="auto"/>
            <w:left w:val="none" w:sz="0" w:space="0" w:color="auto"/>
            <w:bottom w:val="none" w:sz="0" w:space="0" w:color="auto"/>
            <w:right w:val="none" w:sz="0" w:space="0" w:color="auto"/>
          </w:divBdr>
        </w:div>
        <w:div w:id="811824669">
          <w:marLeft w:val="274"/>
          <w:marRight w:val="0"/>
          <w:marTop w:val="60"/>
          <w:marBottom w:val="0"/>
          <w:divBdr>
            <w:top w:val="none" w:sz="0" w:space="0" w:color="auto"/>
            <w:left w:val="none" w:sz="0" w:space="0" w:color="auto"/>
            <w:bottom w:val="none" w:sz="0" w:space="0" w:color="auto"/>
            <w:right w:val="none" w:sz="0" w:space="0" w:color="auto"/>
          </w:divBdr>
        </w:div>
        <w:div w:id="2007201633">
          <w:marLeft w:val="274"/>
          <w:marRight w:val="0"/>
          <w:marTop w:val="30"/>
          <w:marBottom w:val="0"/>
          <w:divBdr>
            <w:top w:val="none" w:sz="0" w:space="0" w:color="auto"/>
            <w:left w:val="none" w:sz="0" w:space="0" w:color="auto"/>
            <w:bottom w:val="none" w:sz="0" w:space="0" w:color="auto"/>
            <w:right w:val="none" w:sz="0" w:space="0" w:color="auto"/>
          </w:divBdr>
        </w:div>
        <w:div w:id="180701715">
          <w:marLeft w:val="274"/>
          <w:marRight w:val="0"/>
          <w:marTop w:val="30"/>
          <w:marBottom w:val="0"/>
          <w:divBdr>
            <w:top w:val="none" w:sz="0" w:space="0" w:color="auto"/>
            <w:left w:val="none" w:sz="0" w:space="0" w:color="auto"/>
            <w:bottom w:val="none" w:sz="0" w:space="0" w:color="auto"/>
            <w:right w:val="none" w:sz="0" w:space="0" w:color="auto"/>
          </w:divBdr>
        </w:div>
        <w:div w:id="1067415089">
          <w:marLeft w:val="274"/>
          <w:marRight w:val="0"/>
          <w:marTop w:val="0"/>
          <w:marBottom w:val="0"/>
          <w:divBdr>
            <w:top w:val="none" w:sz="0" w:space="0" w:color="auto"/>
            <w:left w:val="none" w:sz="0" w:space="0" w:color="auto"/>
            <w:bottom w:val="none" w:sz="0" w:space="0" w:color="auto"/>
            <w:right w:val="none" w:sz="0" w:space="0" w:color="auto"/>
          </w:divBdr>
        </w:div>
        <w:div w:id="1638680589">
          <w:marLeft w:val="274"/>
          <w:marRight w:val="0"/>
          <w:marTop w:val="60"/>
          <w:marBottom w:val="0"/>
          <w:divBdr>
            <w:top w:val="none" w:sz="0" w:space="0" w:color="auto"/>
            <w:left w:val="none" w:sz="0" w:space="0" w:color="auto"/>
            <w:bottom w:val="none" w:sz="0" w:space="0" w:color="auto"/>
            <w:right w:val="none" w:sz="0" w:space="0" w:color="auto"/>
          </w:divBdr>
        </w:div>
        <w:div w:id="910579497">
          <w:marLeft w:val="274"/>
          <w:marRight w:val="0"/>
          <w:marTop w:val="30"/>
          <w:marBottom w:val="0"/>
          <w:divBdr>
            <w:top w:val="none" w:sz="0" w:space="0" w:color="auto"/>
            <w:left w:val="none" w:sz="0" w:space="0" w:color="auto"/>
            <w:bottom w:val="none" w:sz="0" w:space="0" w:color="auto"/>
            <w:right w:val="none" w:sz="0" w:space="0" w:color="auto"/>
          </w:divBdr>
        </w:div>
        <w:div w:id="496381597">
          <w:marLeft w:val="562"/>
          <w:marRight w:val="0"/>
          <w:marTop w:val="30"/>
          <w:marBottom w:val="0"/>
          <w:divBdr>
            <w:top w:val="none" w:sz="0" w:space="0" w:color="auto"/>
            <w:left w:val="none" w:sz="0" w:space="0" w:color="auto"/>
            <w:bottom w:val="none" w:sz="0" w:space="0" w:color="auto"/>
            <w:right w:val="none" w:sz="0" w:space="0" w:color="auto"/>
          </w:divBdr>
        </w:div>
        <w:div w:id="2067408271">
          <w:marLeft w:val="562"/>
          <w:marRight w:val="0"/>
          <w:marTop w:val="30"/>
          <w:marBottom w:val="0"/>
          <w:divBdr>
            <w:top w:val="none" w:sz="0" w:space="0" w:color="auto"/>
            <w:left w:val="none" w:sz="0" w:space="0" w:color="auto"/>
            <w:bottom w:val="none" w:sz="0" w:space="0" w:color="auto"/>
            <w:right w:val="none" w:sz="0" w:space="0" w:color="auto"/>
          </w:divBdr>
        </w:div>
        <w:div w:id="2105222416">
          <w:marLeft w:val="274"/>
          <w:marRight w:val="0"/>
          <w:marTop w:val="30"/>
          <w:marBottom w:val="0"/>
          <w:divBdr>
            <w:top w:val="none" w:sz="0" w:space="0" w:color="auto"/>
            <w:left w:val="none" w:sz="0" w:space="0" w:color="auto"/>
            <w:bottom w:val="none" w:sz="0" w:space="0" w:color="auto"/>
            <w:right w:val="none" w:sz="0" w:space="0" w:color="auto"/>
          </w:divBdr>
        </w:div>
        <w:div w:id="1973823648">
          <w:marLeft w:val="274"/>
          <w:marRight w:val="0"/>
          <w:marTop w:val="30"/>
          <w:marBottom w:val="0"/>
          <w:divBdr>
            <w:top w:val="none" w:sz="0" w:space="0" w:color="auto"/>
            <w:left w:val="none" w:sz="0" w:space="0" w:color="auto"/>
            <w:bottom w:val="none" w:sz="0" w:space="0" w:color="auto"/>
            <w:right w:val="none" w:sz="0" w:space="0" w:color="auto"/>
          </w:divBdr>
        </w:div>
        <w:div w:id="1745177583">
          <w:marLeft w:val="274"/>
          <w:marRight w:val="0"/>
          <w:marTop w:val="0"/>
          <w:marBottom w:val="0"/>
          <w:divBdr>
            <w:top w:val="none" w:sz="0" w:space="0" w:color="auto"/>
            <w:left w:val="none" w:sz="0" w:space="0" w:color="auto"/>
            <w:bottom w:val="none" w:sz="0" w:space="0" w:color="auto"/>
            <w:right w:val="none" w:sz="0" w:space="0" w:color="auto"/>
          </w:divBdr>
        </w:div>
        <w:div w:id="1539125847">
          <w:marLeft w:val="274"/>
          <w:marRight w:val="0"/>
          <w:marTop w:val="0"/>
          <w:marBottom w:val="0"/>
          <w:divBdr>
            <w:top w:val="none" w:sz="0" w:space="0" w:color="auto"/>
            <w:left w:val="none" w:sz="0" w:space="0" w:color="auto"/>
            <w:bottom w:val="none" w:sz="0" w:space="0" w:color="auto"/>
            <w:right w:val="none" w:sz="0" w:space="0" w:color="auto"/>
          </w:divBdr>
        </w:div>
        <w:div w:id="1805654099">
          <w:marLeft w:val="274"/>
          <w:marRight w:val="0"/>
          <w:marTop w:val="60"/>
          <w:marBottom w:val="0"/>
          <w:divBdr>
            <w:top w:val="none" w:sz="0" w:space="0" w:color="auto"/>
            <w:left w:val="none" w:sz="0" w:space="0" w:color="auto"/>
            <w:bottom w:val="none" w:sz="0" w:space="0" w:color="auto"/>
            <w:right w:val="none" w:sz="0" w:space="0" w:color="auto"/>
          </w:divBdr>
        </w:div>
        <w:div w:id="1829591972">
          <w:marLeft w:val="562"/>
          <w:marRight w:val="0"/>
          <w:marTop w:val="60"/>
          <w:marBottom w:val="0"/>
          <w:divBdr>
            <w:top w:val="none" w:sz="0" w:space="0" w:color="auto"/>
            <w:left w:val="none" w:sz="0" w:space="0" w:color="auto"/>
            <w:bottom w:val="none" w:sz="0" w:space="0" w:color="auto"/>
            <w:right w:val="none" w:sz="0" w:space="0" w:color="auto"/>
          </w:divBdr>
        </w:div>
        <w:div w:id="344939316">
          <w:marLeft w:val="562"/>
          <w:marRight w:val="0"/>
          <w:marTop w:val="60"/>
          <w:marBottom w:val="0"/>
          <w:divBdr>
            <w:top w:val="none" w:sz="0" w:space="0" w:color="auto"/>
            <w:left w:val="none" w:sz="0" w:space="0" w:color="auto"/>
            <w:bottom w:val="none" w:sz="0" w:space="0" w:color="auto"/>
            <w:right w:val="none" w:sz="0" w:space="0" w:color="auto"/>
          </w:divBdr>
        </w:div>
        <w:div w:id="749500923">
          <w:marLeft w:val="562"/>
          <w:marRight w:val="0"/>
          <w:marTop w:val="60"/>
          <w:marBottom w:val="0"/>
          <w:divBdr>
            <w:top w:val="none" w:sz="0" w:space="0" w:color="auto"/>
            <w:left w:val="none" w:sz="0" w:space="0" w:color="auto"/>
            <w:bottom w:val="none" w:sz="0" w:space="0" w:color="auto"/>
            <w:right w:val="none" w:sz="0" w:space="0" w:color="auto"/>
          </w:divBdr>
        </w:div>
        <w:div w:id="1590040653">
          <w:marLeft w:val="562"/>
          <w:marRight w:val="0"/>
          <w:marTop w:val="60"/>
          <w:marBottom w:val="0"/>
          <w:divBdr>
            <w:top w:val="none" w:sz="0" w:space="0" w:color="auto"/>
            <w:left w:val="none" w:sz="0" w:space="0" w:color="auto"/>
            <w:bottom w:val="none" w:sz="0" w:space="0" w:color="auto"/>
            <w:right w:val="none" w:sz="0" w:space="0" w:color="auto"/>
          </w:divBdr>
        </w:div>
      </w:divsChild>
    </w:div>
    <w:div w:id="77749251">
      <w:bodyDiv w:val="1"/>
      <w:marLeft w:val="0"/>
      <w:marRight w:val="0"/>
      <w:marTop w:val="0"/>
      <w:marBottom w:val="0"/>
      <w:divBdr>
        <w:top w:val="none" w:sz="0" w:space="0" w:color="auto"/>
        <w:left w:val="none" w:sz="0" w:space="0" w:color="auto"/>
        <w:bottom w:val="none" w:sz="0" w:space="0" w:color="auto"/>
        <w:right w:val="none" w:sz="0" w:space="0" w:color="auto"/>
      </w:divBdr>
      <w:divsChild>
        <w:div w:id="1168398578">
          <w:marLeft w:val="274"/>
          <w:marRight w:val="0"/>
          <w:marTop w:val="30"/>
          <w:marBottom w:val="0"/>
          <w:divBdr>
            <w:top w:val="none" w:sz="0" w:space="0" w:color="auto"/>
            <w:left w:val="none" w:sz="0" w:space="0" w:color="auto"/>
            <w:bottom w:val="none" w:sz="0" w:space="0" w:color="auto"/>
            <w:right w:val="none" w:sz="0" w:space="0" w:color="auto"/>
          </w:divBdr>
        </w:div>
        <w:div w:id="1629629227">
          <w:marLeft w:val="576"/>
          <w:marRight w:val="0"/>
          <w:marTop w:val="30"/>
          <w:marBottom w:val="0"/>
          <w:divBdr>
            <w:top w:val="none" w:sz="0" w:space="0" w:color="auto"/>
            <w:left w:val="none" w:sz="0" w:space="0" w:color="auto"/>
            <w:bottom w:val="none" w:sz="0" w:space="0" w:color="auto"/>
            <w:right w:val="none" w:sz="0" w:space="0" w:color="auto"/>
          </w:divBdr>
        </w:div>
        <w:div w:id="1987856556">
          <w:marLeft w:val="576"/>
          <w:marRight w:val="0"/>
          <w:marTop w:val="30"/>
          <w:marBottom w:val="0"/>
          <w:divBdr>
            <w:top w:val="none" w:sz="0" w:space="0" w:color="auto"/>
            <w:left w:val="none" w:sz="0" w:space="0" w:color="auto"/>
            <w:bottom w:val="none" w:sz="0" w:space="0" w:color="auto"/>
            <w:right w:val="none" w:sz="0" w:space="0" w:color="auto"/>
          </w:divBdr>
        </w:div>
      </w:divsChild>
    </w:div>
    <w:div w:id="110563636">
      <w:bodyDiv w:val="1"/>
      <w:marLeft w:val="0"/>
      <w:marRight w:val="0"/>
      <w:marTop w:val="0"/>
      <w:marBottom w:val="0"/>
      <w:divBdr>
        <w:top w:val="none" w:sz="0" w:space="0" w:color="auto"/>
        <w:left w:val="none" w:sz="0" w:space="0" w:color="auto"/>
        <w:bottom w:val="none" w:sz="0" w:space="0" w:color="auto"/>
        <w:right w:val="none" w:sz="0" w:space="0" w:color="auto"/>
      </w:divBdr>
      <w:divsChild>
        <w:div w:id="1380516841">
          <w:marLeft w:val="274"/>
          <w:marRight w:val="0"/>
          <w:marTop w:val="0"/>
          <w:marBottom w:val="0"/>
          <w:divBdr>
            <w:top w:val="none" w:sz="0" w:space="0" w:color="auto"/>
            <w:left w:val="none" w:sz="0" w:space="0" w:color="auto"/>
            <w:bottom w:val="none" w:sz="0" w:space="0" w:color="auto"/>
            <w:right w:val="none" w:sz="0" w:space="0" w:color="auto"/>
          </w:divBdr>
        </w:div>
        <w:div w:id="174807338">
          <w:marLeft w:val="274"/>
          <w:marRight w:val="0"/>
          <w:marTop w:val="0"/>
          <w:marBottom w:val="0"/>
          <w:divBdr>
            <w:top w:val="none" w:sz="0" w:space="0" w:color="auto"/>
            <w:left w:val="none" w:sz="0" w:space="0" w:color="auto"/>
            <w:bottom w:val="none" w:sz="0" w:space="0" w:color="auto"/>
            <w:right w:val="none" w:sz="0" w:space="0" w:color="auto"/>
          </w:divBdr>
        </w:div>
        <w:div w:id="667633014">
          <w:marLeft w:val="274"/>
          <w:marRight w:val="0"/>
          <w:marTop w:val="0"/>
          <w:marBottom w:val="0"/>
          <w:divBdr>
            <w:top w:val="none" w:sz="0" w:space="0" w:color="auto"/>
            <w:left w:val="none" w:sz="0" w:space="0" w:color="auto"/>
            <w:bottom w:val="none" w:sz="0" w:space="0" w:color="auto"/>
            <w:right w:val="none" w:sz="0" w:space="0" w:color="auto"/>
          </w:divBdr>
        </w:div>
        <w:div w:id="1457865966">
          <w:marLeft w:val="274"/>
          <w:marRight w:val="0"/>
          <w:marTop w:val="0"/>
          <w:marBottom w:val="0"/>
          <w:divBdr>
            <w:top w:val="none" w:sz="0" w:space="0" w:color="auto"/>
            <w:left w:val="none" w:sz="0" w:space="0" w:color="auto"/>
            <w:bottom w:val="none" w:sz="0" w:space="0" w:color="auto"/>
            <w:right w:val="none" w:sz="0" w:space="0" w:color="auto"/>
          </w:divBdr>
        </w:div>
      </w:divsChild>
    </w:div>
    <w:div w:id="140116912">
      <w:bodyDiv w:val="1"/>
      <w:marLeft w:val="0"/>
      <w:marRight w:val="0"/>
      <w:marTop w:val="0"/>
      <w:marBottom w:val="0"/>
      <w:divBdr>
        <w:top w:val="none" w:sz="0" w:space="0" w:color="auto"/>
        <w:left w:val="none" w:sz="0" w:space="0" w:color="auto"/>
        <w:bottom w:val="none" w:sz="0" w:space="0" w:color="auto"/>
        <w:right w:val="none" w:sz="0" w:space="0" w:color="auto"/>
      </w:divBdr>
      <w:divsChild>
        <w:div w:id="522091338">
          <w:marLeft w:val="274"/>
          <w:marRight w:val="0"/>
          <w:marTop w:val="0"/>
          <w:marBottom w:val="0"/>
          <w:divBdr>
            <w:top w:val="none" w:sz="0" w:space="0" w:color="auto"/>
            <w:left w:val="none" w:sz="0" w:space="0" w:color="auto"/>
            <w:bottom w:val="none" w:sz="0" w:space="0" w:color="auto"/>
            <w:right w:val="none" w:sz="0" w:space="0" w:color="auto"/>
          </w:divBdr>
        </w:div>
        <w:div w:id="853106925">
          <w:marLeft w:val="274"/>
          <w:marRight w:val="0"/>
          <w:marTop w:val="0"/>
          <w:marBottom w:val="0"/>
          <w:divBdr>
            <w:top w:val="none" w:sz="0" w:space="0" w:color="auto"/>
            <w:left w:val="none" w:sz="0" w:space="0" w:color="auto"/>
            <w:bottom w:val="none" w:sz="0" w:space="0" w:color="auto"/>
            <w:right w:val="none" w:sz="0" w:space="0" w:color="auto"/>
          </w:divBdr>
        </w:div>
        <w:div w:id="1258904190">
          <w:marLeft w:val="274"/>
          <w:marRight w:val="0"/>
          <w:marTop w:val="0"/>
          <w:marBottom w:val="0"/>
          <w:divBdr>
            <w:top w:val="none" w:sz="0" w:space="0" w:color="auto"/>
            <w:left w:val="none" w:sz="0" w:space="0" w:color="auto"/>
            <w:bottom w:val="none" w:sz="0" w:space="0" w:color="auto"/>
            <w:right w:val="none" w:sz="0" w:space="0" w:color="auto"/>
          </w:divBdr>
        </w:div>
        <w:div w:id="1970092270">
          <w:marLeft w:val="274"/>
          <w:marRight w:val="0"/>
          <w:marTop w:val="0"/>
          <w:marBottom w:val="0"/>
          <w:divBdr>
            <w:top w:val="none" w:sz="0" w:space="0" w:color="auto"/>
            <w:left w:val="none" w:sz="0" w:space="0" w:color="auto"/>
            <w:bottom w:val="none" w:sz="0" w:space="0" w:color="auto"/>
            <w:right w:val="none" w:sz="0" w:space="0" w:color="auto"/>
          </w:divBdr>
        </w:div>
      </w:divsChild>
    </w:div>
    <w:div w:id="144977446">
      <w:bodyDiv w:val="1"/>
      <w:marLeft w:val="0"/>
      <w:marRight w:val="0"/>
      <w:marTop w:val="0"/>
      <w:marBottom w:val="0"/>
      <w:divBdr>
        <w:top w:val="none" w:sz="0" w:space="0" w:color="auto"/>
        <w:left w:val="none" w:sz="0" w:space="0" w:color="auto"/>
        <w:bottom w:val="none" w:sz="0" w:space="0" w:color="auto"/>
        <w:right w:val="none" w:sz="0" w:space="0" w:color="auto"/>
      </w:divBdr>
      <w:divsChild>
        <w:div w:id="2044938448">
          <w:marLeft w:val="274"/>
          <w:marRight w:val="0"/>
          <w:marTop w:val="30"/>
          <w:marBottom w:val="0"/>
          <w:divBdr>
            <w:top w:val="none" w:sz="0" w:space="0" w:color="auto"/>
            <w:left w:val="none" w:sz="0" w:space="0" w:color="auto"/>
            <w:bottom w:val="none" w:sz="0" w:space="0" w:color="auto"/>
            <w:right w:val="none" w:sz="0" w:space="0" w:color="auto"/>
          </w:divBdr>
        </w:div>
        <w:div w:id="64105699">
          <w:marLeft w:val="274"/>
          <w:marRight w:val="0"/>
          <w:marTop w:val="30"/>
          <w:marBottom w:val="0"/>
          <w:divBdr>
            <w:top w:val="none" w:sz="0" w:space="0" w:color="auto"/>
            <w:left w:val="none" w:sz="0" w:space="0" w:color="auto"/>
            <w:bottom w:val="none" w:sz="0" w:space="0" w:color="auto"/>
            <w:right w:val="none" w:sz="0" w:space="0" w:color="auto"/>
          </w:divBdr>
        </w:div>
      </w:divsChild>
    </w:div>
    <w:div w:id="160857610">
      <w:bodyDiv w:val="1"/>
      <w:marLeft w:val="0"/>
      <w:marRight w:val="0"/>
      <w:marTop w:val="0"/>
      <w:marBottom w:val="0"/>
      <w:divBdr>
        <w:top w:val="none" w:sz="0" w:space="0" w:color="auto"/>
        <w:left w:val="none" w:sz="0" w:space="0" w:color="auto"/>
        <w:bottom w:val="none" w:sz="0" w:space="0" w:color="auto"/>
        <w:right w:val="none" w:sz="0" w:space="0" w:color="auto"/>
      </w:divBdr>
      <w:divsChild>
        <w:div w:id="521819549">
          <w:marLeft w:val="360"/>
          <w:marRight w:val="0"/>
          <w:marTop w:val="30"/>
          <w:marBottom w:val="0"/>
          <w:divBdr>
            <w:top w:val="none" w:sz="0" w:space="0" w:color="auto"/>
            <w:left w:val="none" w:sz="0" w:space="0" w:color="auto"/>
            <w:bottom w:val="none" w:sz="0" w:space="0" w:color="auto"/>
            <w:right w:val="none" w:sz="0" w:space="0" w:color="auto"/>
          </w:divBdr>
        </w:div>
        <w:div w:id="804854476">
          <w:marLeft w:val="360"/>
          <w:marRight w:val="0"/>
          <w:marTop w:val="30"/>
          <w:marBottom w:val="0"/>
          <w:divBdr>
            <w:top w:val="none" w:sz="0" w:space="0" w:color="auto"/>
            <w:left w:val="none" w:sz="0" w:space="0" w:color="auto"/>
            <w:bottom w:val="none" w:sz="0" w:space="0" w:color="auto"/>
            <w:right w:val="none" w:sz="0" w:space="0" w:color="auto"/>
          </w:divBdr>
        </w:div>
      </w:divsChild>
    </w:div>
    <w:div w:id="191503899">
      <w:bodyDiv w:val="1"/>
      <w:marLeft w:val="0"/>
      <w:marRight w:val="0"/>
      <w:marTop w:val="0"/>
      <w:marBottom w:val="0"/>
      <w:divBdr>
        <w:top w:val="none" w:sz="0" w:space="0" w:color="auto"/>
        <w:left w:val="none" w:sz="0" w:space="0" w:color="auto"/>
        <w:bottom w:val="none" w:sz="0" w:space="0" w:color="auto"/>
        <w:right w:val="none" w:sz="0" w:space="0" w:color="auto"/>
      </w:divBdr>
    </w:div>
    <w:div w:id="202602731">
      <w:bodyDiv w:val="1"/>
      <w:marLeft w:val="0"/>
      <w:marRight w:val="0"/>
      <w:marTop w:val="0"/>
      <w:marBottom w:val="0"/>
      <w:divBdr>
        <w:top w:val="none" w:sz="0" w:space="0" w:color="auto"/>
        <w:left w:val="none" w:sz="0" w:space="0" w:color="auto"/>
        <w:bottom w:val="none" w:sz="0" w:space="0" w:color="auto"/>
        <w:right w:val="none" w:sz="0" w:space="0" w:color="auto"/>
      </w:divBdr>
    </w:div>
    <w:div w:id="318384270">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sChild>
        <w:div w:id="777717348">
          <w:marLeft w:val="274"/>
          <w:marRight w:val="0"/>
          <w:marTop w:val="30"/>
          <w:marBottom w:val="0"/>
          <w:divBdr>
            <w:top w:val="none" w:sz="0" w:space="0" w:color="auto"/>
            <w:left w:val="none" w:sz="0" w:space="0" w:color="auto"/>
            <w:bottom w:val="none" w:sz="0" w:space="0" w:color="auto"/>
            <w:right w:val="none" w:sz="0" w:space="0" w:color="auto"/>
          </w:divBdr>
        </w:div>
        <w:div w:id="865631342">
          <w:marLeft w:val="576"/>
          <w:marRight w:val="0"/>
          <w:marTop w:val="30"/>
          <w:marBottom w:val="0"/>
          <w:divBdr>
            <w:top w:val="none" w:sz="0" w:space="0" w:color="auto"/>
            <w:left w:val="none" w:sz="0" w:space="0" w:color="auto"/>
            <w:bottom w:val="none" w:sz="0" w:space="0" w:color="auto"/>
            <w:right w:val="none" w:sz="0" w:space="0" w:color="auto"/>
          </w:divBdr>
        </w:div>
        <w:div w:id="581645269">
          <w:marLeft w:val="576"/>
          <w:marRight w:val="0"/>
          <w:marTop w:val="30"/>
          <w:marBottom w:val="0"/>
          <w:divBdr>
            <w:top w:val="none" w:sz="0" w:space="0" w:color="auto"/>
            <w:left w:val="none" w:sz="0" w:space="0" w:color="auto"/>
            <w:bottom w:val="none" w:sz="0" w:space="0" w:color="auto"/>
            <w:right w:val="none" w:sz="0" w:space="0" w:color="auto"/>
          </w:divBdr>
        </w:div>
      </w:divsChild>
    </w:div>
    <w:div w:id="391465640">
      <w:bodyDiv w:val="1"/>
      <w:marLeft w:val="0"/>
      <w:marRight w:val="0"/>
      <w:marTop w:val="0"/>
      <w:marBottom w:val="0"/>
      <w:divBdr>
        <w:top w:val="none" w:sz="0" w:space="0" w:color="auto"/>
        <w:left w:val="none" w:sz="0" w:space="0" w:color="auto"/>
        <w:bottom w:val="none" w:sz="0" w:space="0" w:color="auto"/>
        <w:right w:val="none" w:sz="0" w:space="0" w:color="auto"/>
      </w:divBdr>
      <w:divsChild>
        <w:div w:id="2064281472">
          <w:marLeft w:val="274"/>
          <w:marRight w:val="0"/>
          <w:marTop w:val="60"/>
          <w:marBottom w:val="0"/>
          <w:divBdr>
            <w:top w:val="none" w:sz="0" w:space="0" w:color="auto"/>
            <w:left w:val="none" w:sz="0" w:space="0" w:color="auto"/>
            <w:bottom w:val="none" w:sz="0" w:space="0" w:color="auto"/>
            <w:right w:val="none" w:sz="0" w:space="0" w:color="auto"/>
          </w:divBdr>
        </w:div>
        <w:div w:id="302463915">
          <w:marLeft w:val="274"/>
          <w:marRight w:val="0"/>
          <w:marTop w:val="60"/>
          <w:marBottom w:val="0"/>
          <w:divBdr>
            <w:top w:val="none" w:sz="0" w:space="0" w:color="auto"/>
            <w:left w:val="none" w:sz="0" w:space="0" w:color="auto"/>
            <w:bottom w:val="none" w:sz="0" w:space="0" w:color="auto"/>
            <w:right w:val="none" w:sz="0" w:space="0" w:color="auto"/>
          </w:divBdr>
        </w:div>
      </w:divsChild>
    </w:div>
    <w:div w:id="542206654">
      <w:bodyDiv w:val="1"/>
      <w:marLeft w:val="0"/>
      <w:marRight w:val="0"/>
      <w:marTop w:val="0"/>
      <w:marBottom w:val="0"/>
      <w:divBdr>
        <w:top w:val="none" w:sz="0" w:space="0" w:color="auto"/>
        <w:left w:val="none" w:sz="0" w:space="0" w:color="auto"/>
        <w:bottom w:val="none" w:sz="0" w:space="0" w:color="auto"/>
        <w:right w:val="none" w:sz="0" w:space="0" w:color="auto"/>
      </w:divBdr>
      <w:divsChild>
        <w:div w:id="1558205348">
          <w:marLeft w:val="274"/>
          <w:marRight w:val="0"/>
          <w:marTop w:val="0"/>
          <w:marBottom w:val="0"/>
          <w:divBdr>
            <w:top w:val="none" w:sz="0" w:space="0" w:color="auto"/>
            <w:left w:val="none" w:sz="0" w:space="0" w:color="auto"/>
            <w:bottom w:val="none" w:sz="0" w:space="0" w:color="auto"/>
            <w:right w:val="none" w:sz="0" w:space="0" w:color="auto"/>
          </w:divBdr>
        </w:div>
        <w:div w:id="1306546706">
          <w:marLeft w:val="274"/>
          <w:marRight w:val="0"/>
          <w:marTop w:val="0"/>
          <w:marBottom w:val="0"/>
          <w:divBdr>
            <w:top w:val="none" w:sz="0" w:space="0" w:color="auto"/>
            <w:left w:val="none" w:sz="0" w:space="0" w:color="auto"/>
            <w:bottom w:val="none" w:sz="0" w:space="0" w:color="auto"/>
            <w:right w:val="none" w:sz="0" w:space="0" w:color="auto"/>
          </w:divBdr>
        </w:div>
      </w:divsChild>
    </w:div>
    <w:div w:id="564415079">
      <w:bodyDiv w:val="1"/>
      <w:marLeft w:val="0"/>
      <w:marRight w:val="0"/>
      <w:marTop w:val="0"/>
      <w:marBottom w:val="0"/>
      <w:divBdr>
        <w:top w:val="none" w:sz="0" w:space="0" w:color="auto"/>
        <w:left w:val="none" w:sz="0" w:space="0" w:color="auto"/>
        <w:bottom w:val="none" w:sz="0" w:space="0" w:color="auto"/>
        <w:right w:val="none" w:sz="0" w:space="0" w:color="auto"/>
      </w:divBdr>
      <w:divsChild>
        <w:div w:id="1636837533">
          <w:marLeft w:val="288"/>
          <w:marRight w:val="0"/>
          <w:marTop w:val="60"/>
          <w:marBottom w:val="0"/>
          <w:divBdr>
            <w:top w:val="none" w:sz="0" w:space="0" w:color="auto"/>
            <w:left w:val="none" w:sz="0" w:space="0" w:color="auto"/>
            <w:bottom w:val="none" w:sz="0" w:space="0" w:color="auto"/>
            <w:right w:val="none" w:sz="0" w:space="0" w:color="auto"/>
          </w:divBdr>
        </w:div>
        <w:div w:id="498274449">
          <w:marLeft w:val="288"/>
          <w:marRight w:val="0"/>
          <w:marTop w:val="60"/>
          <w:marBottom w:val="0"/>
          <w:divBdr>
            <w:top w:val="none" w:sz="0" w:space="0" w:color="auto"/>
            <w:left w:val="none" w:sz="0" w:space="0" w:color="auto"/>
            <w:bottom w:val="none" w:sz="0" w:space="0" w:color="auto"/>
            <w:right w:val="none" w:sz="0" w:space="0" w:color="auto"/>
          </w:divBdr>
        </w:div>
      </w:divsChild>
    </w:div>
    <w:div w:id="579752582">
      <w:bodyDiv w:val="1"/>
      <w:marLeft w:val="0"/>
      <w:marRight w:val="0"/>
      <w:marTop w:val="0"/>
      <w:marBottom w:val="0"/>
      <w:divBdr>
        <w:top w:val="none" w:sz="0" w:space="0" w:color="auto"/>
        <w:left w:val="none" w:sz="0" w:space="0" w:color="auto"/>
        <w:bottom w:val="none" w:sz="0" w:space="0" w:color="auto"/>
        <w:right w:val="none" w:sz="0" w:space="0" w:color="auto"/>
      </w:divBdr>
    </w:div>
    <w:div w:id="646662458">
      <w:bodyDiv w:val="1"/>
      <w:marLeft w:val="0"/>
      <w:marRight w:val="0"/>
      <w:marTop w:val="0"/>
      <w:marBottom w:val="0"/>
      <w:divBdr>
        <w:top w:val="none" w:sz="0" w:space="0" w:color="auto"/>
        <w:left w:val="none" w:sz="0" w:space="0" w:color="auto"/>
        <w:bottom w:val="none" w:sz="0" w:space="0" w:color="auto"/>
        <w:right w:val="none" w:sz="0" w:space="0" w:color="auto"/>
      </w:divBdr>
      <w:divsChild>
        <w:div w:id="1865098095">
          <w:marLeft w:val="274"/>
          <w:marRight w:val="0"/>
          <w:marTop w:val="30"/>
          <w:marBottom w:val="0"/>
          <w:divBdr>
            <w:top w:val="none" w:sz="0" w:space="0" w:color="auto"/>
            <w:left w:val="none" w:sz="0" w:space="0" w:color="auto"/>
            <w:bottom w:val="none" w:sz="0" w:space="0" w:color="auto"/>
            <w:right w:val="none" w:sz="0" w:space="0" w:color="auto"/>
          </w:divBdr>
        </w:div>
        <w:div w:id="2019652069">
          <w:marLeft w:val="274"/>
          <w:marRight w:val="0"/>
          <w:marTop w:val="30"/>
          <w:marBottom w:val="0"/>
          <w:divBdr>
            <w:top w:val="none" w:sz="0" w:space="0" w:color="auto"/>
            <w:left w:val="none" w:sz="0" w:space="0" w:color="auto"/>
            <w:bottom w:val="none" w:sz="0" w:space="0" w:color="auto"/>
            <w:right w:val="none" w:sz="0" w:space="0" w:color="auto"/>
          </w:divBdr>
        </w:div>
        <w:div w:id="146822491">
          <w:marLeft w:val="274"/>
          <w:marRight w:val="0"/>
          <w:marTop w:val="30"/>
          <w:marBottom w:val="0"/>
          <w:divBdr>
            <w:top w:val="none" w:sz="0" w:space="0" w:color="auto"/>
            <w:left w:val="none" w:sz="0" w:space="0" w:color="auto"/>
            <w:bottom w:val="none" w:sz="0" w:space="0" w:color="auto"/>
            <w:right w:val="none" w:sz="0" w:space="0" w:color="auto"/>
          </w:divBdr>
        </w:div>
      </w:divsChild>
    </w:div>
    <w:div w:id="792676046">
      <w:bodyDiv w:val="1"/>
      <w:marLeft w:val="0"/>
      <w:marRight w:val="0"/>
      <w:marTop w:val="0"/>
      <w:marBottom w:val="0"/>
      <w:divBdr>
        <w:top w:val="none" w:sz="0" w:space="0" w:color="auto"/>
        <w:left w:val="none" w:sz="0" w:space="0" w:color="auto"/>
        <w:bottom w:val="none" w:sz="0" w:space="0" w:color="auto"/>
        <w:right w:val="none" w:sz="0" w:space="0" w:color="auto"/>
      </w:divBdr>
      <w:divsChild>
        <w:div w:id="1648240982">
          <w:marLeft w:val="274"/>
          <w:marRight w:val="0"/>
          <w:marTop w:val="30"/>
          <w:marBottom w:val="0"/>
          <w:divBdr>
            <w:top w:val="none" w:sz="0" w:space="0" w:color="auto"/>
            <w:left w:val="none" w:sz="0" w:space="0" w:color="auto"/>
            <w:bottom w:val="none" w:sz="0" w:space="0" w:color="auto"/>
            <w:right w:val="none" w:sz="0" w:space="0" w:color="auto"/>
          </w:divBdr>
        </w:div>
        <w:div w:id="2066833875">
          <w:marLeft w:val="562"/>
          <w:marRight w:val="0"/>
          <w:marTop w:val="30"/>
          <w:marBottom w:val="0"/>
          <w:divBdr>
            <w:top w:val="none" w:sz="0" w:space="0" w:color="auto"/>
            <w:left w:val="none" w:sz="0" w:space="0" w:color="auto"/>
            <w:bottom w:val="none" w:sz="0" w:space="0" w:color="auto"/>
            <w:right w:val="none" w:sz="0" w:space="0" w:color="auto"/>
          </w:divBdr>
        </w:div>
        <w:div w:id="1966545818">
          <w:marLeft w:val="562"/>
          <w:marRight w:val="0"/>
          <w:marTop w:val="30"/>
          <w:marBottom w:val="0"/>
          <w:divBdr>
            <w:top w:val="none" w:sz="0" w:space="0" w:color="auto"/>
            <w:left w:val="none" w:sz="0" w:space="0" w:color="auto"/>
            <w:bottom w:val="none" w:sz="0" w:space="0" w:color="auto"/>
            <w:right w:val="none" w:sz="0" w:space="0" w:color="auto"/>
          </w:divBdr>
        </w:div>
        <w:div w:id="1870290159">
          <w:marLeft w:val="274"/>
          <w:marRight w:val="0"/>
          <w:marTop w:val="30"/>
          <w:marBottom w:val="0"/>
          <w:divBdr>
            <w:top w:val="none" w:sz="0" w:space="0" w:color="auto"/>
            <w:left w:val="none" w:sz="0" w:space="0" w:color="auto"/>
            <w:bottom w:val="none" w:sz="0" w:space="0" w:color="auto"/>
            <w:right w:val="none" w:sz="0" w:space="0" w:color="auto"/>
          </w:divBdr>
        </w:div>
        <w:div w:id="1078788547">
          <w:marLeft w:val="274"/>
          <w:marRight w:val="0"/>
          <w:marTop w:val="30"/>
          <w:marBottom w:val="0"/>
          <w:divBdr>
            <w:top w:val="none" w:sz="0" w:space="0" w:color="auto"/>
            <w:left w:val="none" w:sz="0" w:space="0" w:color="auto"/>
            <w:bottom w:val="none" w:sz="0" w:space="0" w:color="auto"/>
            <w:right w:val="none" w:sz="0" w:space="0" w:color="auto"/>
          </w:divBdr>
        </w:div>
      </w:divsChild>
    </w:div>
    <w:div w:id="820584096">
      <w:bodyDiv w:val="1"/>
      <w:marLeft w:val="0"/>
      <w:marRight w:val="0"/>
      <w:marTop w:val="0"/>
      <w:marBottom w:val="0"/>
      <w:divBdr>
        <w:top w:val="none" w:sz="0" w:space="0" w:color="auto"/>
        <w:left w:val="none" w:sz="0" w:space="0" w:color="auto"/>
        <w:bottom w:val="none" w:sz="0" w:space="0" w:color="auto"/>
        <w:right w:val="none" w:sz="0" w:space="0" w:color="auto"/>
      </w:divBdr>
    </w:div>
    <w:div w:id="837574401">
      <w:bodyDiv w:val="1"/>
      <w:marLeft w:val="0"/>
      <w:marRight w:val="0"/>
      <w:marTop w:val="0"/>
      <w:marBottom w:val="0"/>
      <w:divBdr>
        <w:top w:val="none" w:sz="0" w:space="0" w:color="auto"/>
        <w:left w:val="none" w:sz="0" w:space="0" w:color="auto"/>
        <w:bottom w:val="none" w:sz="0" w:space="0" w:color="auto"/>
        <w:right w:val="none" w:sz="0" w:space="0" w:color="auto"/>
      </w:divBdr>
    </w:div>
    <w:div w:id="866136330">
      <w:bodyDiv w:val="1"/>
      <w:marLeft w:val="0"/>
      <w:marRight w:val="0"/>
      <w:marTop w:val="0"/>
      <w:marBottom w:val="0"/>
      <w:divBdr>
        <w:top w:val="none" w:sz="0" w:space="0" w:color="auto"/>
        <w:left w:val="none" w:sz="0" w:space="0" w:color="auto"/>
        <w:bottom w:val="none" w:sz="0" w:space="0" w:color="auto"/>
        <w:right w:val="none" w:sz="0" w:space="0" w:color="auto"/>
      </w:divBdr>
      <w:divsChild>
        <w:div w:id="2019038683">
          <w:marLeft w:val="274"/>
          <w:marRight w:val="0"/>
          <w:marTop w:val="30"/>
          <w:marBottom w:val="0"/>
          <w:divBdr>
            <w:top w:val="none" w:sz="0" w:space="0" w:color="auto"/>
            <w:left w:val="none" w:sz="0" w:space="0" w:color="auto"/>
            <w:bottom w:val="none" w:sz="0" w:space="0" w:color="auto"/>
            <w:right w:val="none" w:sz="0" w:space="0" w:color="auto"/>
          </w:divBdr>
        </w:div>
        <w:div w:id="184053317">
          <w:marLeft w:val="274"/>
          <w:marRight w:val="0"/>
          <w:marTop w:val="30"/>
          <w:marBottom w:val="0"/>
          <w:divBdr>
            <w:top w:val="none" w:sz="0" w:space="0" w:color="auto"/>
            <w:left w:val="none" w:sz="0" w:space="0" w:color="auto"/>
            <w:bottom w:val="none" w:sz="0" w:space="0" w:color="auto"/>
            <w:right w:val="none" w:sz="0" w:space="0" w:color="auto"/>
          </w:divBdr>
        </w:div>
        <w:div w:id="804467110">
          <w:marLeft w:val="274"/>
          <w:marRight w:val="0"/>
          <w:marTop w:val="30"/>
          <w:marBottom w:val="0"/>
          <w:divBdr>
            <w:top w:val="none" w:sz="0" w:space="0" w:color="auto"/>
            <w:left w:val="none" w:sz="0" w:space="0" w:color="auto"/>
            <w:bottom w:val="none" w:sz="0" w:space="0" w:color="auto"/>
            <w:right w:val="none" w:sz="0" w:space="0" w:color="auto"/>
          </w:divBdr>
        </w:div>
        <w:div w:id="300624597">
          <w:marLeft w:val="274"/>
          <w:marRight w:val="0"/>
          <w:marTop w:val="30"/>
          <w:marBottom w:val="0"/>
          <w:divBdr>
            <w:top w:val="none" w:sz="0" w:space="0" w:color="auto"/>
            <w:left w:val="none" w:sz="0" w:space="0" w:color="auto"/>
            <w:bottom w:val="none" w:sz="0" w:space="0" w:color="auto"/>
            <w:right w:val="none" w:sz="0" w:space="0" w:color="auto"/>
          </w:divBdr>
        </w:div>
        <w:div w:id="1367370087">
          <w:marLeft w:val="274"/>
          <w:marRight w:val="0"/>
          <w:marTop w:val="30"/>
          <w:marBottom w:val="0"/>
          <w:divBdr>
            <w:top w:val="none" w:sz="0" w:space="0" w:color="auto"/>
            <w:left w:val="none" w:sz="0" w:space="0" w:color="auto"/>
            <w:bottom w:val="none" w:sz="0" w:space="0" w:color="auto"/>
            <w:right w:val="none" w:sz="0" w:space="0" w:color="auto"/>
          </w:divBdr>
        </w:div>
      </w:divsChild>
    </w:div>
    <w:div w:id="875891271">
      <w:bodyDiv w:val="1"/>
      <w:marLeft w:val="0"/>
      <w:marRight w:val="0"/>
      <w:marTop w:val="0"/>
      <w:marBottom w:val="0"/>
      <w:divBdr>
        <w:top w:val="none" w:sz="0" w:space="0" w:color="auto"/>
        <w:left w:val="none" w:sz="0" w:space="0" w:color="auto"/>
        <w:bottom w:val="none" w:sz="0" w:space="0" w:color="auto"/>
        <w:right w:val="none" w:sz="0" w:space="0" w:color="auto"/>
      </w:divBdr>
    </w:div>
    <w:div w:id="899747734">
      <w:bodyDiv w:val="1"/>
      <w:marLeft w:val="0"/>
      <w:marRight w:val="0"/>
      <w:marTop w:val="0"/>
      <w:marBottom w:val="0"/>
      <w:divBdr>
        <w:top w:val="none" w:sz="0" w:space="0" w:color="auto"/>
        <w:left w:val="none" w:sz="0" w:space="0" w:color="auto"/>
        <w:bottom w:val="none" w:sz="0" w:space="0" w:color="auto"/>
        <w:right w:val="none" w:sz="0" w:space="0" w:color="auto"/>
      </w:divBdr>
    </w:div>
    <w:div w:id="923300778">
      <w:bodyDiv w:val="1"/>
      <w:marLeft w:val="0"/>
      <w:marRight w:val="0"/>
      <w:marTop w:val="0"/>
      <w:marBottom w:val="0"/>
      <w:divBdr>
        <w:top w:val="none" w:sz="0" w:space="0" w:color="auto"/>
        <w:left w:val="none" w:sz="0" w:space="0" w:color="auto"/>
        <w:bottom w:val="none" w:sz="0" w:space="0" w:color="auto"/>
        <w:right w:val="none" w:sz="0" w:space="0" w:color="auto"/>
      </w:divBdr>
      <w:divsChild>
        <w:div w:id="690568400">
          <w:marLeft w:val="274"/>
          <w:marRight w:val="0"/>
          <w:marTop w:val="30"/>
          <w:marBottom w:val="0"/>
          <w:divBdr>
            <w:top w:val="none" w:sz="0" w:space="0" w:color="auto"/>
            <w:left w:val="none" w:sz="0" w:space="0" w:color="auto"/>
            <w:bottom w:val="none" w:sz="0" w:space="0" w:color="auto"/>
            <w:right w:val="none" w:sz="0" w:space="0" w:color="auto"/>
          </w:divBdr>
        </w:div>
        <w:div w:id="870411340">
          <w:marLeft w:val="274"/>
          <w:marRight w:val="0"/>
          <w:marTop w:val="30"/>
          <w:marBottom w:val="0"/>
          <w:divBdr>
            <w:top w:val="none" w:sz="0" w:space="0" w:color="auto"/>
            <w:left w:val="none" w:sz="0" w:space="0" w:color="auto"/>
            <w:bottom w:val="none" w:sz="0" w:space="0" w:color="auto"/>
            <w:right w:val="none" w:sz="0" w:space="0" w:color="auto"/>
          </w:divBdr>
        </w:div>
        <w:div w:id="675351613">
          <w:marLeft w:val="274"/>
          <w:marRight w:val="0"/>
          <w:marTop w:val="30"/>
          <w:marBottom w:val="0"/>
          <w:divBdr>
            <w:top w:val="none" w:sz="0" w:space="0" w:color="auto"/>
            <w:left w:val="none" w:sz="0" w:space="0" w:color="auto"/>
            <w:bottom w:val="none" w:sz="0" w:space="0" w:color="auto"/>
            <w:right w:val="none" w:sz="0" w:space="0" w:color="auto"/>
          </w:divBdr>
        </w:div>
        <w:div w:id="639387199">
          <w:marLeft w:val="274"/>
          <w:marRight w:val="0"/>
          <w:marTop w:val="30"/>
          <w:marBottom w:val="0"/>
          <w:divBdr>
            <w:top w:val="none" w:sz="0" w:space="0" w:color="auto"/>
            <w:left w:val="none" w:sz="0" w:space="0" w:color="auto"/>
            <w:bottom w:val="none" w:sz="0" w:space="0" w:color="auto"/>
            <w:right w:val="none" w:sz="0" w:space="0" w:color="auto"/>
          </w:divBdr>
        </w:div>
        <w:div w:id="21588761">
          <w:marLeft w:val="274"/>
          <w:marRight w:val="0"/>
          <w:marTop w:val="30"/>
          <w:marBottom w:val="0"/>
          <w:divBdr>
            <w:top w:val="none" w:sz="0" w:space="0" w:color="auto"/>
            <w:left w:val="none" w:sz="0" w:space="0" w:color="auto"/>
            <w:bottom w:val="none" w:sz="0" w:space="0" w:color="auto"/>
            <w:right w:val="none" w:sz="0" w:space="0" w:color="auto"/>
          </w:divBdr>
        </w:div>
      </w:divsChild>
    </w:div>
    <w:div w:id="942418677">
      <w:bodyDiv w:val="1"/>
      <w:marLeft w:val="0"/>
      <w:marRight w:val="0"/>
      <w:marTop w:val="0"/>
      <w:marBottom w:val="0"/>
      <w:divBdr>
        <w:top w:val="none" w:sz="0" w:space="0" w:color="auto"/>
        <w:left w:val="none" w:sz="0" w:space="0" w:color="auto"/>
        <w:bottom w:val="none" w:sz="0" w:space="0" w:color="auto"/>
        <w:right w:val="none" w:sz="0" w:space="0" w:color="auto"/>
      </w:divBdr>
      <w:divsChild>
        <w:div w:id="174921812">
          <w:marLeft w:val="274"/>
          <w:marRight w:val="0"/>
          <w:marTop w:val="30"/>
          <w:marBottom w:val="0"/>
          <w:divBdr>
            <w:top w:val="none" w:sz="0" w:space="0" w:color="auto"/>
            <w:left w:val="none" w:sz="0" w:space="0" w:color="auto"/>
            <w:bottom w:val="none" w:sz="0" w:space="0" w:color="auto"/>
            <w:right w:val="none" w:sz="0" w:space="0" w:color="auto"/>
          </w:divBdr>
        </w:div>
        <w:div w:id="420882777">
          <w:marLeft w:val="274"/>
          <w:marRight w:val="0"/>
          <w:marTop w:val="30"/>
          <w:marBottom w:val="0"/>
          <w:divBdr>
            <w:top w:val="none" w:sz="0" w:space="0" w:color="auto"/>
            <w:left w:val="none" w:sz="0" w:space="0" w:color="auto"/>
            <w:bottom w:val="none" w:sz="0" w:space="0" w:color="auto"/>
            <w:right w:val="none" w:sz="0" w:space="0" w:color="auto"/>
          </w:divBdr>
        </w:div>
        <w:div w:id="1011487793">
          <w:marLeft w:val="274"/>
          <w:marRight w:val="0"/>
          <w:marTop w:val="30"/>
          <w:marBottom w:val="0"/>
          <w:divBdr>
            <w:top w:val="none" w:sz="0" w:space="0" w:color="auto"/>
            <w:left w:val="none" w:sz="0" w:space="0" w:color="auto"/>
            <w:bottom w:val="none" w:sz="0" w:space="0" w:color="auto"/>
            <w:right w:val="none" w:sz="0" w:space="0" w:color="auto"/>
          </w:divBdr>
        </w:div>
      </w:divsChild>
    </w:div>
    <w:div w:id="951401242">
      <w:bodyDiv w:val="1"/>
      <w:marLeft w:val="0"/>
      <w:marRight w:val="0"/>
      <w:marTop w:val="0"/>
      <w:marBottom w:val="0"/>
      <w:divBdr>
        <w:top w:val="none" w:sz="0" w:space="0" w:color="auto"/>
        <w:left w:val="none" w:sz="0" w:space="0" w:color="auto"/>
        <w:bottom w:val="none" w:sz="0" w:space="0" w:color="auto"/>
        <w:right w:val="none" w:sz="0" w:space="0" w:color="auto"/>
      </w:divBdr>
      <w:divsChild>
        <w:div w:id="1991591539">
          <w:marLeft w:val="360"/>
          <w:marRight w:val="0"/>
          <w:marTop w:val="0"/>
          <w:marBottom w:val="0"/>
          <w:divBdr>
            <w:top w:val="none" w:sz="0" w:space="0" w:color="auto"/>
            <w:left w:val="none" w:sz="0" w:space="0" w:color="auto"/>
            <w:bottom w:val="none" w:sz="0" w:space="0" w:color="auto"/>
            <w:right w:val="none" w:sz="0" w:space="0" w:color="auto"/>
          </w:divBdr>
        </w:div>
        <w:div w:id="1563246486">
          <w:marLeft w:val="691"/>
          <w:marRight w:val="0"/>
          <w:marTop w:val="0"/>
          <w:marBottom w:val="0"/>
          <w:divBdr>
            <w:top w:val="none" w:sz="0" w:space="0" w:color="auto"/>
            <w:left w:val="none" w:sz="0" w:space="0" w:color="auto"/>
            <w:bottom w:val="none" w:sz="0" w:space="0" w:color="auto"/>
            <w:right w:val="none" w:sz="0" w:space="0" w:color="auto"/>
          </w:divBdr>
        </w:div>
        <w:div w:id="1056054025">
          <w:marLeft w:val="691"/>
          <w:marRight w:val="0"/>
          <w:marTop w:val="0"/>
          <w:marBottom w:val="0"/>
          <w:divBdr>
            <w:top w:val="none" w:sz="0" w:space="0" w:color="auto"/>
            <w:left w:val="none" w:sz="0" w:space="0" w:color="auto"/>
            <w:bottom w:val="none" w:sz="0" w:space="0" w:color="auto"/>
            <w:right w:val="none" w:sz="0" w:space="0" w:color="auto"/>
          </w:divBdr>
        </w:div>
      </w:divsChild>
    </w:div>
    <w:div w:id="971136625">
      <w:bodyDiv w:val="1"/>
      <w:marLeft w:val="0"/>
      <w:marRight w:val="0"/>
      <w:marTop w:val="0"/>
      <w:marBottom w:val="0"/>
      <w:divBdr>
        <w:top w:val="none" w:sz="0" w:space="0" w:color="auto"/>
        <w:left w:val="none" w:sz="0" w:space="0" w:color="auto"/>
        <w:bottom w:val="none" w:sz="0" w:space="0" w:color="auto"/>
        <w:right w:val="none" w:sz="0" w:space="0" w:color="auto"/>
      </w:divBdr>
    </w:div>
    <w:div w:id="971208054">
      <w:bodyDiv w:val="1"/>
      <w:marLeft w:val="0"/>
      <w:marRight w:val="0"/>
      <w:marTop w:val="0"/>
      <w:marBottom w:val="0"/>
      <w:divBdr>
        <w:top w:val="none" w:sz="0" w:space="0" w:color="auto"/>
        <w:left w:val="none" w:sz="0" w:space="0" w:color="auto"/>
        <w:bottom w:val="none" w:sz="0" w:space="0" w:color="auto"/>
        <w:right w:val="none" w:sz="0" w:space="0" w:color="auto"/>
      </w:divBdr>
      <w:divsChild>
        <w:div w:id="778530410">
          <w:marLeft w:val="274"/>
          <w:marRight w:val="0"/>
          <w:marTop w:val="0"/>
          <w:marBottom w:val="0"/>
          <w:divBdr>
            <w:top w:val="none" w:sz="0" w:space="0" w:color="auto"/>
            <w:left w:val="none" w:sz="0" w:space="0" w:color="auto"/>
            <w:bottom w:val="none" w:sz="0" w:space="0" w:color="auto"/>
            <w:right w:val="none" w:sz="0" w:space="0" w:color="auto"/>
          </w:divBdr>
        </w:div>
        <w:div w:id="66808553">
          <w:marLeft w:val="274"/>
          <w:marRight w:val="0"/>
          <w:marTop w:val="0"/>
          <w:marBottom w:val="0"/>
          <w:divBdr>
            <w:top w:val="none" w:sz="0" w:space="0" w:color="auto"/>
            <w:left w:val="none" w:sz="0" w:space="0" w:color="auto"/>
            <w:bottom w:val="none" w:sz="0" w:space="0" w:color="auto"/>
            <w:right w:val="none" w:sz="0" w:space="0" w:color="auto"/>
          </w:divBdr>
        </w:div>
        <w:div w:id="1197232074">
          <w:marLeft w:val="274"/>
          <w:marRight w:val="0"/>
          <w:marTop w:val="60"/>
          <w:marBottom w:val="0"/>
          <w:divBdr>
            <w:top w:val="none" w:sz="0" w:space="0" w:color="auto"/>
            <w:left w:val="none" w:sz="0" w:space="0" w:color="auto"/>
            <w:bottom w:val="none" w:sz="0" w:space="0" w:color="auto"/>
            <w:right w:val="none" w:sz="0" w:space="0" w:color="auto"/>
          </w:divBdr>
        </w:div>
        <w:div w:id="690686455">
          <w:marLeft w:val="562"/>
          <w:marRight w:val="0"/>
          <w:marTop w:val="60"/>
          <w:marBottom w:val="0"/>
          <w:divBdr>
            <w:top w:val="none" w:sz="0" w:space="0" w:color="auto"/>
            <w:left w:val="none" w:sz="0" w:space="0" w:color="auto"/>
            <w:bottom w:val="none" w:sz="0" w:space="0" w:color="auto"/>
            <w:right w:val="none" w:sz="0" w:space="0" w:color="auto"/>
          </w:divBdr>
        </w:div>
        <w:div w:id="1386610850">
          <w:marLeft w:val="562"/>
          <w:marRight w:val="0"/>
          <w:marTop w:val="60"/>
          <w:marBottom w:val="0"/>
          <w:divBdr>
            <w:top w:val="none" w:sz="0" w:space="0" w:color="auto"/>
            <w:left w:val="none" w:sz="0" w:space="0" w:color="auto"/>
            <w:bottom w:val="none" w:sz="0" w:space="0" w:color="auto"/>
            <w:right w:val="none" w:sz="0" w:space="0" w:color="auto"/>
          </w:divBdr>
        </w:div>
        <w:div w:id="1150947295">
          <w:marLeft w:val="562"/>
          <w:marRight w:val="0"/>
          <w:marTop w:val="60"/>
          <w:marBottom w:val="0"/>
          <w:divBdr>
            <w:top w:val="none" w:sz="0" w:space="0" w:color="auto"/>
            <w:left w:val="none" w:sz="0" w:space="0" w:color="auto"/>
            <w:bottom w:val="none" w:sz="0" w:space="0" w:color="auto"/>
            <w:right w:val="none" w:sz="0" w:space="0" w:color="auto"/>
          </w:divBdr>
        </w:div>
        <w:div w:id="1847093871">
          <w:marLeft w:val="562"/>
          <w:marRight w:val="0"/>
          <w:marTop w:val="60"/>
          <w:marBottom w:val="0"/>
          <w:divBdr>
            <w:top w:val="none" w:sz="0" w:space="0" w:color="auto"/>
            <w:left w:val="none" w:sz="0" w:space="0" w:color="auto"/>
            <w:bottom w:val="none" w:sz="0" w:space="0" w:color="auto"/>
            <w:right w:val="none" w:sz="0" w:space="0" w:color="auto"/>
          </w:divBdr>
        </w:div>
      </w:divsChild>
    </w:div>
    <w:div w:id="974527600">
      <w:bodyDiv w:val="1"/>
      <w:marLeft w:val="0"/>
      <w:marRight w:val="0"/>
      <w:marTop w:val="0"/>
      <w:marBottom w:val="0"/>
      <w:divBdr>
        <w:top w:val="none" w:sz="0" w:space="0" w:color="auto"/>
        <w:left w:val="none" w:sz="0" w:space="0" w:color="auto"/>
        <w:bottom w:val="none" w:sz="0" w:space="0" w:color="auto"/>
        <w:right w:val="none" w:sz="0" w:space="0" w:color="auto"/>
      </w:divBdr>
    </w:div>
    <w:div w:id="1021203247">
      <w:bodyDiv w:val="1"/>
      <w:marLeft w:val="0"/>
      <w:marRight w:val="0"/>
      <w:marTop w:val="0"/>
      <w:marBottom w:val="0"/>
      <w:divBdr>
        <w:top w:val="none" w:sz="0" w:space="0" w:color="auto"/>
        <w:left w:val="none" w:sz="0" w:space="0" w:color="auto"/>
        <w:bottom w:val="none" w:sz="0" w:space="0" w:color="auto"/>
        <w:right w:val="none" w:sz="0" w:space="0" w:color="auto"/>
      </w:divBdr>
      <w:divsChild>
        <w:div w:id="545799421">
          <w:marLeft w:val="274"/>
          <w:marRight w:val="0"/>
          <w:marTop w:val="0"/>
          <w:marBottom w:val="0"/>
          <w:divBdr>
            <w:top w:val="none" w:sz="0" w:space="0" w:color="auto"/>
            <w:left w:val="none" w:sz="0" w:space="0" w:color="auto"/>
            <w:bottom w:val="none" w:sz="0" w:space="0" w:color="auto"/>
            <w:right w:val="none" w:sz="0" w:space="0" w:color="auto"/>
          </w:divBdr>
        </w:div>
        <w:div w:id="754672495">
          <w:marLeft w:val="274"/>
          <w:marRight w:val="0"/>
          <w:marTop w:val="60"/>
          <w:marBottom w:val="0"/>
          <w:divBdr>
            <w:top w:val="none" w:sz="0" w:space="0" w:color="auto"/>
            <w:left w:val="none" w:sz="0" w:space="0" w:color="auto"/>
            <w:bottom w:val="none" w:sz="0" w:space="0" w:color="auto"/>
            <w:right w:val="none" w:sz="0" w:space="0" w:color="auto"/>
          </w:divBdr>
        </w:div>
      </w:divsChild>
    </w:div>
    <w:div w:id="1023365963">
      <w:bodyDiv w:val="1"/>
      <w:marLeft w:val="0"/>
      <w:marRight w:val="0"/>
      <w:marTop w:val="0"/>
      <w:marBottom w:val="0"/>
      <w:divBdr>
        <w:top w:val="none" w:sz="0" w:space="0" w:color="auto"/>
        <w:left w:val="none" w:sz="0" w:space="0" w:color="auto"/>
        <w:bottom w:val="none" w:sz="0" w:space="0" w:color="auto"/>
        <w:right w:val="none" w:sz="0" w:space="0" w:color="auto"/>
      </w:divBdr>
      <w:divsChild>
        <w:div w:id="1191455488">
          <w:marLeft w:val="274"/>
          <w:marRight w:val="0"/>
          <w:marTop w:val="30"/>
          <w:marBottom w:val="0"/>
          <w:divBdr>
            <w:top w:val="none" w:sz="0" w:space="0" w:color="auto"/>
            <w:left w:val="none" w:sz="0" w:space="0" w:color="auto"/>
            <w:bottom w:val="none" w:sz="0" w:space="0" w:color="auto"/>
            <w:right w:val="none" w:sz="0" w:space="0" w:color="auto"/>
          </w:divBdr>
        </w:div>
      </w:divsChild>
    </w:div>
    <w:div w:id="1048803753">
      <w:bodyDiv w:val="1"/>
      <w:marLeft w:val="0"/>
      <w:marRight w:val="0"/>
      <w:marTop w:val="0"/>
      <w:marBottom w:val="0"/>
      <w:divBdr>
        <w:top w:val="none" w:sz="0" w:space="0" w:color="auto"/>
        <w:left w:val="none" w:sz="0" w:space="0" w:color="auto"/>
        <w:bottom w:val="none" w:sz="0" w:space="0" w:color="auto"/>
        <w:right w:val="none" w:sz="0" w:space="0" w:color="auto"/>
      </w:divBdr>
    </w:div>
    <w:div w:id="1118136418">
      <w:bodyDiv w:val="1"/>
      <w:marLeft w:val="0"/>
      <w:marRight w:val="0"/>
      <w:marTop w:val="0"/>
      <w:marBottom w:val="0"/>
      <w:divBdr>
        <w:top w:val="none" w:sz="0" w:space="0" w:color="auto"/>
        <w:left w:val="none" w:sz="0" w:space="0" w:color="auto"/>
        <w:bottom w:val="none" w:sz="0" w:space="0" w:color="auto"/>
        <w:right w:val="none" w:sz="0" w:space="0" w:color="auto"/>
      </w:divBdr>
      <w:divsChild>
        <w:div w:id="1376004613">
          <w:marLeft w:val="274"/>
          <w:marRight w:val="0"/>
          <w:marTop w:val="0"/>
          <w:marBottom w:val="0"/>
          <w:divBdr>
            <w:top w:val="none" w:sz="0" w:space="0" w:color="auto"/>
            <w:left w:val="none" w:sz="0" w:space="0" w:color="auto"/>
            <w:bottom w:val="none" w:sz="0" w:space="0" w:color="auto"/>
            <w:right w:val="none" w:sz="0" w:space="0" w:color="auto"/>
          </w:divBdr>
        </w:div>
        <w:div w:id="824321255">
          <w:marLeft w:val="576"/>
          <w:marRight w:val="0"/>
          <w:marTop w:val="0"/>
          <w:marBottom w:val="0"/>
          <w:divBdr>
            <w:top w:val="none" w:sz="0" w:space="0" w:color="auto"/>
            <w:left w:val="none" w:sz="0" w:space="0" w:color="auto"/>
            <w:bottom w:val="none" w:sz="0" w:space="0" w:color="auto"/>
            <w:right w:val="none" w:sz="0" w:space="0" w:color="auto"/>
          </w:divBdr>
        </w:div>
        <w:div w:id="1100487947">
          <w:marLeft w:val="576"/>
          <w:marRight w:val="0"/>
          <w:marTop w:val="0"/>
          <w:marBottom w:val="0"/>
          <w:divBdr>
            <w:top w:val="none" w:sz="0" w:space="0" w:color="auto"/>
            <w:left w:val="none" w:sz="0" w:space="0" w:color="auto"/>
            <w:bottom w:val="none" w:sz="0" w:space="0" w:color="auto"/>
            <w:right w:val="none" w:sz="0" w:space="0" w:color="auto"/>
          </w:divBdr>
        </w:div>
        <w:div w:id="932324196">
          <w:marLeft w:val="576"/>
          <w:marRight w:val="0"/>
          <w:marTop w:val="0"/>
          <w:marBottom w:val="0"/>
          <w:divBdr>
            <w:top w:val="none" w:sz="0" w:space="0" w:color="auto"/>
            <w:left w:val="none" w:sz="0" w:space="0" w:color="auto"/>
            <w:bottom w:val="none" w:sz="0" w:space="0" w:color="auto"/>
            <w:right w:val="none" w:sz="0" w:space="0" w:color="auto"/>
          </w:divBdr>
        </w:div>
        <w:div w:id="1812867667">
          <w:marLeft w:val="274"/>
          <w:marRight w:val="0"/>
          <w:marTop w:val="0"/>
          <w:marBottom w:val="0"/>
          <w:divBdr>
            <w:top w:val="none" w:sz="0" w:space="0" w:color="auto"/>
            <w:left w:val="none" w:sz="0" w:space="0" w:color="auto"/>
            <w:bottom w:val="none" w:sz="0" w:space="0" w:color="auto"/>
            <w:right w:val="none" w:sz="0" w:space="0" w:color="auto"/>
          </w:divBdr>
        </w:div>
      </w:divsChild>
    </w:div>
    <w:div w:id="1131438147">
      <w:bodyDiv w:val="1"/>
      <w:marLeft w:val="0"/>
      <w:marRight w:val="0"/>
      <w:marTop w:val="0"/>
      <w:marBottom w:val="0"/>
      <w:divBdr>
        <w:top w:val="none" w:sz="0" w:space="0" w:color="auto"/>
        <w:left w:val="none" w:sz="0" w:space="0" w:color="auto"/>
        <w:bottom w:val="none" w:sz="0" w:space="0" w:color="auto"/>
        <w:right w:val="none" w:sz="0" w:space="0" w:color="auto"/>
      </w:divBdr>
      <w:divsChild>
        <w:div w:id="1916359441">
          <w:marLeft w:val="274"/>
          <w:marRight w:val="0"/>
          <w:marTop w:val="30"/>
          <w:marBottom w:val="0"/>
          <w:divBdr>
            <w:top w:val="none" w:sz="0" w:space="0" w:color="auto"/>
            <w:left w:val="none" w:sz="0" w:space="0" w:color="auto"/>
            <w:bottom w:val="none" w:sz="0" w:space="0" w:color="auto"/>
            <w:right w:val="none" w:sz="0" w:space="0" w:color="auto"/>
          </w:divBdr>
        </w:div>
        <w:div w:id="94790805">
          <w:marLeft w:val="274"/>
          <w:marRight w:val="0"/>
          <w:marTop w:val="30"/>
          <w:marBottom w:val="0"/>
          <w:divBdr>
            <w:top w:val="none" w:sz="0" w:space="0" w:color="auto"/>
            <w:left w:val="none" w:sz="0" w:space="0" w:color="auto"/>
            <w:bottom w:val="none" w:sz="0" w:space="0" w:color="auto"/>
            <w:right w:val="none" w:sz="0" w:space="0" w:color="auto"/>
          </w:divBdr>
        </w:div>
      </w:divsChild>
    </w:div>
    <w:div w:id="1146119307">
      <w:bodyDiv w:val="1"/>
      <w:marLeft w:val="0"/>
      <w:marRight w:val="0"/>
      <w:marTop w:val="0"/>
      <w:marBottom w:val="0"/>
      <w:divBdr>
        <w:top w:val="none" w:sz="0" w:space="0" w:color="auto"/>
        <w:left w:val="none" w:sz="0" w:space="0" w:color="auto"/>
        <w:bottom w:val="none" w:sz="0" w:space="0" w:color="auto"/>
        <w:right w:val="none" w:sz="0" w:space="0" w:color="auto"/>
      </w:divBdr>
    </w:div>
    <w:div w:id="1221592600">
      <w:bodyDiv w:val="1"/>
      <w:marLeft w:val="0"/>
      <w:marRight w:val="0"/>
      <w:marTop w:val="0"/>
      <w:marBottom w:val="0"/>
      <w:divBdr>
        <w:top w:val="none" w:sz="0" w:space="0" w:color="auto"/>
        <w:left w:val="none" w:sz="0" w:space="0" w:color="auto"/>
        <w:bottom w:val="none" w:sz="0" w:space="0" w:color="auto"/>
        <w:right w:val="none" w:sz="0" w:space="0" w:color="auto"/>
      </w:divBdr>
      <w:divsChild>
        <w:div w:id="1864705120">
          <w:marLeft w:val="274"/>
          <w:marRight w:val="0"/>
          <w:marTop w:val="30"/>
          <w:marBottom w:val="0"/>
          <w:divBdr>
            <w:top w:val="none" w:sz="0" w:space="0" w:color="auto"/>
            <w:left w:val="none" w:sz="0" w:space="0" w:color="auto"/>
            <w:bottom w:val="none" w:sz="0" w:space="0" w:color="auto"/>
            <w:right w:val="none" w:sz="0" w:space="0" w:color="auto"/>
          </w:divBdr>
        </w:div>
        <w:div w:id="2039887207">
          <w:marLeft w:val="274"/>
          <w:marRight w:val="0"/>
          <w:marTop w:val="30"/>
          <w:marBottom w:val="0"/>
          <w:divBdr>
            <w:top w:val="none" w:sz="0" w:space="0" w:color="auto"/>
            <w:left w:val="none" w:sz="0" w:space="0" w:color="auto"/>
            <w:bottom w:val="none" w:sz="0" w:space="0" w:color="auto"/>
            <w:right w:val="none" w:sz="0" w:space="0" w:color="auto"/>
          </w:divBdr>
        </w:div>
      </w:divsChild>
    </w:div>
    <w:div w:id="1321428008">
      <w:bodyDiv w:val="1"/>
      <w:marLeft w:val="0"/>
      <w:marRight w:val="0"/>
      <w:marTop w:val="0"/>
      <w:marBottom w:val="0"/>
      <w:divBdr>
        <w:top w:val="none" w:sz="0" w:space="0" w:color="auto"/>
        <w:left w:val="none" w:sz="0" w:space="0" w:color="auto"/>
        <w:bottom w:val="none" w:sz="0" w:space="0" w:color="auto"/>
        <w:right w:val="none" w:sz="0" w:space="0" w:color="auto"/>
      </w:divBdr>
      <w:divsChild>
        <w:div w:id="627324116">
          <w:marLeft w:val="274"/>
          <w:marRight w:val="0"/>
          <w:marTop w:val="30"/>
          <w:marBottom w:val="0"/>
          <w:divBdr>
            <w:top w:val="none" w:sz="0" w:space="0" w:color="auto"/>
            <w:left w:val="none" w:sz="0" w:space="0" w:color="auto"/>
            <w:bottom w:val="none" w:sz="0" w:space="0" w:color="auto"/>
            <w:right w:val="none" w:sz="0" w:space="0" w:color="auto"/>
          </w:divBdr>
        </w:div>
        <w:div w:id="1108502404">
          <w:marLeft w:val="274"/>
          <w:marRight w:val="0"/>
          <w:marTop w:val="30"/>
          <w:marBottom w:val="0"/>
          <w:divBdr>
            <w:top w:val="none" w:sz="0" w:space="0" w:color="auto"/>
            <w:left w:val="none" w:sz="0" w:space="0" w:color="auto"/>
            <w:bottom w:val="none" w:sz="0" w:space="0" w:color="auto"/>
            <w:right w:val="none" w:sz="0" w:space="0" w:color="auto"/>
          </w:divBdr>
        </w:div>
      </w:divsChild>
    </w:div>
    <w:div w:id="1355620885">
      <w:bodyDiv w:val="1"/>
      <w:marLeft w:val="0"/>
      <w:marRight w:val="0"/>
      <w:marTop w:val="0"/>
      <w:marBottom w:val="0"/>
      <w:divBdr>
        <w:top w:val="none" w:sz="0" w:space="0" w:color="auto"/>
        <w:left w:val="none" w:sz="0" w:space="0" w:color="auto"/>
        <w:bottom w:val="none" w:sz="0" w:space="0" w:color="auto"/>
        <w:right w:val="none" w:sz="0" w:space="0" w:color="auto"/>
      </w:divBdr>
      <w:divsChild>
        <w:div w:id="301429516">
          <w:marLeft w:val="274"/>
          <w:marRight w:val="0"/>
          <w:marTop w:val="30"/>
          <w:marBottom w:val="0"/>
          <w:divBdr>
            <w:top w:val="none" w:sz="0" w:space="0" w:color="auto"/>
            <w:left w:val="none" w:sz="0" w:space="0" w:color="auto"/>
            <w:bottom w:val="none" w:sz="0" w:space="0" w:color="auto"/>
            <w:right w:val="none" w:sz="0" w:space="0" w:color="auto"/>
          </w:divBdr>
        </w:div>
        <w:div w:id="948272918">
          <w:marLeft w:val="274"/>
          <w:marRight w:val="0"/>
          <w:marTop w:val="30"/>
          <w:marBottom w:val="0"/>
          <w:divBdr>
            <w:top w:val="none" w:sz="0" w:space="0" w:color="auto"/>
            <w:left w:val="none" w:sz="0" w:space="0" w:color="auto"/>
            <w:bottom w:val="none" w:sz="0" w:space="0" w:color="auto"/>
            <w:right w:val="none" w:sz="0" w:space="0" w:color="auto"/>
          </w:divBdr>
        </w:div>
        <w:div w:id="1831292405">
          <w:marLeft w:val="274"/>
          <w:marRight w:val="0"/>
          <w:marTop w:val="30"/>
          <w:marBottom w:val="0"/>
          <w:divBdr>
            <w:top w:val="none" w:sz="0" w:space="0" w:color="auto"/>
            <w:left w:val="none" w:sz="0" w:space="0" w:color="auto"/>
            <w:bottom w:val="none" w:sz="0" w:space="0" w:color="auto"/>
            <w:right w:val="none" w:sz="0" w:space="0" w:color="auto"/>
          </w:divBdr>
        </w:div>
        <w:div w:id="1391002755">
          <w:marLeft w:val="274"/>
          <w:marRight w:val="0"/>
          <w:marTop w:val="30"/>
          <w:marBottom w:val="0"/>
          <w:divBdr>
            <w:top w:val="none" w:sz="0" w:space="0" w:color="auto"/>
            <w:left w:val="none" w:sz="0" w:space="0" w:color="auto"/>
            <w:bottom w:val="none" w:sz="0" w:space="0" w:color="auto"/>
            <w:right w:val="none" w:sz="0" w:space="0" w:color="auto"/>
          </w:divBdr>
        </w:div>
        <w:div w:id="413748595">
          <w:marLeft w:val="274"/>
          <w:marRight w:val="0"/>
          <w:marTop w:val="30"/>
          <w:marBottom w:val="0"/>
          <w:divBdr>
            <w:top w:val="none" w:sz="0" w:space="0" w:color="auto"/>
            <w:left w:val="none" w:sz="0" w:space="0" w:color="auto"/>
            <w:bottom w:val="none" w:sz="0" w:space="0" w:color="auto"/>
            <w:right w:val="none" w:sz="0" w:space="0" w:color="auto"/>
          </w:divBdr>
        </w:div>
      </w:divsChild>
    </w:div>
    <w:div w:id="1359503741">
      <w:bodyDiv w:val="1"/>
      <w:marLeft w:val="0"/>
      <w:marRight w:val="0"/>
      <w:marTop w:val="0"/>
      <w:marBottom w:val="0"/>
      <w:divBdr>
        <w:top w:val="none" w:sz="0" w:space="0" w:color="auto"/>
        <w:left w:val="none" w:sz="0" w:space="0" w:color="auto"/>
        <w:bottom w:val="none" w:sz="0" w:space="0" w:color="auto"/>
        <w:right w:val="none" w:sz="0" w:space="0" w:color="auto"/>
      </w:divBdr>
      <w:divsChild>
        <w:div w:id="1085104146">
          <w:marLeft w:val="274"/>
          <w:marRight w:val="0"/>
          <w:marTop w:val="30"/>
          <w:marBottom w:val="0"/>
          <w:divBdr>
            <w:top w:val="none" w:sz="0" w:space="0" w:color="auto"/>
            <w:left w:val="none" w:sz="0" w:space="0" w:color="auto"/>
            <w:bottom w:val="none" w:sz="0" w:space="0" w:color="auto"/>
            <w:right w:val="none" w:sz="0" w:space="0" w:color="auto"/>
          </w:divBdr>
        </w:div>
        <w:div w:id="630861908">
          <w:marLeft w:val="274"/>
          <w:marRight w:val="0"/>
          <w:marTop w:val="30"/>
          <w:marBottom w:val="0"/>
          <w:divBdr>
            <w:top w:val="none" w:sz="0" w:space="0" w:color="auto"/>
            <w:left w:val="none" w:sz="0" w:space="0" w:color="auto"/>
            <w:bottom w:val="none" w:sz="0" w:space="0" w:color="auto"/>
            <w:right w:val="none" w:sz="0" w:space="0" w:color="auto"/>
          </w:divBdr>
        </w:div>
        <w:div w:id="1177425613">
          <w:marLeft w:val="274"/>
          <w:marRight w:val="0"/>
          <w:marTop w:val="30"/>
          <w:marBottom w:val="0"/>
          <w:divBdr>
            <w:top w:val="none" w:sz="0" w:space="0" w:color="auto"/>
            <w:left w:val="none" w:sz="0" w:space="0" w:color="auto"/>
            <w:bottom w:val="none" w:sz="0" w:space="0" w:color="auto"/>
            <w:right w:val="none" w:sz="0" w:space="0" w:color="auto"/>
          </w:divBdr>
        </w:div>
        <w:div w:id="2103260553">
          <w:marLeft w:val="274"/>
          <w:marRight w:val="0"/>
          <w:marTop w:val="30"/>
          <w:marBottom w:val="0"/>
          <w:divBdr>
            <w:top w:val="none" w:sz="0" w:space="0" w:color="auto"/>
            <w:left w:val="none" w:sz="0" w:space="0" w:color="auto"/>
            <w:bottom w:val="none" w:sz="0" w:space="0" w:color="auto"/>
            <w:right w:val="none" w:sz="0" w:space="0" w:color="auto"/>
          </w:divBdr>
        </w:div>
        <w:div w:id="1759713332">
          <w:marLeft w:val="274"/>
          <w:marRight w:val="0"/>
          <w:marTop w:val="30"/>
          <w:marBottom w:val="0"/>
          <w:divBdr>
            <w:top w:val="none" w:sz="0" w:space="0" w:color="auto"/>
            <w:left w:val="none" w:sz="0" w:space="0" w:color="auto"/>
            <w:bottom w:val="none" w:sz="0" w:space="0" w:color="auto"/>
            <w:right w:val="none" w:sz="0" w:space="0" w:color="auto"/>
          </w:divBdr>
        </w:div>
        <w:div w:id="573860770">
          <w:marLeft w:val="274"/>
          <w:marRight w:val="0"/>
          <w:marTop w:val="30"/>
          <w:marBottom w:val="0"/>
          <w:divBdr>
            <w:top w:val="none" w:sz="0" w:space="0" w:color="auto"/>
            <w:left w:val="none" w:sz="0" w:space="0" w:color="auto"/>
            <w:bottom w:val="none" w:sz="0" w:space="0" w:color="auto"/>
            <w:right w:val="none" w:sz="0" w:space="0" w:color="auto"/>
          </w:divBdr>
        </w:div>
      </w:divsChild>
    </w:div>
    <w:div w:id="1405564727">
      <w:bodyDiv w:val="1"/>
      <w:marLeft w:val="0"/>
      <w:marRight w:val="0"/>
      <w:marTop w:val="0"/>
      <w:marBottom w:val="0"/>
      <w:divBdr>
        <w:top w:val="none" w:sz="0" w:space="0" w:color="auto"/>
        <w:left w:val="none" w:sz="0" w:space="0" w:color="auto"/>
        <w:bottom w:val="none" w:sz="0" w:space="0" w:color="auto"/>
        <w:right w:val="none" w:sz="0" w:space="0" w:color="auto"/>
      </w:divBdr>
      <w:divsChild>
        <w:div w:id="538322106">
          <w:marLeft w:val="274"/>
          <w:marRight w:val="0"/>
          <w:marTop w:val="30"/>
          <w:marBottom w:val="0"/>
          <w:divBdr>
            <w:top w:val="none" w:sz="0" w:space="0" w:color="auto"/>
            <w:left w:val="none" w:sz="0" w:space="0" w:color="auto"/>
            <w:bottom w:val="none" w:sz="0" w:space="0" w:color="auto"/>
            <w:right w:val="none" w:sz="0" w:space="0" w:color="auto"/>
          </w:divBdr>
        </w:div>
        <w:div w:id="1495608345">
          <w:marLeft w:val="274"/>
          <w:marRight w:val="0"/>
          <w:marTop w:val="30"/>
          <w:marBottom w:val="0"/>
          <w:divBdr>
            <w:top w:val="none" w:sz="0" w:space="0" w:color="auto"/>
            <w:left w:val="none" w:sz="0" w:space="0" w:color="auto"/>
            <w:bottom w:val="none" w:sz="0" w:space="0" w:color="auto"/>
            <w:right w:val="none" w:sz="0" w:space="0" w:color="auto"/>
          </w:divBdr>
        </w:div>
      </w:divsChild>
    </w:div>
    <w:div w:id="1459251698">
      <w:bodyDiv w:val="1"/>
      <w:marLeft w:val="0"/>
      <w:marRight w:val="0"/>
      <w:marTop w:val="0"/>
      <w:marBottom w:val="0"/>
      <w:divBdr>
        <w:top w:val="none" w:sz="0" w:space="0" w:color="auto"/>
        <w:left w:val="none" w:sz="0" w:space="0" w:color="auto"/>
        <w:bottom w:val="none" w:sz="0" w:space="0" w:color="auto"/>
        <w:right w:val="none" w:sz="0" w:space="0" w:color="auto"/>
      </w:divBdr>
      <w:divsChild>
        <w:div w:id="1543446941">
          <w:marLeft w:val="274"/>
          <w:marRight w:val="0"/>
          <w:marTop w:val="30"/>
          <w:marBottom w:val="0"/>
          <w:divBdr>
            <w:top w:val="none" w:sz="0" w:space="0" w:color="auto"/>
            <w:left w:val="none" w:sz="0" w:space="0" w:color="auto"/>
            <w:bottom w:val="none" w:sz="0" w:space="0" w:color="auto"/>
            <w:right w:val="none" w:sz="0" w:space="0" w:color="auto"/>
          </w:divBdr>
        </w:div>
        <w:div w:id="298345291">
          <w:marLeft w:val="274"/>
          <w:marRight w:val="0"/>
          <w:marTop w:val="30"/>
          <w:marBottom w:val="0"/>
          <w:divBdr>
            <w:top w:val="none" w:sz="0" w:space="0" w:color="auto"/>
            <w:left w:val="none" w:sz="0" w:space="0" w:color="auto"/>
            <w:bottom w:val="none" w:sz="0" w:space="0" w:color="auto"/>
            <w:right w:val="none" w:sz="0" w:space="0" w:color="auto"/>
          </w:divBdr>
        </w:div>
      </w:divsChild>
    </w:div>
    <w:div w:id="1469200264">
      <w:bodyDiv w:val="1"/>
      <w:marLeft w:val="0"/>
      <w:marRight w:val="0"/>
      <w:marTop w:val="0"/>
      <w:marBottom w:val="0"/>
      <w:divBdr>
        <w:top w:val="none" w:sz="0" w:space="0" w:color="auto"/>
        <w:left w:val="none" w:sz="0" w:space="0" w:color="auto"/>
        <w:bottom w:val="none" w:sz="0" w:space="0" w:color="auto"/>
        <w:right w:val="none" w:sz="0" w:space="0" w:color="auto"/>
      </w:divBdr>
    </w:div>
    <w:div w:id="1472015242">
      <w:bodyDiv w:val="1"/>
      <w:marLeft w:val="0"/>
      <w:marRight w:val="0"/>
      <w:marTop w:val="0"/>
      <w:marBottom w:val="0"/>
      <w:divBdr>
        <w:top w:val="none" w:sz="0" w:space="0" w:color="auto"/>
        <w:left w:val="none" w:sz="0" w:space="0" w:color="auto"/>
        <w:bottom w:val="none" w:sz="0" w:space="0" w:color="auto"/>
        <w:right w:val="none" w:sz="0" w:space="0" w:color="auto"/>
      </w:divBdr>
      <w:divsChild>
        <w:div w:id="151339787">
          <w:marLeft w:val="274"/>
          <w:marRight w:val="0"/>
          <w:marTop w:val="30"/>
          <w:marBottom w:val="0"/>
          <w:divBdr>
            <w:top w:val="none" w:sz="0" w:space="0" w:color="auto"/>
            <w:left w:val="none" w:sz="0" w:space="0" w:color="auto"/>
            <w:bottom w:val="none" w:sz="0" w:space="0" w:color="auto"/>
            <w:right w:val="none" w:sz="0" w:space="0" w:color="auto"/>
          </w:divBdr>
        </w:div>
        <w:div w:id="49892079">
          <w:marLeft w:val="274"/>
          <w:marRight w:val="0"/>
          <w:marTop w:val="30"/>
          <w:marBottom w:val="0"/>
          <w:divBdr>
            <w:top w:val="none" w:sz="0" w:space="0" w:color="auto"/>
            <w:left w:val="none" w:sz="0" w:space="0" w:color="auto"/>
            <w:bottom w:val="none" w:sz="0" w:space="0" w:color="auto"/>
            <w:right w:val="none" w:sz="0" w:space="0" w:color="auto"/>
          </w:divBdr>
        </w:div>
      </w:divsChild>
    </w:div>
    <w:div w:id="1644656649">
      <w:bodyDiv w:val="1"/>
      <w:marLeft w:val="0"/>
      <w:marRight w:val="0"/>
      <w:marTop w:val="0"/>
      <w:marBottom w:val="0"/>
      <w:divBdr>
        <w:top w:val="none" w:sz="0" w:space="0" w:color="auto"/>
        <w:left w:val="none" w:sz="0" w:space="0" w:color="auto"/>
        <w:bottom w:val="none" w:sz="0" w:space="0" w:color="auto"/>
        <w:right w:val="none" w:sz="0" w:space="0" w:color="auto"/>
      </w:divBdr>
    </w:div>
    <w:div w:id="1674256333">
      <w:bodyDiv w:val="1"/>
      <w:marLeft w:val="0"/>
      <w:marRight w:val="0"/>
      <w:marTop w:val="0"/>
      <w:marBottom w:val="0"/>
      <w:divBdr>
        <w:top w:val="none" w:sz="0" w:space="0" w:color="auto"/>
        <w:left w:val="none" w:sz="0" w:space="0" w:color="auto"/>
        <w:bottom w:val="none" w:sz="0" w:space="0" w:color="auto"/>
        <w:right w:val="none" w:sz="0" w:space="0" w:color="auto"/>
      </w:divBdr>
      <w:divsChild>
        <w:div w:id="247691922">
          <w:marLeft w:val="274"/>
          <w:marRight w:val="0"/>
          <w:marTop w:val="60"/>
          <w:marBottom w:val="0"/>
          <w:divBdr>
            <w:top w:val="none" w:sz="0" w:space="0" w:color="auto"/>
            <w:left w:val="none" w:sz="0" w:space="0" w:color="auto"/>
            <w:bottom w:val="none" w:sz="0" w:space="0" w:color="auto"/>
            <w:right w:val="none" w:sz="0" w:space="0" w:color="auto"/>
          </w:divBdr>
        </w:div>
      </w:divsChild>
    </w:div>
    <w:div w:id="1710061875">
      <w:bodyDiv w:val="1"/>
      <w:marLeft w:val="0"/>
      <w:marRight w:val="0"/>
      <w:marTop w:val="0"/>
      <w:marBottom w:val="0"/>
      <w:divBdr>
        <w:top w:val="none" w:sz="0" w:space="0" w:color="auto"/>
        <w:left w:val="none" w:sz="0" w:space="0" w:color="auto"/>
        <w:bottom w:val="none" w:sz="0" w:space="0" w:color="auto"/>
        <w:right w:val="none" w:sz="0" w:space="0" w:color="auto"/>
      </w:divBdr>
      <w:divsChild>
        <w:div w:id="1936475102">
          <w:marLeft w:val="274"/>
          <w:marRight w:val="0"/>
          <w:marTop w:val="60"/>
          <w:marBottom w:val="0"/>
          <w:divBdr>
            <w:top w:val="none" w:sz="0" w:space="0" w:color="auto"/>
            <w:left w:val="none" w:sz="0" w:space="0" w:color="auto"/>
            <w:bottom w:val="none" w:sz="0" w:space="0" w:color="auto"/>
            <w:right w:val="none" w:sz="0" w:space="0" w:color="auto"/>
          </w:divBdr>
        </w:div>
        <w:div w:id="2146850951">
          <w:marLeft w:val="274"/>
          <w:marRight w:val="0"/>
          <w:marTop w:val="60"/>
          <w:marBottom w:val="0"/>
          <w:divBdr>
            <w:top w:val="none" w:sz="0" w:space="0" w:color="auto"/>
            <w:left w:val="none" w:sz="0" w:space="0" w:color="auto"/>
            <w:bottom w:val="none" w:sz="0" w:space="0" w:color="auto"/>
            <w:right w:val="none" w:sz="0" w:space="0" w:color="auto"/>
          </w:divBdr>
        </w:div>
      </w:divsChild>
    </w:div>
    <w:div w:id="1711605785">
      <w:bodyDiv w:val="1"/>
      <w:marLeft w:val="0"/>
      <w:marRight w:val="0"/>
      <w:marTop w:val="0"/>
      <w:marBottom w:val="0"/>
      <w:divBdr>
        <w:top w:val="none" w:sz="0" w:space="0" w:color="auto"/>
        <w:left w:val="none" w:sz="0" w:space="0" w:color="auto"/>
        <w:bottom w:val="none" w:sz="0" w:space="0" w:color="auto"/>
        <w:right w:val="none" w:sz="0" w:space="0" w:color="auto"/>
      </w:divBdr>
      <w:divsChild>
        <w:div w:id="887842547">
          <w:marLeft w:val="274"/>
          <w:marRight w:val="0"/>
          <w:marTop w:val="30"/>
          <w:marBottom w:val="0"/>
          <w:divBdr>
            <w:top w:val="none" w:sz="0" w:space="0" w:color="auto"/>
            <w:left w:val="none" w:sz="0" w:space="0" w:color="auto"/>
            <w:bottom w:val="none" w:sz="0" w:space="0" w:color="auto"/>
            <w:right w:val="none" w:sz="0" w:space="0" w:color="auto"/>
          </w:divBdr>
        </w:div>
        <w:div w:id="586891281">
          <w:marLeft w:val="274"/>
          <w:marRight w:val="0"/>
          <w:marTop w:val="30"/>
          <w:marBottom w:val="0"/>
          <w:divBdr>
            <w:top w:val="none" w:sz="0" w:space="0" w:color="auto"/>
            <w:left w:val="none" w:sz="0" w:space="0" w:color="auto"/>
            <w:bottom w:val="none" w:sz="0" w:space="0" w:color="auto"/>
            <w:right w:val="none" w:sz="0" w:space="0" w:color="auto"/>
          </w:divBdr>
        </w:div>
      </w:divsChild>
    </w:div>
    <w:div w:id="1738015754">
      <w:bodyDiv w:val="1"/>
      <w:marLeft w:val="0"/>
      <w:marRight w:val="0"/>
      <w:marTop w:val="0"/>
      <w:marBottom w:val="0"/>
      <w:divBdr>
        <w:top w:val="none" w:sz="0" w:space="0" w:color="auto"/>
        <w:left w:val="none" w:sz="0" w:space="0" w:color="auto"/>
        <w:bottom w:val="none" w:sz="0" w:space="0" w:color="auto"/>
        <w:right w:val="none" w:sz="0" w:space="0" w:color="auto"/>
      </w:divBdr>
      <w:divsChild>
        <w:div w:id="1624143768">
          <w:marLeft w:val="274"/>
          <w:marRight w:val="0"/>
          <w:marTop w:val="0"/>
          <w:marBottom w:val="0"/>
          <w:divBdr>
            <w:top w:val="none" w:sz="0" w:space="0" w:color="auto"/>
            <w:left w:val="none" w:sz="0" w:space="0" w:color="auto"/>
            <w:bottom w:val="none" w:sz="0" w:space="0" w:color="auto"/>
            <w:right w:val="none" w:sz="0" w:space="0" w:color="auto"/>
          </w:divBdr>
        </w:div>
        <w:div w:id="1817330552">
          <w:marLeft w:val="274"/>
          <w:marRight w:val="0"/>
          <w:marTop w:val="0"/>
          <w:marBottom w:val="0"/>
          <w:divBdr>
            <w:top w:val="none" w:sz="0" w:space="0" w:color="auto"/>
            <w:left w:val="none" w:sz="0" w:space="0" w:color="auto"/>
            <w:bottom w:val="none" w:sz="0" w:space="0" w:color="auto"/>
            <w:right w:val="none" w:sz="0" w:space="0" w:color="auto"/>
          </w:divBdr>
        </w:div>
        <w:div w:id="197859589">
          <w:marLeft w:val="274"/>
          <w:marRight w:val="0"/>
          <w:marTop w:val="0"/>
          <w:marBottom w:val="0"/>
          <w:divBdr>
            <w:top w:val="none" w:sz="0" w:space="0" w:color="auto"/>
            <w:left w:val="none" w:sz="0" w:space="0" w:color="auto"/>
            <w:bottom w:val="none" w:sz="0" w:space="0" w:color="auto"/>
            <w:right w:val="none" w:sz="0" w:space="0" w:color="auto"/>
          </w:divBdr>
        </w:div>
        <w:div w:id="1639652710">
          <w:marLeft w:val="274"/>
          <w:marRight w:val="0"/>
          <w:marTop w:val="0"/>
          <w:marBottom w:val="0"/>
          <w:divBdr>
            <w:top w:val="none" w:sz="0" w:space="0" w:color="auto"/>
            <w:left w:val="none" w:sz="0" w:space="0" w:color="auto"/>
            <w:bottom w:val="none" w:sz="0" w:space="0" w:color="auto"/>
            <w:right w:val="none" w:sz="0" w:space="0" w:color="auto"/>
          </w:divBdr>
        </w:div>
      </w:divsChild>
    </w:div>
    <w:div w:id="1786730078">
      <w:bodyDiv w:val="1"/>
      <w:marLeft w:val="0"/>
      <w:marRight w:val="0"/>
      <w:marTop w:val="0"/>
      <w:marBottom w:val="0"/>
      <w:divBdr>
        <w:top w:val="none" w:sz="0" w:space="0" w:color="auto"/>
        <w:left w:val="none" w:sz="0" w:space="0" w:color="auto"/>
        <w:bottom w:val="none" w:sz="0" w:space="0" w:color="auto"/>
        <w:right w:val="none" w:sz="0" w:space="0" w:color="auto"/>
      </w:divBdr>
      <w:divsChild>
        <w:div w:id="1316304505">
          <w:marLeft w:val="274"/>
          <w:marRight w:val="0"/>
          <w:marTop w:val="120"/>
          <w:marBottom w:val="60"/>
          <w:divBdr>
            <w:top w:val="none" w:sz="0" w:space="0" w:color="auto"/>
            <w:left w:val="none" w:sz="0" w:space="0" w:color="auto"/>
            <w:bottom w:val="none" w:sz="0" w:space="0" w:color="auto"/>
            <w:right w:val="none" w:sz="0" w:space="0" w:color="auto"/>
          </w:divBdr>
        </w:div>
        <w:div w:id="1664430348">
          <w:marLeft w:val="274"/>
          <w:marRight w:val="0"/>
          <w:marTop w:val="0"/>
          <w:marBottom w:val="60"/>
          <w:divBdr>
            <w:top w:val="none" w:sz="0" w:space="0" w:color="auto"/>
            <w:left w:val="none" w:sz="0" w:space="0" w:color="auto"/>
            <w:bottom w:val="none" w:sz="0" w:space="0" w:color="auto"/>
            <w:right w:val="none" w:sz="0" w:space="0" w:color="auto"/>
          </w:divBdr>
        </w:div>
        <w:div w:id="1383478425">
          <w:marLeft w:val="274"/>
          <w:marRight w:val="0"/>
          <w:marTop w:val="0"/>
          <w:marBottom w:val="60"/>
          <w:divBdr>
            <w:top w:val="none" w:sz="0" w:space="0" w:color="auto"/>
            <w:left w:val="none" w:sz="0" w:space="0" w:color="auto"/>
            <w:bottom w:val="none" w:sz="0" w:space="0" w:color="auto"/>
            <w:right w:val="none" w:sz="0" w:space="0" w:color="auto"/>
          </w:divBdr>
        </w:div>
      </w:divsChild>
    </w:div>
    <w:div w:id="1801344362">
      <w:bodyDiv w:val="1"/>
      <w:marLeft w:val="0"/>
      <w:marRight w:val="0"/>
      <w:marTop w:val="0"/>
      <w:marBottom w:val="0"/>
      <w:divBdr>
        <w:top w:val="none" w:sz="0" w:space="0" w:color="auto"/>
        <w:left w:val="none" w:sz="0" w:space="0" w:color="auto"/>
        <w:bottom w:val="none" w:sz="0" w:space="0" w:color="auto"/>
        <w:right w:val="none" w:sz="0" w:space="0" w:color="auto"/>
      </w:divBdr>
    </w:div>
    <w:div w:id="1841039216">
      <w:bodyDiv w:val="1"/>
      <w:marLeft w:val="0"/>
      <w:marRight w:val="0"/>
      <w:marTop w:val="0"/>
      <w:marBottom w:val="0"/>
      <w:divBdr>
        <w:top w:val="none" w:sz="0" w:space="0" w:color="auto"/>
        <w:left w:val="none" w:sz="0" w:space="0" w:color="auto"/>
        <w:bottom w:val="none" w:sz="0" w:space="0" w:color="auto"/>
        <w:right w:val="none" w:sz="0" w:space="0" w:color="auto"/>
      </w:divBdr>
      <w:divsChild>
        <w:div w:id="137647602">
          <w:marLeft w:val="274"/>
          <w:marRight w:val="0"/>
          <w:marTop w:val="30"/>
          <w:marBottom w:val="0"/>
          <w:divBdr>
            <w:top w:val="none" w:sz="0" w:space="0" w:color="auto"/>
            <w:left w:val="none" w:sz="0" w:space="0" w:color="auto"/>
            <w:bottom w:val="none" w:sz="0" w:space="0" w:color="auto"/>
            <w:right w:val="none" w:sz="0" w:space="0" w:color="auto"/>
          </w:divBdr>
        </w:div>
        <w:div w:id="1854832318">
          <w:marLeft w:val="274"/>
          <w:marRight w:val="0"/>
          <w:marTop w:val="30"/>
          <w:marBottom w:val="0"/>
          <w:divBdr>
            <w:top w:val="none" w:sz="0" w:space="0" w:color="auto"/>
            <w:left w:val="none" w:sz="0" w:space="0" w:color="auto"/>
            <w:bottom w:val="none" w:sz="0" w:space="0" w:color="auto"/>
            <w:right w:val="none" w:sz="0" w:space="0" w:color="auto"/>
          </w:divBdr>
        </w:div>
      </w:divsChild>
    </w:div>
    <w:div w:id="1843736985">
      <w:bodyDiv w:val="1"/>
      <w:marLeft w:val="0"/>
      <w:marRight w:val="0"/>
      <w:marTop w:val="0"/>
      <w:marBottom w:val="0"/>
      <w:divBdr>
        <w:top w:val="none" w:sz="0" w:space="0" w:color="auto"/>
        <w:left w:val="none" w:sz="0" w:space="0" w:color="auto"/>
        <w:bottom w:val="none" w:sz="0" w:space="0" w:color="auto"/>
        <w:right w:val="none" w:sz="0" w:space="0" w:color="auto"/>
      </w:divBdr>
      <w:divsChild>
        <w:div w:id="208691406">
          <w:marLeft w:val="274"/>
          <w:marRight w:val="0"/>
          <w:marTop w:val="0"/>
          <w:marBottom w:val="0"/>
          <w:divBdr>
            <w:top w:val="none" w:sz="0" w:space="0" w:color="auto"/>
            <w:left w:val="none" w:sz="0" w:space="0" w:color="auto"/>
            <w:bottom w:val="none" w:sz="0" w:space="0" w:color="auto"/>
            <w:right w:val="none" w:sz="0" w:space="0" w:color="auto"/>
          </w:divBdr>
        </w:div>
        <w:div w:id="403335549">
          <w:marLeft w:val="576"/>
          <w:marRight w:val="0"/>
          <w:marTop w:val="0"/>
          <w:marBottom w:val="0"/>
          <w:divBdr>
            <w:top w:val="none" w:sz="0" w:space="0" w:color="auto"/>
            <w:left w:val="none" w:sz="0" w:space="0" w:color="auto"/>
            <w:bottom w:val="none" w:sz="0" w:space="0" w:color="auto"/>
            <w:right w:val="none" w:sz="0" w:space="0" w:color="auto"/>
          </w:divBdr>
        </w:div>
        <w:div w:id="1251503416">
          <w:marLeft w:val="576"/>
          <w:marRight w:val="0"/>
          <w:marTop w:val="0"/>
          <w:marBottom w:val="0"/>
          <w:divBdr>
            <w:top w:val="none" w:sz="0" w:space="0" w:color="auto"/>
            <w:left w:val="none" w:sz="0" w:space="0" w:color="auto"/>
            <w:bottom w:val="none" w:sz="0" w:space="0" w:color="auto"/>
            <w:right w:val="none" w:sz="0" w:space="0" w:color="auto"/>
          </w:divBdr>
        </w:div>
        <w:div w:id="414479145">
          <w:marLeft w:val="576"/>
          <w:marRight w:val="0"/>
          <w:marTop w:val="0"/>
          <w:marBottom w:val="0"/>
          <w:divBdr>
            <w:top w:val="none" w:sz="0" w:space="0" w:color="auto"/>
            <w:left w:val="none" w:sz="0" w:space="0" w:color="auto"/>
            <w:bottom w:val="none" w:sz="0" w:space="0" w:color="auto"/>
            <w:right w:val="none" w:sz="0" w:space="0" w:color="auto"/>
          </w:divBdr>
        </w:div>
        <w:div w:id="1821917285">
          <w:marLeft w:val="274"/>
          <w:marRight w:val="0"/>
          <w:marTop w:val="0"/>
          <w:marBottom w:val="0"/>
          <w:divBdr>
            <w:top w:val="none" w:sz="0" w:space="0" w:color="auto"/>
            <w:left w:val="none" w:sz="0" w:space="0" w:color="auto"/>
            <w:bottom w:val="none" w:sz="0" w:space="0" w:color="auto"/>
            <w:right w:val="none" w:sz="0" w:space="0" w:color="auto"/>
          </w:divBdr>
        </w:div>
      </w:divsChild>
    </w:div>
    <w:div w:id="1928878788">
      <w:bodyDiv w:val="1"/>
      <w:marLeft w:val="0"/>
      <w:marRight w:val="0"/>
      <w:marTop w:val="0"/>
      <w:marBottom w:val="0"/>
      <w:divBdr>
        <w:top w:val="none" w:sz="0" w:space="0" w:color="auto"/>
        <w:left w:val="none" w:sz="0" w:space="0" w:color="auto"/>
        <w:bottom w:val="none" w:sz="0" w:space="0" w:color="auto"/>
        <w:right w:val="none" w:sz="0" w:space="0" w:color="auto"/>
      </w:divBdr>
      <w:divsChild>
        <w:div w:id="1795633914">
          <w:marLeft w:val="274"/>
          <w:marRight w:val="0"/>
          <w:marTop w:val="30"/>
          <w:marBottom w:val="0"/>
          <w:divBdr>
            <w:top w:val="none" w:sz="0" w:space="0" w:color="auto"/>
            <w:left w:val="none" w:sz="0" w:space="0" w:color="auto"/>
            <w:bottom w:val="none" w:sz="0" w:space="0" w:color="auto"/>
            <w:right w:val="none" w:sz="0" w:space="0" w:color="auto"/>
          </w:divBdr>
        </w:div>
        <w:div w:id="1985037328">
          <w:marLeft w:val="274"/>
          <w:marRight w:val="0"/>
          <w:marTop w:val="30"/>
          <w:marBottom w:val="0"/>
          <w:divBdr>
            <w:top w:val="none" w:sz="0" w:space="0" w:color="auto"/>
            <w:left w:val="none" w:sz="0" w:space="0" w:color="auto"/>
            <w:bottom w:val="none" w:sz="0" w:space="0" w:color="auto"/>
            <w:right w:val="none" w:sz="0" w:space="0" w:color="auto"/>
          </w:divBdr>
        </w:div>
        <w:div w:id="1094591850">
          <w:marLeft w:val="274"/>
          <w:marRight w:val="0"/>
          <w:marTop w:val="30"/>
          <w:marBottom w:val="0"/>
          <w:divBdr>
            <w:top w:val="none" w:sz="0" w:space="0" w:color="auto"/>
            <w:left w:val="none" w:sz="0" w:space="0" w:color="auto"/>
            <w:bottom w:val="none" w:sz="0" w:space="0" w:color="auto"/>
            <w:right w:val="none" w:sz="0" w:space="0" w:color="auto"/>
          </w:divBdr>
        </w:div>
      </w:divsChild>
    </w:div>
    <w:div w:id="2067560527">
      <w:bodyDiv w:val="1"/>
      <w:marLeft w:val="0"/>
      <w:marRight w:val="0"/>
      <w:marTop w:val="0"/>
      <w:marBottom w:val="0"/>
      <w:divBdr>
        <w:top w:val="none" w:sz="0" w:space="0" w:color="auto"/>
        <w:left w:val="none" w:sz="0" w:space="0" w:color="auto"/>
        <w:bottom w:val="none" w:sz="0" w:space="0" w:color="auto"/>
        <w:right w:val="none" w:sz="0" w:space="0" w:color="auto"/>
      </w:divBdr>
      <w:divsChild>
        <w:div w:id="1679431403">
          <w:marLeft w:val="274"/>
          <w:marRight w:val="0"/>
          <w:marTop w:val="120"/>
          <w:marBottom w:val="60"/>
          <w:divBdr>
            <w:top w:val="none" w:sz="0" w:space="0" w:color="auto"/>
            <w:left w:val="none" w:sz="0" w:space="0" w:color="auto"/>
            <w:bottom w:val="none" w:sz="0" w:space="0" w:color="auto"/>
            <w:right w:val="none" w:sz="0" w:space="0" w:color="auto"/>
          </w:divBdr>
        </w:div>
        <w:div w:id="641076970">
          <w:marLeft w:val="274"/>
          <w:marRight w:val="0"/>
          <w:marTop w:val="0"/>
          <w:marBottom w:val="60"/>
          <w:divBdr>
            <w:top w:val="none" w:sz="0" w:space="0" w:color="auto"/>
            <w:left w:val="none" w:sz="0" w:space="0" w:color="auto"/>
            <w:bottom w:val="none" w:sz="0" w:space="0" w:color="auto"/>
            <w:right w:val="none" w:sz="0" w:space="0" w:color="auto"/>
          </w:divBdr>
        </w:div>
        <w:div w:id="2128424529">
          <w:marLeft w:val="274"/>
          <w:marRight w:val="0"/>
          <w:marTop w:val="0"/>
          <w:marBottom w:val="60"/>
          <w:divBdr>
            <w:top w:val="none" w:sz="0" w:space="0" w:color="auto"/>
            <w:left w:val="none" w:sz="0" w:space="0" w:color="auto"/>
            <w:bottom w:val="none" w:sz="0" w:space="0" w:color="auto"/>
            <w:right w:val="none" w:sz="0" w:space="0" w:color="auto"/>
          </w:divBdr>
        </w:div>
      </w:divsChild>
    </w:div>
    <w:div w:id="2146925292">
      <w:bodyDiv w:val="1"/>
      <w:marLeft w:val="0"/>
      <w:marRight w:val="0"/>
      <w:marTop w:val="0"/>
      <w:marBottom w:val="0"/>
      <w:divBdr>
        <w:top w:val="none" w:sz="0" w:space="0" w:color="auto"/>
        <w:left w:val="none" w:sz="0" w:space="0" w:color="auto"/>
        <w:bottom w:val="none" w:sz="0" w:space="0" w:color="auto"/>
        <w:right w:val="none" w:sz="0" w:space="0" w:color="auto"/>
      </w:divBdr>
      <w:divsChild>
        <w:div w:id="1719666867">
          <w:marLeft w:val="274"/>
          <w:marRight w:val="0"/>
          <w:marTop w:val="0"/>
          <w:marBottom w:val="0"/>
          <w:divBdr>
            <w:top w:val="none" w:sz="0" w:space="0" w:color="auto"/>
            <w:left w:val="none" w:sz="0" w:space="0" w:color="auto"/>
            <w:bottom w:val="none" w:sz="0" w:space="0" w:color="auto"/>
            <w:right w:val="none" w:sz="0" w:space="0" w:color="auto"/>
          </w:divBdr>
        </w:div>
        <w:div w:id="1985692009">
          <w:marLeft w:val="274"/>
          <w:marRight w:val="0"/>
          <w:marTop w:val="0"/>
          <w:marBottom w:val="0"/>
          <w:divBdr>
            <w:top w:val="none" w:sz="0" w:space="0" w:color="auto"/>
            <w:left w:val="none" w:sz="0" w:space="0" w:color="auto"/>
            <w:bottom w:val="none" w:sz="0" w:space="0" w:color="auto"/>
            <w:right w:val="none" w:sz="0" w:space="0" w:color="auto"/>
          </w:divBdr>
        </w:div>
        <w:div w:id="1035815408">
          <w:marLeft w:val="274"/>
          <w:marRight w:val="0"/>
          <w:marTop w:val="0"/>
          <w:marBottom w:val="0"/>
          <w:divBdr>
            <w:top w:val="none" w:sz="0" w:space="0" w:color="auto"/>
            <w:left w:val="none" w:sz="0" w:space="0" w:color="auto"/>
            <w:bottom w:val="none" w:sz="0" w:space="0" w:color="auto"/>
            <w:right w:val="none" w:sz="0" w:space="0" w:color="auto"/>
          </w:divBdr>
        </w:div>
        <w:div w:id="65226131">
          <w:marLeft w:val="274"/>
          <w:marRight w:val="0"/>
          <w:marTop w:val="0"/>
          <w:marBottom w:val="0"/>
          <w:divBdr>
            <w:top w:val="none" w:sz="0" w:space="0" w:color="auto"/>
            <w:left w:val="none" w:sz="0" w:space="0" w:color="auto"/>
            <w:bottom w:val="none" w:sz="0" w:space="0" w:color="auto"/>
            <w:right w:val="none" w:sz="0" w:space="0" w:color="auto"/>
          </w:divBdr>
        </w:div>
        <w:div w:id="253176108">
          <w:marLeft w:val="274"/>
          <w:marRight w:val="0"/>
          <w:marTop w:val="0"/>
          <w:marBottom w:val="0"/>
          <w:divBdr>
            <w:top w:val="none" w:sz="0" w:space="0" w:color="auto"/>
            <w:left w:val="none" w:sz="0" w:space="0" w:color="auto"/>
            <w:bottom w:val="none" w:sz="0" w:space="0" w:color="auto"/>
            <w:right w:val="none" w:sz="0" w:space="0" w:color="auto"/>
          </w:divBdr>
        </w:div>
        <w:div w:id="1117797794">
          <w:marLeft w:val="274"/>
          <w:marRight w:val="0"/>
          <w:marTop w:val="0"/>
          <w:marBottom w:val="0"/>
          <w:divBdr>
            <w:top w:val="none" w:sz="0" w:space="0" w:color="auto"/>
            <w:left w:val="none" w:sz="0" w:space="0" w:color="auto"/>
            <w:bottom w:val="none" w:sz="0" w:space="0" w:color="auto"/>
            <w:right w:val="none" w:sz="0" w:space="0" w:color="auto"/>
          </w:divBdr>
        </w:div>
        <w:div w:id="10326541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au/Details/F2019C00257"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dss.gov.au/sites/default/files/documents/02_2019/disability_reform_council_response_to_recommendations.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abs.gov.au/ausstats/abs@.nsf/Lookup/by%20Subject/1270.0.55.001~July%202016~Main%20Features~Statistical%20Area%20Level%204%20(SA4)~10016" TargetMode="External"/><Relationship Id="rId20" Type="http://schemas.openxmlformats.org/officeDocument/2006/relationships/hyperlink" Target="https://www.dss.gov.au/sites/default/files/documents/02_2019/sda-framework-review-08022019.pdf" TargetMode="External"/><Relationship Id="rId29" Type="http://schemas.openxmlformats.org/officeDocument/2006/relationships/hyperlink" Target="https://www.summerfoundation.org.au/documents/specialist-disability-accommodation-supply-in-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dis.gov.au/about-us/publications/quarterly-report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bs.gov.au/ausstats/abs@.nsf/Lookup/by%20Subject/1270.0.55.001~July%202016~Main%20Features~Statistical%20Area%20Level%203%20(SA3)~10015" TargetMode="External"/><Relationship Id="rId23" Type="http://schemas.openxmlformats.org/officeDocument/2006/relationships/hyperlink" Target="https://www.ndis.gov.au/providers/essentials-providers-working-ndia/specialist-disability-accommodation" TargetMode="External"/><Relationship Id="rId28" Type="http://schemas.openxmlformats.org/officeDocument/2006/relationships/hyperlink" Target="https://www.ndis.gov.au/providers/price-guides-and-information/sda-pricing-and-pay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ss.gov.au/disability-and-carers-programs-services-government-international-disability-reform-council/specialist-disability-accommodation-pricing-and-payments-framework" TargetMode="External"/><Relationship Id="rId31" Type="http://schemas.openxmlformats.org/officeDocument/2006/relationships/hyperlink" Target="https://www.ndis.gov.au/providers/market-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gov.au/about-us/reference-group-updates/sda-reference-group" TargetMode="External"/><Relationship Id="rId27" Type="http://schemas.openxmlformats.org/officeDocument/2006/relationships/image" Target="media/image5.emf"/><Relationship Id="rId30" Type="http://schemas.openxmlformats.org/officeDocument/2006/relationships/hyperlink" Target="https://www.ndis.gov.au/about-us/publications/quarterly-report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D9049563F84244EAB54D1CB5C018007" ma:contentTypeVersion="2" ma:contentTypeDescription="Create a new document." ma:contentTypeScope="" ma:versionID="2bfc0b202e633441c6d95996c3b0d906">
  <xsd:schema xmlns:xsd="http://www.w3.org/2001/XMLSchema" xmlns:xs="http://www.w3.org/2001/XMLSchema" xmlns:p="http://schemas.microsoft.com/office/2006/metadata/properties" xmlns:ns2="e4f65a58-9cb0-44d4-9d0d-c714d0c673e6" xmlns:ns3="4eda4ad6-7ef7-4305-ba1e-934f809bdd01" xmlns:ns4="http://schemas.microsoft.com/sharepoint/v3/fields" targetNamespace="http://schemas.microsoft.com/office/2006/metadata/properties" ma:root="true" ma:fieldsID="eb4f7203b7f4b5a3d1bc1225ebe61045" ns2:_="" ns3:_="" ns4:_="">
    <xsd:import namespace="e4f65a58-9cb0-44d4-9d0d-c714d0c673e6"/>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65a58-9cb0-44d4-9d0d-c714d0c673e6"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e4f65a58-9cb0-44d4-9d0d-c714d0c673e6"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sponsibleTeam xmlns="e4f65a58-9cb0-44d4-9d0d-c714d0c673e6" xsi:nil="true"/>
    <TaxKeywordTaxHTField xmlns="4eda4ad6-7ef7-4305-ba1e-934f809bdd01">
      <Terms xmlns="http://schemas.microsoft.com/office/infopath/2007/PartnerControls"/>
    </TaxKeywordTaxHTField>
    <TaxCatchAll xmlns="4eda4ad6-7ef7-4305-ba1e-934f809bdd01">
      <Value>12</Value>
      <Value>2</Value>
      <Value>15</Value>
      <Value>1</Value>
    </TaxCatchAll>
    <ReviewDate xmlns="e4f65a58-9cb0-44d4-9d0d-c714d0c673e6" xsi:nil="true"/>
    <EffectiveDate xmlns="e4f65a58-9cb0-44d4-9d0d-c714d0c673e6" xsi:nil="true"/>
    <ApprovedDate xmlns="e4f65a58-9cb0-44d4-9d0d-c714d0c673e6"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7dba1819-0129-4e03-82ff-658b97125080</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32B72-B6F1-45D7-8047-EBEBDE51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65a58-9cb0-44d4-9d0d-c714d0c673e6"/>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2A977-DE0B-4531-89D0-1CC9269E117E}">
  <ds:schemaRefs>
    <ds:schemaRef ds:uri="http://schemas.microsoft.com/sharepoint/v3/contenttype/forms"/>
  </ds:schemaRefs>
</ds:datastoreItem>
</file>

<file path=customXml/itemProps3.xml><?xml version="1.0" encoding="utf-8"?>
<ds:datastoreItem xmlns:ds="http://schemas.openxmlformats.org/officeDocument/2006/customXml" ds:itemID="{DA797437-1BA7-4A56-A7FA-3B32049921C2}">
  <ds:schemaRefs>
    <ds:schemaRef ds:uri="http://purl.org/dc/elements/1.1/"/>
    <ds:schemaRef ds:uri="http://schemas.microsoft.com/office/2006/metadata/properties"/>
    <ds:schemaRef ds:uri="4eda4ad6-7ef7-4305-ba1e-934f809bdd0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fields"/>
    <ds:schemaRef ds:uri="e4f65a58-9cb0-44d4-9d0d-c714d0c673e6"/>
    <ds:schemaRef ds:uri="http://www.w3.org/XML/1998/namespace"/>
    <ds:schemaRef ds:uri="http://purl.org/dc/dcmitype/"/>
  </ds:schemaRefs>
</ds:datastoreItem>
</file>

<file path=customXml/itemProps4.xml><?xml version="1.0" encoding="utf-8"?>
<ds:datastoreItem xmlns:ds="http://schemas.openxmlformats.org/officeDocument/2006/customXml" ds:itemID="{54F3B890-B8F2-4D85-AE24-F5E54C36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14111</Words>
  <Characters>80435</Characters>
  <Application>Microsoft Office Word</Application>
  <DocSecurity>4</DocSecurity>
  <Lines>670</Lines>
  <Paragraphs>188</Paragraphs>
  <ScaleCrop>false</ScaleCrop>
  <HeadingPairs>
    <vt:vector size="2" baseType="variant">
      <vt:variant>
        <vt:lpstr>Title</vt:lpstr>
      </vt:variant>
      <vt:variant>
        <vt:i4>1</vt:i4>
      </vt:variant>
    </vt:vector>
  </HeadingPairs>
  <TitlesOfParts>
    <vt:vector size="1" baseType="lpstr">
      <vt:lpstr>Improving Performance Procedure (DOCX 81KB)</vt:lpstr>
    </vt:vector>
  </TitlesOfParts>
  <Company>Australian Government</Company>
  <LinksUpToDate>false</LinksUpToDate>
  <CharactersWithSpaces>94358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Procedure (DOCX 81KB)</dc:title>
  <dc:subject/>
  <dc:creator>Bilowus, Ivanka</dc:creator>
  <cp:keywords/>
  <dc:description/>
  <cp:lastModifiedBy>O'Sullivan, Jaselyn</cp:lastModifiedBy>
  <cp:revision>2</cp:revision>
  <cp:lastPrinted>2019-08-09T05:35:00Z</cp:lastPrinted>
  <dcterms:created xsi:type="dcterms:W3CDTF">2019-10-28T01:25:00Z</dcterms:created>
  <dcterms:modified xsi:type="dcterms:W3CDTF">2019-10-28T01:25:00Z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0x010100F428C054AD4B442F90DFE3102753E0A8000D9049563F84244EAB54D1CB5C018007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15;#Procedure|7dba1819-0129-4e03-82ff-658b97125080</vt:lpwstr>
  </property>
</Properties>
</file>