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1A" w:rsidRPr="00C110ED" w:rsidRDefault="00A7321A" w:rsidP="00FF40F2">
      <w:pPr>
        <w:spacing w:before="1000" w:after="800"/>
        <w:jc w:val="center"/>
        <w:rPr>
          <w:b/>
          <w:noProof/>
          <w:color w:val="FFFFFF" w:themeColor="background1"/>
          <w:sz w:val="48"/>
          <w:szCs w:val="48"/>
          <w:lang w:eastAsia="en-AU"/>
        </w:rPr>
      </w:pPr>
      <w:r w:rsidRPr="00C110ED">
        <w:rPr>
          <w:b/>
          <w:noProof/>
          <w:color w:val="FFFFFF" w:themeColor="background1"/>
          <w:sz w:val="48"/>
          <w:szCs w:val="48"/>
          <w:lang w:eastAsia="en-AU"/>
        </w:rPr>
        <w:drawing>
          <wp:anchor distT="0" distB="0" distL="114300" distR="114300" simplePos="0" relativeHeight="251659264" behindDoc="1" locked="0" layoutInCell="1" allowOverlap="1" wp14:anchorId="6BDD05D1" wp14:editId="1270563C">
            <wp:simplePos x="0" y="0"/>
            <wp:positionH relativeFrom="margin">
              <wp:posOffset>-360045</wp:posOffset>
            </wp:positionH>
            <wp:positionV relativeFrom="margin">
              <wp:align>top</wp:align>
            </wp:positionV>
            <wp:extent cx="6480000" cy="8100000"/>
            <wp:effectExtent l="0" t="0" r="0" b="0"/>
            <wp:wrapNone/>
            <wp:docPr id="9" name="Picture 9" title="Purpl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480000" cy="8100000"/>
                    </a:xfrm>
                    <a:prstGeom prst="rect">
                      <a:avLst/>
                    </a:prstGeom>
                  </pic:spPr>
                </pic:pic>
              </a:graphicData>
            </a:graphic>
            <wp14:sizeRelH relativeFrom="margin">
              <wp14:pctWidth>0</wp14:pctWidth>
            </wp14:sizeRelH>
            <wp14:sizeRelV relativeFrom="margin">
              <wp14:pctHeight>0</wp14:pctHeight>
            </wp14:sizeRelV>
          </wp:anchor>
        </w:drawing>
      </w:r>
    </w:p>
    <w:p w:rsidR="008554DC" w:rsidRPr="00EB7DBA" w:rsidRDefault="009D28CB" w:rsidP="00FF40F2">
      <w:pPr>
        <w:spacing w:before="1000" w:after="800"/>
        <w:jc w:val="center"/>
        <w:rPr>
          <w:rFonts w:cs="Arial"/>
          <w:b/>
          <w:color w:val="FFFFFF" w:themeColor="background1"/>
          <w:sz w:val="48"/>
          <w:szCs w:val="48"/>
        </w:rPr>
      </w:pPr>
      <w:bookmarkStart w:id="0" w:name="_Hlk536206679"/>
      <w:bookmarkEnd w:id="0"/>
      <w:r w:rsidRPr="00EB7DBA">
        <w:rPr>
          <w:rFonts w:cs="Arial"/>
          <w:b/>
          <w:color w:val="FFFFFF" w:themeColor="background1"/>
          <w:sz w:val="48"/>
          <w:szCs w:val="48"/>
        </w:rPr>
        <w:t>National Disability Insurance Scheme</w:t>
      </w:r>
    </w:p>
    <w:p w:rsidR="00A405AB" w:rsidRPr="00C110ED" w:rsidRDefault="00A405AB" w:rsidP="00FF40F2">
      <w:pPr>
        <w:spacing w:before="1000" w:after="800"/>
        <w:jc w:val="center"/>
        <w:rPr>
          <w:b/>
          <w:color w:val="FFFFFF" w:themeColor="background1"/>
          <w:sz w:val="48"/>
          <w:szCs w:val="48"/>
        </w:rPr>
      </w:pPr>
    </w:p>
    <w:p w:rsidR="00A7321A" w:rsidRPr="00C110ED" w:rsidRDefault="00180401" w:rsidP="00FF40F2">
      <w:pPr>
        <w:spacing w:before="1000" w:after="800"/>
        <w:jc w:val="center"/>
        <w:rPr>
          <w:rFonts w:cs="Arial"/>
          <w:color w:val="FFFFFF" w:themeColor="background1"/>
          <w:sz w:val="48"/>
          <w:szCs w:val="48"/>
        </w:rPr>
      </w:pPr>
      <w:bookmarkStart w:id="1" w:name="_Toc514784994"/>
      <w:bookmarkStart w:id="2" w:name="_Toc514853676"/>
      <w:r>
        <w:rPr>
          <w:rFonts w:cs="Arial"/>
          <w:color w:val="FFFFFF" w:themeColor="background1"/>
          <w:sz w:val="48"/>
          <w:szCs w:val="48"/>
        </w:rPr>
        <w:t>Annual Price Review</w:t>
      </w:r>
      <w:r w:rsidR="00520EA3" w:rsidRPr="00C110ED">
        <w:rPr>
          <w:rFonts w:cs="Arial"/>
          <w:color w:val="FFFFFF" w:themeColor="background1"/>
          <w:sz w:val="48"/>
          <w:szCs w:val="48"/>
        </w:rPr>
        <w:t xml:space="preserve"> 2020-21</w:t>
      </w:r>
    </w:p>
    <w:p w:rsidR="003A255F" w:rsidRPr="00C110ED" w:rsidRDefault="009D28CB" w:rsidP="00FF40F2">
      <w:pPr>
        <w:spacing w:before="1000" w:after="800"/>
        <w:jc w:val="center"/>
        <w:rPr>
          <w:rFonts w:cs="Arial"/>
          <w:color w:val="FFFFFF" w:themeColor="background1"/>
          <w:sz w:val="48"/>
          <w:szCs w:val="48"/>
        </w:rPr>
      </w:pPr>
      <w:r w:rsidRPr="00C110ED">
        <w:rPr>
          <w:rFonts w:cs="Arial"/>
          <w:color w:val="FFFFFF" w:themeColor="background1"/>
          <w:sz w:val="48"/>
          <w:szCs w:val="48"/>
        </w:rPr>
        <w:t>Issues Paper</w:t>
      </w:r>
    </w:p>
    <w:p w:rsidR="00A7321A" w:rsidRPr="00C110ED" w:rsidRDefault="00A7321A" w:rsidP="00FF40F2">
      <w:pPr>
        <w:spacing w:before="1000" w:after="800"/>
        <w:jc w:val="center"/>
        <w:rPr>
          <w:rFonts w:cs="Arial"/>
          <w:color w:val="FFFFFF" w:themeColor="background1"/>
          <w:sz w:val="48"/>
          <w:szCs w:val="48"/>
        </w:rPr>
      </w:pPr>
    </w:p>
    <w:p w:rsidR="00A405AB" w:rsidRPr="00C110ED" w:rsidRDefault="00A405AB" w:rsidP="00FF40F2">
      <w:pPr>
        <w:jc w:val="center"/>
        <w:rPr>
          <w:lang w:eastAsia="en-AU"/>
        </w:rPr>
      </w:pPr>
    </w:p>
    <w:p w:rsidR="00A405AB" w:rsidRPr="00C110ED" w:rsidRDefault="00A405AB" w:rsidP="00FF40F2">
      <w:pPr>
        <w:jc w:val="center"/>
        <w:rPr>
          <w:lang w:eastAsia="en-AU"/>
        </w:rPr>
      </w:pPr>
    </w:p>
    <w:p w:rsidR="00A405AB" w:rsidRPr="00C110ED" w:rsidRDefault="009D28CB" w:rsidP="00FF40F2">
      <w:pPr>
        <w:jc w:val="center"/>
        <w:rPr>
          <w:color w:val="FFFFFF" w:themeColor="background1"/>
          <w:sz w:val="16"/>
          <w:szCs w:val="16"/>
        </w:rPr>
      </w:pPr>
      <w:r w:rsidRPr="00C110ED">
        <w:rPr>
          <w:b/>
          <w:color w:val="FFFFFF" w:themeColor="background1"/>
          <w:sz w:val="40"/>
          <w:szCs w:val="40"/>
        </w:rPr>
        <w:t>November</w:t>
      </w:r>
      <w:r w:rsidR="003A255F" w:rsidRPr="00C110ED">
        <w:rPr>
          <w:b/>
          <w:color w:val="FFFFFF" w:themeColor="background1"/>
          <w:sz w:val="40"/>
          <w:szCs w:val="40"/>
        </w:rPr>
        <w:t xml:space="preserve"> 201</w:t>
      </w:r>
      <w:bookmarkEnd w:id="1"/>
      <w:bookmarkEnd w:id="2"/>
      <w:r w:rsidR="000D3A6C" w:rsidRPr="00C110ED">
        <w:rPr>
          <w:b/>
          <w:color w:val="FFFFFF" w:themeColor="background1"/>
          <w:sz w:val="40"/>
          <w:szCs w:val="40"/>
        </w:rPr>
        <w:t>9</w:t>
      </w:r>
    </w:p>
    <w:p w:rsidR="005515B4" w:rsidRPr="00C110ED" w:rsidRDefault="005515B4" w:rsidP="00307EFF">
      <w:pPr>
        <w:autoSpaceDE w:val="0"/>
        <w:autoSpaceDN w:val="0"/>
        <w:spacing w:before="240" w:after="40"/>
        <w:rPr>
          <w:sz w:val="16"/>
          <w:szCs w:val="16"/>
        </w:rPr>
      </w:pPr>
      <w:r w:rsidRPr="00C110ED">
        <w:rPr>
          <w:b/>
          <w:sz w:val="44"/>
          <w:szCs w:val="44"/>
          <w:lang w:eastAsia="ja-JP"/>
        </w:rPr>
        <w:br w:type="page"/>
      </w:r>
    </w:p>
    <w:p w:rsidR="00E87FA3" w:rsidRPr="00C110ED" w:rsidRDefault="00E87FA3" w:rsidP="00307EFF">
      <w:pPr>
        <w:rPr>
          <w:rFonts w:asciiTheme="minorHAnsi" w:hAnsiTheme="minorHAnsi"/>
          <w:b/>
          <w:szCs w:val="22"/>
        </w:rPr>
      </w:pPr>
      <w:r w:rsidRPr="00C110ED">
        <w:rPr>
          <w:szCs w:val="22"/>
        </w:rPr>
        <w:lastRenderedPageBreak/>
        <w:t>© Natio</w:t>
      </w:r>
      <w:r w:rsidR="00EB0074" w:rsidRPr="00C110ED">
        <w:rPr>
          <w:szCs w:val="22"/>
        </w:rPr>
        <w:t xml:space="preserve">nal Disability Insurance Agency </w:t>
      </w:r>
      <w:r w:rsidRPr="00C110ED">
        <w:rPr>
          <w:szCs w:val="22"/>
        </w:rPr>
        <w:t>2019</w:t>
      </w:r>
    </w:p>
    <w:p w:rsidR="00E87FA3" w:rsidRPr="00C110ED" w:rsidRDefault="00E87FA3" w:rsidP="00307EFF">
      <w:pPr>
        <w:rPr>
          <w:rFonts w:asciiTheme="minorHAnsi" w:hAnsiTheme="minorHAnsi"/>
          <w:szCs w:val="22"/>
        </w:rPr>
      </w:pPr>
      <w:r w:rsidRPr="00C110ED">
        <w:rPr>
          <w:szCs w:val="22"/>
        </w:rPr>
        <w:t xml:space="preserve">With the exception of any material protected by a trademark, and when otherwise noted, this work is licensed under a Creative Commons Attribution 4.0 International licence CC BY 4.0 (https://creativecommons.org/licenses/by/4.0/). </w:t>
      </w:r>
    </w:p>
    <w:p w:rsidR="00E87FA3" w:rsidRPr="00C110ED" w:rsidRDefault="00E87FA3" w:rsidP="00307EFF">
      <w:pPr>
        <w:rPr>
          <w:szCs w:val="22"/>
        </w:rPr>
      </w:pPr>
      <w:r w:rsidRPr="00C110ED">
        <w:rPr>
          <w:szCs w:val="22"/>
        </w:rPr>
        <w:t xml:space="preserve">The details of the relevant licence conditions are available on the Creative Commons website (accessible using the link provided) as is the full legal code for the CC BY 4.0 International licence. </w:t>
      </w:r>
    </w:p>
    <w:p w:rsidR="00E87FA3" w:rsidRPr="00C110ED" w:rsidRDefault="00E87FA3" w:rsidP="00307EFF">
      <w:pPr>
        <w:rPr>
          <w:szCs w:val="22"/>
        </w:rPr>
      </w:pPr>
      <w:r w:rsidRPr="00C110ED">
        <w:rPr>
          <w:szCs w:val="22"/>
        </w:rPr>
        <w:t>Content from this work should be attributed as the National Disability Insurance Agency.</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w:tblPr>
      <w:tblGrid>
        <w:gridCol w:w="8771"/>
      </w:tblGrid>
      <w:tr w:rsidR="00E87FA3" w:rsidRPr="00C110ED" w:rsidTr="00E87FA3">
        <w:trPr>
          <w:tblHeader/>
        </w:trPr>
        <w:tc>
          <w:tcPr>
            <w:tcW w:w="8771" w:type="dxa"/>
            <w:tcBorders>
              <w:top w:val="single" w:sz="6" w:space="0" w:color="78A22F"/>
              <w:left w:val="nil"/>
              <w:bottom w:val="nil"/>
              <w:right w:val="nil"/>
            </w:tcBorders>
            <w:shd w:val="clear" w:color="auto" w:fill="F2F2F2" w:themeFill="background1" w:themeFillShade="F2"/>
            <w:hideMark/>
          </w:tcPr>
          <w:p w:rsidR="00E87FA3" w:rsidRPr="00C110ED" w:rsidRDefault="00E87FA3" w:rsidP="00652502">
            <w:pPr>
              <w:pStyle w:val="Heading3"/>
              <w:rPr>
                <w:rFonts w:eastAsiaTheme="minorHAnsi"/>
              </w:rPr>
            </w:pPr>
            <w:r w:rsidRPr="00C110ED">
              <w:rPr>
                <w:rFonts w:eastAsiaTheme="minorHAnsi"/>
              </w:rPr>
              <w:t>Issues Paper</w:t>
            </w:r>
          </w:p>
        </w:tc>
      </w:tr>
      <w:tr w:rsidR="00E87FA3" w:rsidRPr="00C110ED" w:rsidTr="00E87FA3">
        <w:tc>
          <w:tcPr>
            <w:tcW w:w="8771" w:type="dxa"/>
            <w:tcBorders>
              <w:top w:val="nil"/>
              <w:left w:val="nil"/>
              <w:bottom w:val="nil"/>
              <w:right w:val="nil"/>
            </w:tcBorders>
            <w:shd w:val="clear" w:color="auto" w:fill="F2F2F2" w:themeFill="background1" w:themeFillShade="F2"/>
            <w:hideMark/>
          </w:tcPr>
          <w:p w:rsidR="00E87FA3" w:rsidRPr="00C110ED" w:rsidRDefault="00E87FA3" w:rsidP="00FF40F2">
            <w:r w:rsidRPr="00C110ED">
              <w:t xml:space="preserve">The </w:t>
            </w:r>
            <w:r w:rsidR="00EB0074" w:rsidRPr="00C110ED">
              <w:t>National Disability Insurance Agency</w:t>
            </w:r>
            <w:r w:rsidRPr="00C110ED">
              <w:t xml:space="preserve"> </w:t>
            </w:r>
            <w:r w:rsidR="00EB0074" w:rsidRPr="00C110ED">
              <w:t xml:space="preserve">(NDIA) </w:t>
            </w:r>
            <w:r w:rsidRPr="00C110ED">
              <w:t xml:space="preserve">has released this Issues Paper to assist individuals and organisations to prepare submissions to the </w:t>
            </w:r>
            <w:r w:rsidR="00180401">
              <w:t>Annual Price Review</w:t>
            </w:r>
            <w:r w:rsidRPr="00C110ED">
              <w:t xml:space="preserve"> 2020-21. </w:t>
            </w:r>
          </w:p>
          <w:p w:rsidR="00E87FA3" w:rsidRPr="00C110ED" w:rsidRDefault="00E87FA3" w:rsidP="00307EFF">
            <w:r w:rsidRPr="00C110ED">
              <w:t>Individuals and organisations should not feel that they are restricted to comment only on matters raised in the Issues Paper. The NDIA wishes to receive information and comment on issues which individuals and organisations consider relevant to the Review’s terms of reference.</w:t>
            </w:r>
          </w:p>
          <w:p w:rsidR="00E87FA3" w:rsidRPr="00C110ED" w:rsidRDefault="00E87FA3" w:rsidP="00652502">
            <w:pPr>
              <w:pStyle w:val="Heading3"/>
              <w:rPr>
                <w:rFonts w:eastAsiaTheme="minorHAnsi"/>
              </w:rPr>
            </w:pPr>
            <w:r w:rsidRPr="00C110ED">
              <w:rPr>
                <w:rFonts w:eastAsiaTheme="minorHAnsi"/>
              </w:rPr>
              <w:t>Key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E87FA3" w:rsidRPr="00C110ED" w:rsidTr="00441689">
              <w:trPr>
                <w:tblHeader/>
              </w:trPr>
              <w:tc>
                <w:tcPr>
                  <w:tcW w:w="3522" w:type="dxa"/>
                  <w:tcMar>
                    <w:top w:w="0" w:type="dxa"/>
                    <w:left w:w="0" w:type="dxa"/>
                    <w:bottom w:w="0" w:type="dxa"/>
                    <w:right w:w="108" w:type="dxa"/>
                  </w:tcMar>
                  <w:hideMark/>
                </w:tcPr>
                <w:p w:rsidR="00E87FA3" w:rsidRPr="00C110ED" w:rsidRDefault="00E87FA3" w:rsidP="00307EFF">
                  <w:pPr>
                    <w:spacing w:before="60"/>
                  </w:pPr>
                  <w:r w:rsidRPr="00C110ED">
                    <w:t>Due date for submissions</w:t>
                  </w:r>
                </w:p>
              </w:tc>
              <w:tc>
                <w:tcPr>
                  <w:tcW w:w="4950" w:type="dxa"/>
                  <w:hideMark/>
                </w:tcPr>
                <w:p w:rsidR="00E87FA3" w:rsidRPr="00C110ED" w:rsidRDefault="00E87FA3" w:rsidP="00307EFF">
                  <w:pPr>
                    <w:spacing w:before="60"/>
                    <w:rPr>
                      <w:b/>
                    </w:rPr>
                  </w:pPr>
                  <w:r w:rsidRPr="00C110ED">
                    <w:rPr>
                      <w:b/>
                    </w:rPr>
                    <w:t>Sunda</w:t>
                  </w:r>
                  <w:r w:rsidR="00067E8C">
                    <w:rPr>
                      <w:b/>
                    </w:rPr>
                    <w:t>y, 2 February 2020, midnight AWS</w:t>
                  </w:r>
                  <w:r w:rsidRPr="00C110ED">
                    <w:rPr>
                      <w:b/>
                    </w:rPr>
                    <w:t>T</w:t>
                  </w:r>
                </w:p>
              </w:tc>
            </w:tr>
          </w:tbl>
          <w:p w:rsidR="00E87FA3" w:rsidRPr="00C110ED" w:rsidRDefault="00E87FA3" w:rsidP="00652502">
            <w:pPr>
              <w:pStyle w:val="Heading3"/>
              <w:rPr>
                <w:rFonts w:eastAsiaTheme="minorHAnsi"/>
              </w:rPr>
            </w:pPr>
            <w:r w:rsidRPr="00C110ED">
              <w:rPr>
                <w:rFonts w:eastAsiaTheme="minorHAnsi"/>
              </w:rP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E87FA3" w:rsidRPr="00C110ED">
              <w:trPr>
                <w:tblHeader/>
              </w:trPr>
              <w:tc>
                <w:tcPr>
                  <w:tcW w:w="3522" w:type="dxa"/>
                  <w:tcMar>
                    <w:top w:w="0" w:type="dxa"/>
                    <w:left w:w="0" w:type="dxa"/>
                    <w:bottom w:w="0" w:type="dxa"/>
                    <w:right w:w="108" w:type="dxa"/>
                  </w:tcMar>
                  <w:hideMark/>
                </w:tcPr>
                <w:p w:rsidR="00E87FA3" w:rsidRPr="000C1024" w:rsidRDefault="00E87FA3" w:rsidP="00307EFF">
                  <w:r w:rsidRPr="000C1024">
                    <w:t>Email:</w:t>
                  </w:r>
                </w:p>
              </w:tc>
              <w:tc>
                <w:tcPr>
                  <w:tcW w:w="4950" w:type="dxa"/>
                  <w:hideMark/>
                </w:tcPr>
                <w:p w:rsidR="00E87FA3" w:rsidRPr="000C1024" w:rsidRDefault="003A3B58" w:rsidP="00307EFF">
                  <w:hyperlink r:id="rId9" w:history="1">
                    <w:r w:rsidR="00180401" w:rsidRPr="000C1024">
                      <w:rPr>
                        <w:rStyle w:val="Hyperlink"/>
                      </w:rPr>
                      <w:t>APR</w:t>
                    </w:r>
                    <w:r w:rsidR="002F51A0" w:rsidRPr="000C1024">
                      <w:rPr>
                        <w:rStyle w:val="Hyperlink"/>
                      </w:rPr>
                      <w:t>@ndis.gov.au</w:t>
                    </w:r>
                  </w:hyperlink>
                  <w:r w:rsidR="002F51A0" w:rsidRPr="000C1024">
                    <w:t xml:space="preserve"> </w:t>
                  </w:r>
                </w:p>
              </w:tc>
            </w:tr>
            <w:tr w:rsidR="00E87FA3" w:rsidRPr="00C110ED">
              <w:tc>
                <w:tcPr>
                  <w:tcW w:w="3522" w:type="dxa"/>
                  <w:tcMar>
                    <w:top w:w="0" w:type="dxa"/>
                    <w:left w:w="0" w:type="dxa"/>
                    <w:bottom w:w="0" w:type="dxa"/>
                    <w:right w:w="108" w:type="dxa"/>
                  </w:tcMar>
                  <w:hideMark/>
                </w:tcPr>
                <w:p w:rsidR="00E87FA3" w:rsidRPr="00C110ED" w:rsidRDefault="00E87FA3" w:rsidP="00307EFF">
                  <w:pPr>
                    <w:spacing w:before="60"/>
                  </w:pPr>
                  <w:r w:rsidRPr="00C110ED">
                    <w:t>By post:</w:t>
                  </w:r>
                </w:p>
              </w:tc>
              <w:tc>
                <w:tcPr>
                  <w:tcW w:w="4950" w:type="dxa"/>
                  <w:hideMark/>
                </w:tcPr>
                <w:p w:rsidR="00E87FA3" w:rsidRPr="00C110ED" w:rsidRDefault="00180401" w:rsidP="00307EFF">
                  <w:pPr>
                    <w:spacing w:before="60"/>
                  </w:pPr>
                  <w:r>
                    <w:t>Annual Price Review</w:t>
                  </w:r>
                  <w:r w:rsidR="00D61DC2" w:rsidRPr="00C110ED">
                    <w:br/>
                  </w:r>
                  <w:r w:rsidR="00E87FA3" w:rsidRPr="00C110ED">
                    <w:t>National Disability Insurance Agency</w:t>
                  </w:r>
                  <w:r w:rsidR="00D61DC2" w:rsidRPr="00C110ED">
                    <w:br/>
                  </w:r>
                  <w:r w:rsidR="00E87FA3" w:rsidRPr="00C110ED">
                    <w:t>GPO Box 700</w:t>
                  </w:r>
                  <w:r w:rsidR="00D61DC2" w:rsidRPr="00C110ED">
                    <w:br/>
                  </w:r>
                  <w:r w:rsidR="00E87FA3" w:rsidRPr="00C110ED">
                    <w:t>Canberra ACT 2601</w:t>
                  </w:r>
                </w:p>
              </w:tc>
            </w:tr>
          </w:tbl>
          <w:p w:rsidR="00E87FA3" w:rsidRPr="00C110ED" w:rsidRDefault="00E87FA3" w:rsidP="00652502">
            <w:pPr>
              <w:pStyle w:val="Heading3"/>
              <w:rPr>
                <w:rFonts w:eastAsiaTheme="minorHAnsi"/>
              </w:rPr>
            </w:pPr>
            <w:r w:rsidRPr="00C110ED">
              <w:rPr>
                <w:rFonts w:eastAsiaTheme="minorHAnsi"/>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E87FA3" w:rsidRPr="00C110ED">
              <w:trPr>
                <w:tblHeader/>
              </w:trPr>
              <w:tc>
                <w:tcPr>
                  <w:tcW w:w="3522" w:type="dxa"/>
                  <w:tcMar>
                    <w:top w:w="0" w:type="dxa"/>
                    <w:left w:w="0" w:type="dxa"/>
                    <w:bottom w:w="0" w:type="dxa"/>
                    <w:right w:w="108" w:type="dxa"/>
                  </w:tcMar>
                  <w:hideMark/>
                </w:tcPr>
                <w:p w:rsidR="00E87FA3" w:rsidRPr="00C110ED" w:rsidRDefault="00E87FA3" w:rsidP="00307EFF">
                  <w:r w:rsidRPr="00C110ED">
                    <w:t>Administrative and other matters:</w:t>
                  </w:r>
                </w:p>
              </w:tc>
              <w:tc>
                <w:tcPr>
                  <w:tcW w:w="2268" w:type="dxa"/>
                  <w:hideMark/>
                </w:tcPr>
                <w:p w:rsidR="00E87FA3" w:rsidRPr="00C110ED" w:rsidRDefault="00E87FA3" w:rsidP="00307EFF">
                  <w:r w:rsidRPr="00C110ED">
                    <w:t>NDIS Contact Centre</w:t>
                  </w:r>
                </w:p>
                <w:p w:rsidR="00E87FA3" w:rsidRPr="00C110ED" w:rsidRDefault="00E87FA3" w:rsidP="00307EFF">
                  <w:r w:rsidRPr="00C110ED">
                    <w:t>Monday to Friday</w:t>
                  </w:r>
                  <w:r w:rsidR="00D61DC2" w:rsidRPr="00C110ED">
                    <w:br/>
                  </w:r>
                  <w:r w:rsidRPr="00C110ED">
                    <w:t>8am – 8pm (local time)</w:t>
                  </w:r>
                </w:p>
              </w:tc>
              <w:tc>
                <w:tcPr>
                  <w:tcW w:w="2682" w:type="dxa"/>
                </w:tcPr>
                <w:p w:rsidR="00E87FA3" w:rsidRPr="00C110ED" w:rsidRDefault="00E87FA3" w:rsidP="00307EFF">
                  <w:r w:rsidRPr="00C110ED">
                    <w:t xml:space="preserve">1800 800 110 </w:t>
                  </w:r>
                </w:p>
                <w:p w:rsidR="00E87FA3" w:rsidRPr="00C110ED" w:rsidRDefault="00E87FA3" w:rsidP="00D61DC2"/>
              </w:tc>
            </w:tr>
            <w:tr w:rsidR="00E87FA3" w:rsidRPr="00C110ED">
              <w:tc>
                <w:tcPr>
                  <w:tcW w:w="3522" w:type="dxa"/>
                  <w:tcMar>
                    <w:top w:w="0" w:type="dxa"/>
                    <w:left w:w="0" w:type="dxa"/>
                    <w:bottom w:w="0" w:type="dxa"/>
                    <w:right w:w="108" w:type="dxa"/>
                  </w:tcMar>
                </w:tcPr>
                <w:p w:rsidR="00E87FA3" w:rsidRPr="00C110ED" w:rsidRDefault="00E87FA3" w:rsidP="00307EFF">
                  <w:pPr>
                    <w:spacing w:before="60"/>
                  </w:pPr>
                </w:p>
              </w:tc>
              <w:tc>
                <w:tcPr>
                  <w:tcW w:w="4950" w:type="dxa"/>
                  <w:gridSpan w:val="2"/>
                </w:tcPr>
                <w:p w:rsidR="00D61DC2" w:rsidRPr="00C110ED" w:rsidRDefault="003A3B58" w:rsidP="00D61DC2">
                  <w:hyperlink r:id="rId10" w:history="1">
                    <w:r w:rsidR="00D61DC2" w:rsidRPr="00C110ED">
                      <w:rPr>
                        <w:rStyle w:val="Hyperlink"/>
                      </w:rPr>
                      <w:t>enquiries@ndis.gov.au</w:t>
                    </w:r>
                  </w:hyperlink>
                  <w:r w:rsidR="00D61DC2" w:rsidRPr="00C110ED">
                    <w:t xml:space="preserve"> </w:t>
                  </w:r>
                </w:p>
                <w:p w:rsidR="00E87FA3" w:rsidRPr="00C110ED" w:rsidRDefault="00E87FA3" w:rsidP="00307EFF">
                  <w:pPr>
                    <w:spacing w:before="60"/>
                  </w:pPr>
                </w:p>
              </w:tc>
            </w:tr>
            <w:tr w:rsidR="002C5EC9" w:rsidRPr="00C110ED">
              <w:tc>
                <w:tcPr>
                  <w:tcW w:w="3522" w:type="dxa"/>
                  <w:tcMar>
                    <w:top w:w="0" w:type="dxa"/>
                    <w:left w:w="0" w:type="dxa"/>
                    <w:bottom w:w="0" w:type="dxa"/>
                    <w:right w:w="108" w:type="dxa"/>
                  </w:tcMar>
                  <w:hideMark/>
                </w:tcPr>
                <w:p w:rsidR="002C5EC9" w:rsidRPr="00C110ED" w:rsidRDefault="002C5EC9" w:rsidP="002C5EC9">
                  <w:pPr>
                    <w:spacing w:before="60"/>
                  </w:pPr>
                  <w:r w:rsidRPr="00C110ED">
                    <w:t>Website:</w:t>
                  </w:r>
                </w:p>
              </w:tc>
              <w:tc>
                <w:tcPr>
                  <w:tcW w:w="4950" w:type="dxa"/>
                  <w:gridSpan w:val="2"/>
                  <w:hideMark/>
                </w:tcPr>
                <w:p w:rsidR="002C5EC9" w:rsidRPr="00C110ED" w:rsidRDefault="003A3B58" w:rsidP="002C5EC9">
                  <w:pPr>
                    <w:spacing w:before="60"/>
                  </w:pPr>
                  <w:hyperlink r:id="rId11" w:history="1">
                    <w:r w:rsidR="002C5EC9" w:rsidRPr="00E52758">
                      <w:rPr>
                        <w:rStyle w:val="Hyperlink"/>
                      </w:rPr>
                      <w:t>Annual price review - consultation</w:t>
                    </w:r>
                  </w:hyperlink>
                </w:p>
              </w:tc>
            </w:tr>
          </w:tbl>
          <w:p w:rsidR="00E87FA3" w:rsidRPr="00C110ED" w:rsidRDefault="00E87FA3" w:rsidP="00307EFF">
            <w:pPr>
              <w:spacing w:before="0" w:after="0"/>
            </w:pPr>
          </w:p>
        </w:tc>
      </w:tr>
    </w:tbl>
    <w:p w:rsidR="003A255F" w:rsidRPr="00C110ED" w:rsidRDefault="003A255F" w:rsidP="00307EFF">
      <w:pPr>
        <w:spacing w:before="480" w:after="360"/>
        <w:rPr>
          <w:color w:val="6A2875"/>
          <w:sz w:val="44"/>
          <w:szCs w:val="44"/>
          <w:lang w:eastAsia="ja-JP"/>
        </w:rPr>
      </w:pPr>
      <w:r w:rsidRPr="00C110ED">
        <w:rPr>
          <w:color w:val="6A2875"/>
          <w:sz w:val="44"/>
          <w:szCs w:val="44"/>
          <w:lang w:eastAsia="ja-JP"/>
        </w:rPr>
        <w:lastRenderedPageBreak/>
        <w:t>Contents</w:t>
      </w:r>
    </w:p>
    <w:p w:rsidR="006D3D98" w:rsidRDefault="00DC2783">
      <w:pPr>
        <w:pStyle w:val="TOC1"/>
        <w:rPr>
          <w:rFonts w:asciiTheme="minorHAnsi" w:eastAsiaTheme="minorEastAsia" w:hAnsiTheme="minorHAnsi" w:cstheme="minorBidi"/>
          <w:b w:val="0"/>
          <w:bCs w:val="0"/>
          <w:sz w:val="22"/>
          <w:szCs w:val="22"/>
          <w:lang w:eastAsia="en-AU"/>
        </w:rPr>
      </w:pPr>
      <w:r w:rsidRPr="00C110ED">
        <w:rPr>
          <w:color w:val="000000" w:themeColor="text1"/>
          <w:lang w:eastAsia="ja-JP"/>
        </w:rPr>
        <w:fldChar w:fldCharType="begin"/>
      </w:r>
      <w:r w:rsidRPr="00C110ED">
        <w:rPr>
          <w:lang w:eastAsia="ja-JP"/>
        </w:rPr>
        <w:instrText xml:space="preserve"> TOC \o "2-2" \h \z \t "Heading 1,1,SOPP_30 document title,1,Plain heading,1" </w:instrText>
      </w:r>
      <w:r w:rsidRPr="00C110ED">
        <w:rPr>
          <w:color w:val="000000" w:themeColor="text1"/>
          <w:lang w:eastAsia="ja-JP"/>
        </w:rPr>
        <w:fldChar w:fldCharType="separate"/>
      </w:r>
      <w:hyperlink w:anchor="_Toc25182166" w:history="1">
        <w:r w:rsidR="006D3D98" w:rsidRPr="00CE110A">
          <w:rPr>
            <w:rStyle w:val="Hyperlink"/>
          </w:rPr>
          <w:t>1.</w:t>
        </w:r>
        <w:r w:rsidR="006D3D98">
          <w:rPr>
            <w:rFonts w:asciiTheme="minorHAnsi" w:eastAsiaTheme="minorEastAsia" w:hAnsiTheme="minorHAnsi" w:cstheme="minorBidi"/>
            <w:b w:val="0"/>
            <w:bCs w:val="0"/>
            <w:sz w:val="22"/>
            <w:szCs w:val="22"/>
            <w:lang w:eastAsia="en-AU"/>
          </w:rPr>
          <w:tab/>
        </w:r>
        <w:r w:rsidR="006D3D98" w:rsidRPr="00CE110A">
          <w:rPr>
            <w:rStyle w:val="Hyperlink"/>
          </w:rPr>
          <w:t>Introduction</w:t>
        </w:r>
        <w:r w:rsidR="006D3D98">
          <w:rPr>
            <w:webHidden/>
          </w:rPr>
          <w:tab/>
        </w:r>
        <w:r w:rsidR="006D3D98">
          <w:rPr>
            <w:webHidden/>
          </w:rPr>
          <w:fldChar w:fldCharType="begin"/>
        </w:r>
        <w:r w:rsidR="006D3D98">
          <w:rPr>
            <w:webHidden/>
          </w:rPr>
          <w:instrText xml:space="preserve"> PAGEREF _Toc25182166 \h </w:instrText>
        </w:r>
        <w:r w:rsidR="006D3D98">
          <w:rPr>
            <w:webHidden/>
          </w:rPr>
        </w:r>
        <w:r w:rsidR="006D3D98">
          <w:rPr>
            <w:webHidden/>
          </w:rPr>
          <w:fldChar w:fldCharType="separate"/>
        </w:r>
        <w:r w:rsidR="006D3D98">
          <w:rPr>
            <w:webHidden/>
          </w:rPr>
          <w:t>5</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67" w:history="1">
        <w:r w:rsidR="006D3D98" w:rsidRPr="00CE110A">
          <w:rPr>
            <w:rStyle w:val="Hyperlink"/>
            <w:noProof/>
          </w:rPr>
          <w:t>Terms of Reference</w:t>
        </w:r>
        <w:r w:rsidR="006D3D98">
          <w:rPr>
            <w:noProof/>
            <w:webHidden/>
          </w:rPr>
          <w:tab/>
        </w:r>
        <w:r w:rsidR="006D3D98">
          <w:rPr>
            <w:noProof/>
            <w:webHidden/>
          </w:rPr>
          <w:fldChar w:fldCharType="begin"/>
        </w:r>
        <w:r w:rsidR="006D3D98">
          <w:rPr>
            <w:noProof/>
            <w:webHidden/>
          </w:rPr>
          <w:instrText xml:space="preserve"> PAGEREF _Toc25182167 \h </w:instrText>
        </w:r>
        <w:r w:rsidR="006D3D98">
          <w:rPr>
            <w:noProof/>
            <w:webHidden/>
          </w:rPr>
        </w:r>
        <w:r w:rsidR="006D3D98">
          <w:rPr>
            <w:noProof/>
            <w:webHidden/>
          </w:rPr>
          <w:fldChar w:fldCharType="separate"/>
        </w:r>
        <w:r w:rsidR="006D3D98">
          <w:rPr>
            <w:noProof/>
            <w:webHidden/>
          </w:rPr>
          <w:t>5</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68" w:history="1">
        <w:r w:rsidR="006D3D98" w:rsidRPr="00CE110A">
          <w:rPr>
            <w:rStyle w:val="Hyperlink"/>
            <w:noProof/>
          </w:rPr>
          <w:t>Timeline of the Review</w:t>
        </w:r>
        <w:r w:rsidR="006D3D98">
          <w:rPr>
            <w:noProof/>
            <w:webHidden/>
          </w:rPr>
          <w:tab/>
        </w:r>
        <w:r w:rsidR="006D3D98">
          <w:rPr>
            <w:noProof/>
            <w:webHidden/>
          </w:rPr>
          <w:fldChar w:fldCharType="begin"/>
        </w:r>
        <w:r w:rsidR="006D3D98">
          <w:rPr>
            <w:noProof/>
            <w:webHidden/>
          </w:rPr>
          <w:instrText xml:space="preserve"> PAGEREF _Toc25182168 \h </w:instrText>
        </w:r>
        <w:r w:rsidR="006D3D98">
          <w:rPr>
            <w:noProof/>
            <w:webHidden/>
          </w:rPr>
        </w:r>
        <w:r w:rsidR="006D3D98">
          <w:rPr>
            <w:noProof/>
            <w:webHidden/>
          </w:rPr>
          <w:fldChar w:fldCharType="separate"/>
        </w:r>
        <w:r w:rsidR="006D3D98">
          <w:rPr>
            <w:noProof/>
            <w:webHidden/>
          </w:rPr>
          <w:t>7</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69" w:history="1">
        <w:r w:rsidR="006D3D98" w:rsidRPr="00CE110A">
          <w:rPr>
            <w:rStyle w:val="Hyperlink"/>
            <w:noProof/>
          </w:rPr>
          <w:t>How you can contribute to this stage of the Review</w:t>
        </w:r>
        <w:r w:rsidR="006D3D98">
          <w:rPr>
            <w:noProof/>
            <w:webHidden/>
          </w:rPr>
          <w:tab/>
        </w:r>
        <w:r w:rsidR="006D3D98">
          <w:rPr>
            <w:noProof/>
            <w:webHidden/>
          </w:rPr>
          <w:fldChar w:fldCharType="begin"/>
        </w:r>
        <w:r w:rsidR="006D3D98">
          <w:rPr>
            <w:noProof/>
            <w:webHidden/>
          </w:rPr>
          <w:instrText xml:space="preserve"> PAGEREF _Toc25182169 \h </w:instrText>
        </w:r>
        <w:r w:rsidR="006D3D98">
          <w:rPr>
            <w:noProof/>
            <w:webHidden/>
          </w:rPr>
        </w:r>
        <w:r w:rsidR="006D3D98">
          <w:rPr>
            <w:noProof/>
            <w:webHidden/>
          </w:rPr>
          <w:fldChar w:fldCharType="separate"/>
        </w:r>
        <w:r w:rsidR="006D3D98">
          <w:rPr>
            <w:noProof/>
            <w:webHidden/>
          </w:rPr>
          <w:t>7</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70" w:history="1">
        <w:r w:rsidR="006D3D98" w:rsidRPr="00CE110A">
          <w:rPr>
            <w:rStyle w:val="Hyperlink"/>
          </w:rPr>
          <w:t>2.</w:t>
        </w:r>
        <w:r w:rsidR="006D3D98">
          <w:rPr>
            <w:rFonts w:asciiTheme="minorHAnsi" w:eastAsiaTheme="minorEastAsia" w:hAnsiTheme="minorHAnsi" w:cstheme="minorBidi"/>
            <w:b w:val="0"/>
            <w:bCs w:val="0"/>
            <w:sz w:val="22"/>
            <w:szCs w:val="22"/>
            <w:lang w:eastAsia="en-AU"/>
          </w:rPr>
          <w:tab/>
        </w:r>
        <w:r w:rsidR="006D3D98" w:rsidRPr="00CE110A">
          <w:rPr>
            <w:rStyle w:val="Hyperlink"/>
          </w:rPr>
          <w:t>Increasing flexibility and reducing administration</w:t>
        </w:r>
        <w:r w:rsidR="006D3D98">
          <w:rPr>
            <w:webHidden/>
          </w:rPr>
          <w:tab/>
        </w:r>
        <w:r w:rsidR="006D3D98">
          <w:rPr>
            <w:webHidden/>
          </w:rPr>
          <w:fldChar w:fldCharType="begin"/>
        </w:r>
        <w:r w:rsidR="006D3D98">
          <w:rPr>
            <w:webHidden/>
          </w:rPr>
          <w:instrText xml:space="preserve"> PAGEREF _Toc25182170 \h </w:instrText>
        </w:r>
        <w:r w:rsidR="006D3D98">
          <w:rPr>
            <w:webHidden/>
          </w:rPr>
        </w:r>
        <w:r w:rsidR="006D3D98">
          <w:rPr>
            <w:webHidden/>
          </w:rPr>
          <w:fldChar w:fldCharType="separate"/>
        </w:r>
        <w:r w:rsidR="006D3D98">
          <w:rPr>
            <w:webHidden/>
          </w:rPr>
          <w:t>9</w:t>
        </w:r>
        <w:r w:rsidR="006D3D98">
          <w:rPr>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71" w:history="1">
        <w:r w:rsidR="006D3D98" w:rsidRPr="00CE110A">
          <w:rPr>
            <w:rStyle w:val="Hyperlink"/>
          </w:rPr>
          <w:t>3.</w:t>
        </w:r>
        <w:r w:rsidR="006D3D98">
          <w:rPr>
            <w:rFonts w:asciiTheme="minorHAnsi" w:eastAsiaTheme="minorEastAsia" w:hAnsiTheme="minorHAnsi" w:cstheme="minorBidi"/>
            <w:b w:val="0"/>
            <w:bCs w:val="0"/>
            <w:sz w:val="22"/>
            <w:szCs w:val="22"/>
            <w:lang w:eastAsia="en-AU"/>
          </w:rPr>
          <w:tab/>
        </w:r>
        <w:r w:rsidR="006D3D98" w:rsidRPr="00CE110A">
          <w:rPr>
            <w:rStyle w:val="Hyperlink"/>
          </w:rPr>
          <w:t>Price limits for 1:1 core supports</w:t>
        </w:r>
        <w:r w:rsidR="006D3D98">
          <w:rPr>
            <w:webHidden/>
          </w:rPr>
          <w:tab/>
        </w:r>
        <w:r w:rsidR="006D3D98">
          <w:rPr>
            <w:webHidden/>
          </w:rPr>
          <w:fldChar w:fldCharType="begin"/>
        </w:r>
        <w:r w:rsidR="006D3D98">
          <w:rPr>
            <w:webHidden/>
          </w:rPr>
          <w:instrText xml:space="preserve"> PAGEREF _Toc25182171 \h </w:instrText>
        </w:r>
        <w:r w:rsidR="006D3D98">
          <w:rPr>
            <w:webHidden/>
          </w:rPr>
        </w:r>
        <w:r w:rsidR="006D3D98">
          <w:rPr>
            <w:webHidden/>
          </w:rPr>
          <w:fldChar w:fldCharType="separate"/>
        </w:r>
        <w:r w:rsidR="006D3D98">
          <w:rPr>
            <w:webHidden/>
          </w:rPr>
          <w:t>10</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2"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_Toc25182172 \h </w:instrText>
        </w:r>
        <w:r w:rsidR="006D3D98">
          <w:rPr>
            <w:noProof/>
            <w:webHidden/>
          </w:rPr>
        </w:r>
        <w:r w:rsidR="006D3D98">
          <w:rPr>
            <w:noProof/>
            <w:webHidden/>
          </w:rPr>
          <w:fldChar w:fldCharType="separate"/>
        </w:r>
        <w:r w:rsidR="006D3D98">
          <w:rPr>
            <w:noProof/>
            <w:webHidden/>
          </w:rPr>
          <w:t>10</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3"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_Toc25182173 \h </w:instrText>
        </w:r>
        <w:r w:rsidR="006D3D98">
          <w:rPr>
            <w:noProof/>
            <w:webHidden/>
          </w:rPr>
        </w:r>
        <w:r w:rsidR="006D3D98">
          <w:rPr>
            <w:noProof/>
            <w:webHidden/>
          </w:rPr>
          <w:fldChar w:fldCharType="separate"/>
        </w:r>
        <w:r w:rsidR="006D3D98">
          <w:rPr>
            <w:noProof/>
            <w:webHidden/>
          </w:rPr>
          <w:t>14</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74" w:history="1">
        <w:r w:rsidR="006D3D98" w:rsidRPr="00CE110A">
          <w:rPr>
            <w:rStyle w:val="Hyperlink"/>
          </w:rPr>
          <w:t>4.</w:t>
        </w:r>
        <w:r w:rsidR="006D3D98">
          <w:rPr>
            <w:rFonts w:asciiTheme="minorHAnsi" w:eastAsiaTheme="minorEastAsia" w:hAnsiTheme="minorHAnsi" w:cstheme="minorBidi"/>
            <w:b w:val="0"/>
            <w:bCs w:val="0"/>
            <w:sz w:val="22"/>
            <w:szCs w:val="22"/>
            <w:lang w:eastAsia="en-AU"/>
          </w:rPr>
          <w:tab/>
        </w:r>
        <w:r w:rsidR="006D3D98" w:rsidRPr="00CE110A">
          <w:rPr>
            <w:rStyle w:val="Hyperlink"/>
          </w:rPr>
          <w:t>Price limits for group-based core supports</w:t>
        </w:r>
        <w:r w:rsidR="006D3D98">
          <w:rPr>
            <w:webHidden/>
          </w:rPr>
          <w:tab/>
        </w:r>
        <w:r w:rsidR="006D3D98">
          <w:rPr>
            <w:webHidden/>
          </w:rPr>
          <w:fldChar w:fldCharType="begin"/>
        </w:r>
        <w:r w:rsidR="006D3D98">
          <w:rPr>
            <w:webHidden/>
          </w:rPr>
          <w:instrText xml:space="preserve"> PAGEREF _Toc25182174 \h </w:instrText>
        </w:r>
        <w:r w:rsidR="006D3D98">
          <w:rPr>
            <w:webHidden/>
          </w:rPr>
        </w:r>
        <w:r w:rsidR="006D3D98">
          <w:rPr>
            <w:webHidden/>
          </w:rPr>
          <w:fldChar w:fldCharType="separate"/>
        </w:r>
        <w:r w:rsidR="006D3D98">
          <w:rPr>
            <w:webHidden/>
          </w:rPr>
          <w:t>16</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5"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_Toc25182175 \h </w:instrText>
        </w:r>
        <w:r w:rsidR="006D3D98">
          <w:rPr>
            <w:noProof/>
            <w:webHidden/>
          </w:rPr>
        </w:r>
        <w:r w:rsidR="006D3D98">
          <w:rPr>
            <w:noProof/>
            <w:webHidden/>
          </w:rPr>
          <w:fldChar w:fldCharType="separate"/>
        </w:r>
        <w:r w:rsidR="006D3D98">
          <w:rPr>
            <w:noProof/>
            <w:webHidden/>
          </w:rPr>
          <w:t>16</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6"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_Toc25182176 \h </w:instrText>
        </w:r>
        <w:r w:rsidR="006D3D98">
          <w:rPr>
            <w:noProof/>
            <w:webHidden/>
          </w:rPr>
        </w:r>
        <w:r w:rsidR="006D3D98">
          <w:rPr>
            <w:noProof/>
            <w:webHidden/>
          </w:rPr>
          <w:fldChar w:fldCharType="separate"/>
        </w:r>
        <w:r w:rsidR="006D3D98">
          <w:rPr>
            <w:noProof/>
            <w:webHidden/>
          </w:rPr>
          <w:t>17</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77" w:history="1">
        <w:r w:rsidR="006D3D98" w:rsidRPr="00CE110A">
          <w:rPr>
            <w:rStyle w:val="Hyperlink"/>
          </w:rPr>
          <w:t>5.</w:t>
        </w:r>
        <w:r w:rsidR="006D3D98">
          <w:rPr>
            <w:rFonts w:asciiTheme="minorHAnsi" w:eastAsiaTheme="minorEastAsia" w:hAnsiTheme="minorHAnsi" w:cstheme="minorBidi"/>
            <w:b w:val="0"/>
            <w:bCs w:val="0"/>
            <w:sz w:val="22"/>
            <w:szCs w:val="22"/>
            <w:lang w:eastAsia="en-AU"/>
          </w:rPr>
          <w:tab/>
        </w:r>
        <w:r w:rsidR="006D3D98" w:rsidRPr="00CE110A">
          <w:rPr>
            <w:rStyle w:val="Hyperlink"/>
          </w:rPr>
          <w:t>Capacity Building Supports</w:t>
        </w:r>
        <w:r w:rsidR="006D3D98">
          <w:rPr>
            <w:webHidden/>
          </w:rPr>
          <w:tab/>
        </w:r>
        <w:r w:rsidR="006D3D98">
          <w:rPr>
            <w:webHidden/>
          </w:rPr>
          <w:fldChar w:fldCharType="begin"/>
        </w:r>
        <w:r w:rsidR="006D3D98">
          <w:rPr>
            <w:webHidden/>
          </w:rPr>
          <w:instrText xml:space="preserve"> PAGEREF _Toc25182177 \h </w:instrText>
        </w:r>
        <w:r w:rsidR="006D3D98">
          <w:rPr>
            <w:webHidden/>
          </w:rPr>
        </w:r>
        <w:r w:rsidR="006D3D98">
          <w:rPr>
            <w:webHidden/>
          </w:rPr>
          <w:fldChar w:fldCharType="separate"/>
        </w:r>
        <w:r w:rsidR="006D3D98">
          <w:rPr>
            <w:webHidden/>
          </w:rPr>
          <w:t>19</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8"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_Toc25182178 \h </w:instrText>
        </w:r>
        <w:r w:rsidR="006D3D98">
          <w:rPr>
            <w:noProof/>
            <w:webHidden/>
          </w:rPr>
        </w:r>
        <w:r w:rsidR="006D3D98">
          <w:rPr>
            <w:noProof/>
            <w:webHidden/>
          </w:rPr>
          <w:fldChar w:fldCharType="separate"/>
        </w:r>
        <w:r w:rsidR="006D3D98">
          <w:rPr>
            <w:noProof/>
            <w:webHidden/>
          </w:rPr>
          <w:t>19</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79"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_Toc25182179 \h </w:instrText>
        </w:r>
        <w:r w:rsidR="006D3D98">
          <w:rPr>
            <w:noProof/>
            <w:webHidden/>
          </w:rPr>
        </w:r>
        <w:r w:rsidR="006D3D98">
          <w:rPr>
            <w:noProof/>
            <w:webHidden/>
          </w:rPr>
          <w:fldChar w:fldCharType="separate"/>
        </w:r>
        <w:r w:rsidR="006D3D98">
          <w:rPr>
            <w:noProof/>
            <w:webHidden/>
          </w:rPr>
          <w:t>20</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80" w:history="1">
        <w:r w:rsidR="006D3D98" w:rsidRPr="00CE110A">
          <w:rPr>
            <w:rStyle w:val="Hyperlink"/>
          </w:rPr>
          <w:t>6.</w:t>
        </w:r>
        <w:r w:rsidR="006D3D98">
          <w:rPr>
            <w:rFonts w:asciiTheme="minorHAnsi" w:eastAsiaTheme="minorEastAsia" w:hAnsiTheme="minorHAnsi" w:cstheme="minorBidi"/>
            <w:b w:val="0"/>
            <w:bCs w:val="0"/>
            <w:sz w:val="22"/>
            <w:szCs w:val="22"/>
            <w:lang w:eastAsia="en-AU"/>
          </w:rPr>
          <w:tab/>
        </w:r>
        <w:r w:rsidR="006D3D98" w:rsidRPr="00CE110A">
          <w:rPr>
            <w:rStyle w:val="Hyperlink"/>
          </w:rPr>
          <w:t>Plan Management Supports</w:t>
        </w:r>
        <w:r w:rsidR="006D3D98">
          <w:rPr>
            <w:webHidden/>
          </w:rPr>
          <w:tab/>
        </w:r>
        <w:r w:rsidR="006D3D98">
          <w:rPr>
            <w:webHidden/>
          </w:rPr>
          <w:fldChar w:fldCharType="begin"/>
        </w:r>
        <w:r w:rsidR="006D3D98">
          <w:rPr>
            <w:webHidden/>
          </w:rPr>
          <w:instrText xml:space="preserve"> PAGEREF _Toc25182180 \h </w:instrText>
        </w:r>
        <w:r w:rsidR="006D3D98">
          <w:rPr>
            <w:webHidden/>
          </w:rPr>
        </w:r>
        <w:r w:rsidR="006D3D98">
          <w:rPr>
            <w:webHidden/>
          </w:rPr>
          <w:fldChar w:fldCharType="separate"/>
        </w:r>
        <w:r w:rsidR="006D3D98">
          <w:rPr>
            <w:webHidden/>
          </w:rPr>
          <w:t>22</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1"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_Toc25182181 \h </w:instrText>
        </w:r>
        <w:r w:rsidR="006D3D98">
          <w:rPr>
            <w:noProof/>
            <w:webHidden/>
          </w:rPr>
        </w:r>
        <w:r w:rsidR="006D3D98">
          <w:rPr>
            <w:noProof/>
            <w:webHidden/>
          </w:rPr>
          <w:fldChar w:fldCharType="separate"/>
        </w:r>
        <w:r w:rsidR="006D3D98">
          <w:rPr>
            <w:noProof/>
            <w:webHidden/>
          </w:rPr>
          <w:t>22</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2"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_Toc25182182 \h </w:instrText>
        </w:r>
        <w:r w:rsidR="006D3D98">
          <w:rPr>
            <w:noProof/>
            <w:webHidden/>
          </w:rPr>
        </w:r>
        <w:r w:rsidR="006D3D98">
          <w:rPr>
            <w:noProof/>
            <w:webHidden/>
          </w:rPr>
          <w:fldChar w:fldCharType="separate"/>
        </w:r>
        <w:r w:rsidR="006D3D98">
          <w:rPr>
            <w:noProof/>
            <w:webHidden/>
          </w:rPr>
          <w:t>23</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83" w:history="1">
        <w:r w:rsidR="006D3D98" w:rsidRPr="00CE110A">
          <w:rPr>
            <w:rStyle w:val="Hyperlink"/>
          </w:rPr>
          <w:t>7.</w:t>
        </w:r>
        <w:r w:rsidR="006D3D98">
          <w:rPr>
            <w:rFonts w:asciiTheme="minorHAnsi" w:eastAsiaTheme="minorEastAsia" w:hAnsiTheme="minorHAnsi" w:cstheme="minorBidi"/>
            <w:b w:val="0"/>
            <w:bCs w:val="0"/>
            <w:sz w:val="22"/>
            <w:szCs w:val="22"/>
            <w:lang w:eastAsia="en-AU"/>
          </w:rPr>
          <w:tab/>
        </w:r>
        <w:r w:rsidR="006D3D98" w:rsidRPr="00CE110A">
          <w:rPr>
            <w:rStyle w:val="Hyperlink"/>
          </w:rPr>
          <w:t>Classifying Regional, Remote and Very Remote</w:t>
        </w:r>
        <w:r w:rsidR="006D3D98">
          <w:rPr>
            <w:webHidden/>
          </w:rPr>
          <w:tab/>
        </w:r>
        <w:r w:rsidR="006D3D98">
          <w:rPr>
            <w:webHidden/>
          </w:rPr>
          <w:fldChar w:fldCharType="begin"/>
        </w:r>
        <w:r w:rsidR="006D3D98">
          <w:rPr>
            <w:webHidden/>
          </w:rPr>
          <w:instrText xml:space="preserve"> PAGEREF _Toc25182183 \h </w:instrText>
        </w:r>
        <w:r w:rsidR="006D3D98">
          <w:rPr>
            <w:webHidden/>
          </w:rPr>
        </w:r>
        <w:r w:rsidR="006D3D98">
          <w:rPr>
            <w:webHidden/>
          </w:rPr>
          <w:fldChar w:fldCharType="separate"/>
        </w:r>
        <w:r w:rsidR="006D3D98">
          <w:rPr>
            <w:webHidden/>
          </w:rPr>
          <w:t>25</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4"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_Toc25182184 \h </w:instrText>
        </w:r>
        <w:r w:rsidR="006D3D98">
          <w:rPr>
            <w:noProof/>
            <w:webHidden/>
          </w:rPr>
        </w:r>
        <w:r w:rsidR="006D3D98">
          <w:rPr>
            <w:noProof/>
            <w:webHidden/>
          </w:rPr>
          <w:fldChar w:fldCharType="separate"/>
        </w:r>
        <w:r w:rsidR="006D3D98">
          <w:rPr>
            <w:noProof/>
            <w:webHidden/>
          </w:rPr>
          <w:t>25</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5"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_Toc25182185 \h </w:instrText>
        </w:r>
        <w:r w:rsidR="006D3D98">
          <w:rPr>
            <w:noProof/>
            <w:webHidden/>
          </w:rPr>
        </w:r>
        <w:r w:rsidR="006D3D98">
          <w:rPr>
            <w:noProof/>
            <w:webHidden/>
          </w:rPr>
          <w:fldChar w:fldCharType="separate"/>
        </w:r>
        <w:r w:rsidR="006D3D98">
          <w:rPr>
            <w:noProof/>
            <w:webHidden/>
          </w:rPr>
          <w:t>27</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86" w:history="1">
        <w:r w:rsidR="006D3D98" w:rsidRPr="00CE110A">
          <w:rPr>
            <w:rStyle w:val="Hyperlink"/>
          </w:rPr>
          <w:t>8.</w:t>
        </w:r>
        <w:r w:rsidR="006D3D98">
          <w:rPr>
            <w:rFonts w:asciiTheme="minorHAnsi" w:eastAsiaTheme="minorEastAsia" w:hAnsiTheme="minorHAnsi" w:cstheme="minorBidi"/>
            <w:b w:val="0"/>
            <w:bCs w:val="0"/>
            <w:sz w:val="22"/>
            <w:szCs w:val="22"/>
            <w:lang w:eastAsia="en-AU"/>
          </w:rPr>
          <w:tab/>
        </w:r>
        <w:r w:rsidR="006D3D98" w:rsidRPr="00CE110A">
          <w:rPr>
            <w:rStyle w:val="Hyperlink"/>
          </w:rPr>
          <w:t>Costs in outer regional areas</w:t>
        </w:r>
        <w:r w:rsidR="006D3D98">
          <w:rPr>
            <w:webHidden/>
          </w:rPr>
          <w:tab/>
        </w:r>
        <w:r w:rsidR="006D3D98">
          <w:rPr>
            <w:webHidden/>
          </w:rPr>
          <w:fldChar w:fldCharType="begin"/>
        </w:r>
        <w:r w:rsidR="006D3D98">
          <w:rPr>
            <w:webHidden/>
          </w:rPr>
          <w:instrText xml:space="preserve"> PAGEREF _Toc25182186 \h </w:instrText>
        </w:r>
        <w:r w:rsidR="006D3D98">
          <w:rPr>
            <w:webHidden/>
          </w:rPr>
        </w:r>
        <w:r w:rsidR="006D3D98">
          <w:rPr>
            <w:webHidden/>
          </w:rPr>
          <w:fldChar w:fldCharType="separate"/>
        </w:r>
        <w:r w:rsidR="006D3D98">
          <w:rPr>
            <w:webHidden/>
          </w:rPr>
          <w:t>30</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7"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_Toc25182187 \h </w:instrText>
        </w:r>
        <w:r w:rsidR="006D3D98">
          <w:rPr>
            <w:noProof/>
            <w:webHidden/>
          </w:rPr>
        </w:r>
        <w:r w:rsidR="006D3D98">
          <w:rPr>
            <w:noProof/>
            <w:webHidden/>
          </w:rPr>
          <w:fldChar w:fldCharType="separate"/>
        </w:r>
        <w:r w:rsidR="006D3D98">
          <w:rPr>
            <w:noProof/>
            <w:webHidden/>
          </w:rPr>
          <w:t>30</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88"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_Toc25182188 \h </w:instrText>
        </w:r>
        <w:r w:rsidR="006D3D98">
          <w:rPr>
            <w:noProof/>
            <w:webHidden/>
          </w:rPr>
        </w:r>
        <w:r w:rsidR="006D3D98">
          <w:rPr>
            <w:noProof/>
            <w:webHidden/>
          </w:rPr>
          <w:fldChar w:fldCharType="separate"/>
        </w:r>
        <w:r w:rsidR="006D3D98">
          <w:rPr>
            <w:noProof/>
            <w:webHidden/>
          </w:rPr>
          <w:t>30</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89" w:history="1">
        <w:r w:rsidR="006D3D98" w:rsidRPr="00CE110A">
          <w:rPr>
            <w:rStyle w:val="Hyperlink"/>
          </w:rPr>
          <w:t>9.</w:t>
        </w:r>
        <w:r w:rsidR="006D3D98">
          <w:rPr>
            <w:rFonts w:asciiTheme="minorHAnsi" w:eastAsiaTheme="minorEastAsia" w:hAnsiTheme="minorHAnsi" w:cstheme="minorBidi"/>
            <w:b w:val="0"/>
            <w:bCs w:val="0"/>
            <w:sz w:val="22"/>
            <w:szCs w:val="22"/>
            <w:lang w:eastAsia="en-AU"/>
          </w:rPr>
          <w:tab/>
        </w:r>
        <w:r w:rsidR="006D3D98" w:rsidRPr="00CE110A">
          <w:rPr>
            <w:rStyle w:val="Hyperlink"/>
          </w:rPr>
          <w:t>Cancellation rules</w:t>
        </w:r>
        <w:r w:rsidR="006D3D98">
          <w:rPr>
            <w:webHidden/>
          </w:rPr>
          <w:tab/>
        </w:r>
        <w:r w:rsidR="006D3D98">
          <w:rPr>
            <w:webHidden/>
          </w:rPr>
          <w:fldChar w:fldCharType="begin"/>
        </w:r>
        <w:r w:rsidR="006D3D98">
          <w:rPr>
            <w:webHidden/>
          </w:rPr>
          <w:instrText xml:space="preserve"> PAGEREF _Toc25182189 \h </w:instrText>
        </w:r>
        <w:r w:rsidR="006D3D98">
          <w:rPr>
            <w:webHidden/>
          </w:rPr>
        </w:r>
        <w:r w:rsidR="006D3D98">
          <w:rPr>
            <w:webHidden/>
          </w:rPr>
          <w:fldChar w:fldCharType="separate"/>
        </w:r>
        <w:r w:rsidR="006D3D98">
          <w:rPr>
            <w:webHidden/>
          </w:rPr>
          <w:t>31</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0"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_Toc25182190 \h </w:instrText>
        </w:r>
        <w:r w:rsidR="006D3D98">
          <w:rPr>
            <w:noProof/>
            <w:webHidden/>
          </w:rPr>
        </w:r>
        <w:r w:rsidR="006D3D98">
          <w:rPr>
            <w:noProof/>
            <w:webHidden/>
          </w:rPr>
          <w:fldChar w:fldCharType="separate"/>
        </w:r>
        <w:r w:rsidR="006D3D98">
          <w:rPr>
            <w:noProof/>
            <w:webHidden/>
          </w:rPr>
          <w:t>31</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1"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_Toc25182191 \h </w:instrText>
        </w:r>
        <w:r w:rsidR="006D3D98">
          <w:rPr>
            <w:noProof/>
            <w:webHidden/>
          </w:rPr>
        </w:r>
        <w:r w:rsidR="006D3D98">
          <w:rPr>
            <w:noProof/>
            <w:webHidden/>
          </w:rPr>
          <w:fldChar w:fldCharType="separate"/>
        </w:r>
        <w:r w:rsidR="006D3D98">
          <w:rPr>
            <w:noProof/>
            <w:webHidden/>
          </w:rPr>
          <w:t>32</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92" w:history="1">
        <w:r w:rsidR="006D3D98" w:rsidRPr="00CE110A">
          <w:rPr>
            <w:rStyle w:val="Hyperlink"/>
          </w:rPr>
          <w:t>10.</w:t>
        </w:r>
        <w:r w:rsidR="006D3D98">
          <w:rPr>
            <w:rFonts w:asciiTheme="minorHAnsi" w:eastAsiaTheme="minorEastAsia" w:hAnsiTheme="minorHAnsi" w:cstheme="minorBidi"/>
            <w:b w:val="0"/>
            <w:bCs w:val="0"/>
            <w:sz w:val="22"/>
            <w:szCs w:val="22"/>
            <w:lang w:eastAsia="en-AU"/>
          </w:rPr>
          <w:tab/>
        </w:r>
        <w:r w:rsidR="006D3D98" w:rsidRPr="00CE110A">
          <w:rPr>
            <w:rStyle w:val="Hyperlink"/>
          </w:rPr>
          <w:t>Provider travel rules</w:t>
        </w:r>
        <w:r w:rsidR="006D3D98">
          <w:rPr>
            <w:webHidden/>
          </w:rPr>
          <w:tab/>
        </w:r>
        <w:r w:rsidR="006D3D98">
          <w:rPr>
            <w:webHidden/>
          </w:rPr>
          <w:fldChar w:fldCharType="begin"/>
        </w:r>
        <w:r w:rsidR="006D3D98">
          <w:rPr>
            <w:webHidden/>
          </w:rPr>
          <w:instrText xml:space="preserve"> PAGEREF _Toc25182192 \h </w:instrText>
        </w:r>
        <w:r w:rsidR="006D3D98">
          <w:rPr>
            <w:webHidden/>
          </w:rPr>
        </w:r>
        <w:r w:rsidR="006D3D98">
          <w:rPr>
            <w:webHidden/>
          </w:rPr>
          <w:fldChar w:fldCharType="separate"/>
        </w:r>
        <w:r w:rsidR="006D3D98">
          <w:rPr>
            <w:webHidden/>
          </w:rPr>
          <w:t>33</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3"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_Toc25182193 \h </w:instrText>
        </w:r>
        <w:r w:rsidR="006D3D98">
          <w:rPr>
            <w:noProof/>
            <w:webHidden/>
          </w:rPr>
        </w:r>
        <w:r w:rsidR="006D3D98">
          <w:rPr>
            <w:noProof/>
            <w:webHidden/>
          </w:rPr>
          <w:fldChar w:fldCharType="separate"/>
        </w:r>
        <w:r w:rsidR="006D3D98">
          <w:rPr>
            <w:noProof/>
            <w:webHidden/>
          </w:rPr>
          <w:t>33</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4"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_Toc25182194 \h </w:instrText>
        </w:r>
        <w:r w:rsidR="006D3D98">
          <w:rPr>
            <w:noProof/>
            <w:webHidden/>
          </w:rPr>
        </w:r>
        <w:r w:rsidR="006D3D98">
          <w:rPr>
            <w:noProof/>
            <w:webHidden/>
          </w:rPr>
          <w:fldChar w:fldCharType="separate"/>
        </w:r>
        <w:r w:rsidR="006D3D98">
          <w:rPr>
            <w:noProof/>
            <w:webHidden/>
          </w:rPr>
          <w:t>34</w:t>
        </w:r>
        <w:r w:rsidR="006D3D98">
          <w:rPr>
            <w:noProof/>
            <w:webHidden/>
          </w:rPr>
          <w:fldChar w:fldCharType="end"/>
        </w:r>
      </w:hyperlink>
    </w:p>
    <w:p w:rsidR="006D3D98" w:rsidRDefault="003A3B58">
      <w:pPr>
        <w:pStyle w:val="TOC1"/>
        <w:rPr>
          <w:rFonts w:asciiTheme="minorHAnsi" w:eastAsiaTheme="minorEastAsia" w:hAnsiTheme="minorHAnsi" w:cstheme="minorBidi"/>
          <w:b w:val="0"/>
          <w:bCs w:val="0"/>
          <w:sz w:val="22"/>
          <w:szCs w:val="22"/>
          <w:lang w:eastAsia="en-AU"/>
        </w:rPr>
      </w:pPr>
      <w:hyperlink w:anchor="_Toc25182195" w:history="1">
        <w:r w:rsidR="006D3D98" w:rsidRPr="00CE110A">
          <w:rPr>
            <w:rStyle w:val="Hyperlink"/>
          </w:rPr>
          <w:t>11.</w:t>
        </w:r>
        <w:r w:rsidR="006D3D98">
          <w:rPr>
            <w:rFonts w:asciiTheme="minorHAnsi" w:eastAsiaTheme="minorEastAsia" w:hAnsiTheme="minorHAnsi" w:cstheme="minorBidi"/>
            <w:b w:val="0"/>
            <w:bCs w:val="0"/>
            <w:sz w:val="22"/>
            <w:szCs w:val="22"/>
            <w:lang w:eastAsia="en-AU"/>
          </w:rPr>
          <w:tab/>
        </w:r>
        <w:r w:rsidR="006D3D98" w:rsidRPr="00CE110A">
          <w:rPr>
            <w:rStyle w:val="Hyperlink"/>
          </w:rPr>
          <w:t>Establishment fees</w:t>
        </w:r>
        <w:r w:rsidR="006D3D98">
          <w:rPr>
            <w:webHidden/>
          </w:rPr>
          <w:tab/>
        </w:r>
        <w:r w:rsidR="006D3D98">
          <w:rPr>
            <w:webHidden/>
          </w:rPr>
          <w:fldChar w:fldCharType="begin"/>
        </w:r>
        <w:r w:rsidR="006D3D98">
          <w:rPr>
            <w:webHidden/>
          </w:rPr>
          <w:instrText xml:space="preserve"> PAGEREF _Toc25182195 \h </w:instrText>
        </w:r>
        <w:r w:rsidR="006D3D98">
          <w:rPr>
            <w:webHidden/>
          </w:rPr>
        </w:r>
        <w:r w:rsidR="006D3D98">
          <w:rPr>
            <w:webHidden/>
          </w:rPr>
          <w:fldChar w:fldCharType="separate"/>
        </w:r>
        <w:r w:rsidR="006D3D98">
          <w:rPr>
            <w:webHidden/>
          </w:rPr>
          <w:t>35</w:t>
        </w:r>
        <w:r w:rsidR="006D3D98">
          <w:rPr>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6" w:history="1">
        <w:r w:rsidR="006D3D98" w:rsidRPr="00CE110A">
          <w:rPr>
            <w:rStyle w:val="Hyperlink"/>
            <w:noProof/>
          </w:rPr>
          <w:t>Current arrangements</w:t>
        </w:r>
        <w:r w:rsidR="006D3D98">
          <w:rPr>
            <w:noProof/>
            <w:webHidden/>
          </w:rPr>
          <w:tab/>
        </w:r>
        <w:r w:rsidR="006D3D98">
          <w:rPr>
            <w:noProof/>
            <w:webHidden/>
          </w:rPr>
          <w:fldChar w:fldCharType="begin"/>
        </w:r>
        <w:r w:rsidR="006D3D98">
          <w:rPr>
            <w:noProof/>
            <w:webHidden/>
          </w:rPr>
          <w:instrText xml:space="preserve"> PAGEREF _Toc25182196 \h </w:instrText>
        </w:r>
        <w:r w:rsidR="006D3D98">
          <w:rPr>
            <w:noProof/>
            <w:webHidden/>
          </w:rPr>
        </w:r>
        <w:r w:rsidR="006D3D98">
          <w:rPr>
            <w:noProof/>
            <w:webHidden/>
          </w:rPr>
          <w:fldChar w:fldCharType="separate"/>
        </w:r>
        <w:r w:rsidR="006D3D98">
          <w:rPr>
            <w:noProof/>
            <w:webHidden/>
          </w:rPr>
          <w:t>35</w:t>
        </w:r>
        <w:r w:rsidR="006D3D98">
          <w:rPr>
            <w:noProof/>
            <w:webHidden/>
          </w:rPr>
          <w:fldChar w:fldCharType="end"/>
        </w:r>
      </w:hyperlink>
    </w:p>
    <w:p w:rsidR="006D3D98" w:rsidRDefault="003A3B58">
      <w:pPr>
        <w:pStyle w:val="TOC2"/>
        <w:rPr>
          <w:rFonts w:asciiTheme="minorHAnsi" w:eastAsiaTheme="minorEastAsia" w:hAnsiTheme="minorHAnsi" w:cstheme="minorBidi"/>
          <w:i w:val="0"/>
          <w:iCs w:val="0"/>
          <w:noProof/>
          <w:sz w:val="22"/>
          <w:szCs w:val="22"/>
          <w:lang w:eastAsia="en-AU"/>
        </w:rPr>
      </w:pPr>
      <w:hyperlink w:anchor="_Toc25182197" w:history="1">
        <w:r w:rsidR="006D3D98" w:rsidRPr="00CE110A">
          <w:rPr>
            <w:rStyle w:val="Hyperlink"/>
            <w:noProof/>
          </w:rPr>
          <w:t>Issues</w:t>
        </w:r>
        <w:r w:rsidR="006D3D98">
          <w:rPr>
            <w:noProof/>
            <w:webHidden/>
          </w:rPr>
          <w:tab/>
        </w:r>
        <w:r w:rsidR="006D3D98">
          <w:rPr>
            <w:noProof/>
            <w:webHidden/>
          </w:rPr>
          <w:fldChar w:fldCharType="begin"/>
        </w:r>
        <w:r w:rsidR="006D3D98">
          <w:rPr>
            <w:noProof/>
            <w:webHidden/>
          </w:rPr>
          <w:instrText xml:space="preserve"> PAGEREF _Toc25182197 \h </w:instrText>
        </w:r>
        <w:r w:rsidR="006D3D98">
          <w:rPr>
            <w:noProof/>
            <w:webHidden/>
          </w:rPr>
        </w:r>
        <w:r w:rsidR="006D3D98">
          <w:rPr>
            <w:noProof/>
            <w:webHidden/>
          </w:rPr>
          <w:fldChar w:fldCharType="separate"/>
        </w:r>
        <w:r w:rsidR="006D3D98">
          <w:rPr>
            <w:noProof/>
            <w:webHidden/>
          </w:rPr>
          <w:t>35</w:t>
        </w:r>
        <w:r w:rsidR="006D3D98">
          <w:rPr>
            <w:noProof/>
            <w:webHidden/>
          </w:rPr>
          <w:fldChar w:fldCharType="end"/>
        </w:r>
      </w:hyperlink>
    </w:p>
    <w:p w:rsidR="00E87FA3" w:rsidRPr="00C110ED" w:rsidRDefault="00DC2783" w:rsidP="00FF40F2">
      <w:pPr>
        <w:spacing w:before="480" w:after="360"/>
        <w:rPr>
          <w:rFonts w:eastAsiaTheme="minorHAnsi"/>
        </w:rPr>
      </w:pPr>
      <w:r w:rsidRPr="00C110ED">
        <w:rPr>
          <w:lang w:eastAsia="ja-JP"/>
        </w:rPr>
        <w:lastRenderedPageBreak/>
        <w:fldChar w:fldCharType="end"/>
      </w:r>
      <w:bookmarkStart w:id="3" w:name="_Toc526233516"/>
      <w:bookmarkStart w:id="4" w:name="_Toc533084567"/>
      <w:bookmarkStart w:id="5" w:name="_Toc535274944"/>
      <w:r w:rsidR="00E87FA3" w:rsidRPr="00C110ED">
        <w:rPr>
          <w:rFonts w:eastAsiaTheme="minorHAnsi"/>
        </w:rPr>
        <w:t xml:space="preserve"> </w:t>
      </w:r>
      <w:r w:rsidR="00E87FA3" w:rsidRPr="00C110ED">
        <w:rPr>
          <w:color w:val="6A2875"/>
          <w:sz w:val="44"/>
          <w:szCs w:val="44"/>
          <w:lang w:eastAsia="ja-JP"/>
        </w:rPr>
        <w:t>Terms that we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33"/>
      </w:tblGrid>
      <w:tr w:rsidR="00E87FA3" w:rsidRPr="00C110ED" w:rsidTr="00EB4A37">
        <w:tc>
          <w:tcPr>
            <w:tcW w:w="1100" w:type="pct"/>
            <w:hideMark/>
          </w:tcPr>
          <w:p w:rsidR="00E87FA3" w:rsidRPr="00C110ED" w:rsidRDefault="00E87FA3" w:rsidP="00D61DC2">
            <w:pPr>
              <w:pStyle w:val="TabletextLeft"/>
              <w:spacing w:before="120" w:after="120" w:line="240" w:lineRule="atLeast"/>
              <w:ind w:right="0"/>
              <w:rPr>
                <w:rFonts w:asciiTheme="minorHAnsi" w:hAnsiTheme="minorHAnsi" w:cstheme="minorHAnsi"/>
                <w:b/>
                <w:sz w:val="20"/>
                <w:szCs w:val="20"/>
              </w:rPr>
            </w:pPr>
            <w:r w:rsidRPr="00C110ED">
              <w:rPr>
                <w:rFonts w:asciiTheme="minorHAnsi" w:hAnsiTheme="minorHAnsi" w:cstheme="minorHAnsi"/>
                <w:b/>
                <w:sz w:val="20"/>
                <w:szCs w:val="20"/>
              </w:rPr>
              <w:t>Acronym</w:t>
            </w:r>
          </w:p>
        </w:tc>
        <w:tc>
          <w:tcPr>
            <w:tcW w:w="3900" w:type="pct"/>
            <w:hideMark/>
          </w:tcPr>
          <w:p w:rsidR="00E87FA3" w:rsidRPr="00C110ED" w:rsidRDefault="00E87FA3" w:rsidP="00D61DC2">
            <w:pPr>
              <w:pStyle w:val="TabletextLeft"/>
              <w:spacing w:before="120" w:after="120" w:line="240" w:lineRule="atLeast"/>
              <w:ind w:right="0"/>
              <w:rPr>
                <w:rFonts w:asciiTheme="minorHAnsi" w:hAnsiTheme="minorHAnsi" w:cstheme="minorHAnsi"/>
                <w:b/>
                <w:sz w:val="20"/>
                <w:szCs w:val="20"/>
              </w:rPr>
            </w:pPr>
            <w:r w:rsidRPr="00C110ED">
              <w:rPr>
                <w:rFonts w:asciiTheme="minorHAnsi" w:hAnsiTheme="minorHAnsi" w:cstheme="minorHAnsi"/>
                <w:b/>
                <w:sz w:val="20"/>
                <w:szCs w:val="20"/>
              </w:rPr>
              <w:t>Full name</w:t>
            </w:r>
          </w:p>
        </w:tc>
      </w:tr>
      <w:tr w:rsidR="00E87FA3" w:rsidRPr="00C110ED" w:rsidTr="00EB4A37">
        <w:tc>
          <w:tcPr>
            <w:tcW w:w="1100" w:type="pct"/>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D</w:t>
            </w:r>
            <w:r w:rsidR="002F51A0">
              <w:rPr>
                <w:rFonts w:asciiTheme="minorHAnsi" w:hAnsiTheme="minorHAnsi" w:cstheme="minorHAnsi"/>
                <w:sz w:val="20"/>
                <w:szCs w:val="20"/>
              </w:rPr>
              <w:t>S</w:t>
            </w:r>
            <w:r w:rsidRPr="00C110ED">
              <w:rPr>
                <w:rFonts w:asciiTheme="minorHAnsi" w:hAnsiTheme="minorHAnsi" w:cstheme="minorHAnsi"/>
                <w:sz w:val="20"/>
                <w:szCs w:val="20"/>
              </w:rPr>
              <w:t>W</w:t>
            </w:r>
          </w:p>
        </w:tc>
        <w:tc>
          <w:tcPr>
            <w:tcW w:w="3900" w:type="pct"/>
          </w:tcPr>
          <w:p w:rsidR="00E87FA3" w:rsidRPr="00C110ED" w:rsidRDefault="00E87FA3" w:rsidP="002F51A0">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 xml:space="preserve">Disability </w:t>
            </w:r>
            <w:r w:rsidR="002F51A0">
              <w:rPr>
                <w:rFonts w:asciiTheme="minorHAnsi" w:hAnsiTheme="minorHAnsi" w:cstheme="minorHAnsi"/>
                <w:sz w:val="20"/>
                <w:szCs w:val="20"/>
              </w:rPr>
              <w:t xml:space="preserve">Support </w:t>
            </w:r>
            <w:r w:rsidRPr="00C110ED">
              <w:rPr>
                <w:rFonts w:asciiTheme="minorHAnsi" w:hAnsiTheme="minorHAnsi" w:cstheme="minorHAnsi"/>
                <w:sz w:val="20"/>
                <w:szCs w:val="20"/>
              </w:rPr>
              <w:t>Worker</w:t>
            </w:r>
          </w:p>
        </w:tc>
      </w:tr>
      <w:tr w:rsidR="00E87FA3" w:rsidRPr="00C110ED" w:rsidTr="00EB4A37">
        <w:tc>
          <w:tcPr>
            <w:tcW w:w="11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MMM</w:t>
            </w:r>
          </w:p>
        </w:tc>
        <w:tc>
          <w:tcPr>
            <w:tcW w:w="39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Modified Monash Model</w:t>
            </w:r>
          </w:p>
        </w:tc>
      </w:tr>
      <w:tr w:rsidR="00E87FA3" w:rsidRPr="00C110ED" w:rsidTr="00EB4A37">
        <w:tc>
          <w:tcPr>
            <w:tcW w:w="11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NDIA</w:t>
            </w:r>
          </w:p>
        </w:tc>
        <w:tc>
          <w:tcPr>
            <w:tcW w:w="39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National Disability Insurance Agency</w:t>
            </w:r>
          </w:p>
        </w:tc>
      </w:tr>
      <w:tr w:rsidR="00E87FA3" w:rsidRPr="00C110ED" w:rsidTr="00EB4A37">
        <w:tc>
          <w:tcPr>
            <w:tcW w:w="11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NDIS</w:t>
            </w:r>
          </w:p>
        </w:tc>
        <w:tc>
          <w:tcPr>
            <w:tcW w:w="39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National Disability Insurance Scheme</w:t>
            </w:r>
          </w:p>
        </w:tc>
      </w:tr>
      <w:tr w:rsidR="00E87FA3" w:rsidRPr="00C110ED" w:rsidTr="00EB4A37">
        <w:tc>
          <w:tcPr>
            <w:tcW w:w="1100" w:type="pct"/>
            <w:hideMark/>
          </w:tcPr>
          <w:p w:rsidR="00E87FA3" w:rsidRPr="00C110ED" w:rsidRDefault="00E87FA3" w:rsidP="00D61DC2">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SCHADS</w:t>
            </w:r>
          </w:p>
        </w:tc>
        <w:tc>
          <w:tcPr>
            <w:tcW w:w="3900" w:type="pct"/>
            <w:hideMark/>
          </w:tcPr>
          <w:p w:rsidR="00E87FA3" w:rsidRPr="00C110ED" w:rsidRDefault="00E87FA3" w:rsidP="002F51A0">
            <w:pPr>
              <w:pStyle w:val="TabletextLeft"/>
              <w:spacing w:before="120" w:after="120" w:line="240" w:lineRule="atLeast"/>
              <w:ind w:right="0"/>
              <w:rPr>
                <w:rFonts w:asciiTheme="minorHAnsi" w:hAnsiTheme="minorHAnsi" w:cstheme="minorHAnsi"/>
                <w:sz w:val="20"/>
                <w:szCs w:val="20"/>
              </w:rPr>
            </w:pPr>
            <w:r w:rsidRPr="00C110ED">
              <w:rPr>
                <w:rFonts w:asciiTheme="minorHAnsi" w:hAnsiTheme="minorHAnsi" w:cstheme="minorHAnsi"/>
                <w:sz w:val="20"/>
                <w:szCs w:val="20"/>
              </w:rPr>
              <w:t xml:space="preserve">Social, Community, </w:t>
            </w:r>
            <w:r w:rsidR="002F51A0">
              <w:rPr>
                <w:rFonts w:asciiTheme="minorHAnsi" w:hAnsiTheme="minorHAnsi" w:cstheme="minorHAnsi"/>
                <w:sz w:val="20"/>
                <w:szCs w:val="20"/>
              </w:rPr>
              <w:t>Home Care A</w:t>
            </w:r>
            <w:r w:rsidRPr="00C110ED">
              <w:rPr>
                <w:rFonts w:asciiTheme="minorHAnsi" w:hAnsiTheme="minorHAnsi" w:cstheme="minorHAnsi"/>
                <w:sz w:val="20"/>
                <w:szCs w:val="20"/>
              </w:rPr>
              <w:t>nd Disability Se</w:t>
            </w:r>
            <w:r w:rsidR="002F51A0">
              <w:rPr>
                <w:rFonts w:asciiTheme="minorHAnsi" w:hAnsiTheme="minorHAnsi" w:cstheme="minorHAnsi"/>
                <w:sz w:val="20"/>
                <w:szCs w:val="20"/>
              </w:rPr>
              <w:t>rvices</w:t>
            </w:r>
            <w:r w:rsidRPr="00C110ED">
              <w:rPr>
                <w:rFonts w:asciiTheme="minorHAnsi" w:hAnsiTheme="minorHAnsi" w:cstheme="minorHAnsi"/>
                <w:sz w:val="20"/>
                <w:szCs w:val="20"/>
              </w:rPr>
              <w:t xml:space="preserve"> </w:t>
            </w:r>
            <w:r w:rsidR="002F51A0">
              <w:rPr>
                <w:rFonts w:asciiTheme="minorHAnsi" w:hAnsiTheme="minorHAnsi" w:cstheme="minorHAnsi"/>
                <w:sz w:val="20"/>
                <w:szCs w:val="20"/>
              </w:rPr>
              <w:t xml:space="preserve">Industry </w:t>
            </w:r>
            <w:r w:rsidRPr="00C110ED">
              <w:rPr>
                <w:rFonts w:asciiTheme="minorHAnsi" w:hAnsiTheme="minorHAnsi" w:cstheme="minorHAnsi"/>
                <w:sz w:val="20"/>
                <w:szCs w:val="20"/>
              </w:rPr>
              <w:t>Award</w:t>
            </w:r>
            <w:r w:rsidR="002F51A0">
              <w:rPr>
                <w:rFonts w:asciiTheme="minorHAnsi" w:hAnsiTheme="minorHAnsi" w:cstheme="minorHAnsi"/>
                <w:sz w:val="20"/>
                <w:szCs w:val="20"/>
              </w:rPr>
              <w:t xml:space="preserve"> 2010</w:t>
            </w:r>
          </w:p>
        </w:tc>
      </w:tr>
    </w:tbl>
    <w:p w:rsidR="00E87FA3" w:rsidRPr="00C110ED" w:rsidRDefault="00E87FA3" w:rsidP="00307EFF">
      <w:pPr>
        <w:spacing w:before="0" w:after="0" w:line="240" w:lineRule="auto"/>
        <w:rPr>
          <w:rFonts w:cstheme="minorHAnsi"/>
          <w:b/>
          <w:color w:val="6A2875" w:themeColor="accent4"/>
          <w:sz w:val="24"/>
          <w:szCs w:val="24"/>
        </w:rPr>
        <w:sectPr w:rsidR="00E87FA3" w:rsidRPr="00C110ED" w:rsidSect="00FF40F2">
          <w:headerReference w:type="default" r:id="rId12"/>
          <w:footerReference w:type="default" r:id="rId13"/>
          <w:footerReference w:type="first" r:id="rId14"/>
          <w:pgSz w:w="11907" w:h="16839" w:code="9"/>
          <w:pgMar w:top="1440" w:right="1440" w:bottom="1440" w:left="1440" w:header="709" w:footer="709" w:gutter="0"/>
          <w:cols w:space="720"/>
          <w:titlePg/>
        </w:sectPr>
      </w:pPr>
    </w:p>
    <w:p w:rsidR="00CE091F" w:rsidRPr="00C110ED" w:rsidRDefault="00520EA3" w:rsidP="00040022">
      <w:pPr>
        <w:pStyle w:val="Heading1"/>
        <w:numPr>
          <w:ilvl w:val="0"/>
          <w:numId w:val="24"/>
        </w:numPr>
      </w:pPr>
      <w:bookmarkStart w:id="6" w:name="_Toc25182166"/>
      <w:bookmarkEnd w:id="3"/>
      <w:bookmarkEnd w:id="4"/>
      <w:bookmarkEnd w:id="5"/>
      <w:r w:rsidRPr="00C110ED">
        <w:lastRenderedPageBreak/>
        <w:t>Introduction</w:t>
      </w:r>
      <w:bookmarkEnd w:id="6"/>
    </w:p>
    <w:p w:rsidR="00520EA3" w:rsidRPr="00C110ED" w:rsidRDefault="00520EA3" w:rsidP="00307EFF">
      <w:r w:rsidRPr="00C110ED">
        <w:t>The National Dis</w:t>
      </w:r>
      <w:r w:rsidR="00EB0074" w:rsidRPr="00C110ED">
        <w:t>ability Insurance Agency (NDIA</w:t>
      </w:r>
      <w:r w:rsidRPr="00C110ED">
        <w:t xml:space="preserve">) has responsibility for administering the </w:t>
      </w:r>
      <w:r w:rsidR="003D1CFA" w:rsidRPr="00C110ED">
        <w:t>National Disability Insurance Scheme (NDIS</w:t>
      </w:r>
      <w:r w:rsidR="003D1CFA">
        <w:t>)</w:t>
      </w:r>
      <w:r w:rsidRPr="00C110ED">
        <w:t xml:space="preserve">, including </w:t>
      </w:r>
      <w:r w:rsidR="003C6C7D">
        <w:t xml:space="preserve">managing </w:t>
      </w:r>
      <w:r w:rsidRPr="00C110ED">
        <w:t xml:space="preserve">the markets for disability goods and services. </w:t>
      </w:r>
    </w:p>
    <w:p w:rsidR="00520EA3" w:rsidRPr="00C110ED" w:rsidRDefault="00520EA3" w:rsidP="00307EFF">
      <w:r w:rsidRPr="00C110ED">
        <w:t xml:space="preserve">As part of its market stewardship role, the NDIA </w:t>
      </w:r>
      <w:r w:rsidR="002F51A0">
        <w:t>limit</w:t>
      </w:r>
      <w:r w:rsidRPr="00C110ED">
        <w:t xml:space="preserve">s the prices that registered providers can charge for some supports and applies other price controls, including billing rules. During transition, price controls are in place to ensure that participants receive value for money in the supports that they receive. In the short to medium term, price controls are required for some disability supports because the markets for disability goods and services are not yet fully developed. The longer-term goal of the NDIA is to remove </w:t>
      </w:r>
      <w:r w:rsidR="00067E8C">
        <w:t xml:space="preserve">the </w:t>
      </w:r>
      <w:r w:rsidR="00F15311">
        <w:t xml:space="preserve">need for price controls </w:t>
      </w:r>
      <w:r w:rsidRPr="00C110ED">
        <w:t xml:space="preserve">for disability supports. </w:t>
      </w:r>
    </w:p>
    <w:p w:rsidR="00EB0074" w:rsidRDefault="00EB0074" w:rsidP="00F15311">
      <w:r w:rsidRPr="00C110ED">
        <w:t>The</w:t>
      </w:r>
      <w:r w:rsidR="00696BE9">
        <w:t xml:space="preserve"> NDIA has recently published the</w:t>
      </w:r>
      <w:r w:rsidRPr="00C110ED">
        <w:t xml:space="preserve"> </w:t>
      </w:r>
      <w:r w:rsidRPr="00C110ED">
        <w:rPr>
          <w:i/>
        </w:rPr>
        <w:t xml:space="preserve">NDIS Pricing Strategy </w:t>
      </w:r>
      <w:r w:rsidR="00696BE9" w:rsidRPr="00696BE9">
        <w:t xml:space="preserve">and the </w:t>
      </w:r>
      <w:r w:rsidR="00696BE9" w:rsidRPr="00696BE9">
        <w:rPr>
          <w:i/>
        </w:rPr>
        <w:t>Review of</w:t>
      </w:r>
      <w:r w:rsidR="00696BE9" w:rsidRPr="00C110ED">
        <w:t xml:space="preserve"> </w:t>
      </w:r>
      <w:r w:rsidR="00696BE9" w:rsidRPr="00C110ED">
        <w:rPr>
          <w:i/>
        </w:rPr>
        <w:t>Therapy Pricing Arrangements</w:t>
      </w:r>
      <w:r w:rsidR="002F51A0">
        <w:rPr>
          <w:i/>
        </w:rPr>
        <w:t xml:space="preserve">. </w:t>
      </w:r>
      <w:r w:rsidR="002F51A0">
        <w:t>T</w:t>
      </w:r>
      <w:r w:rsidR="00696BE9">
        <w:t>ogether</w:t>
      </w:r>
      <w:r w:rsidR="00696BE9" w:rsidRPr="00C110ED">
        <w:t xml:space="preserve"> </w:t>
      </w:r>
      <w:r w:rsidR="002F51A0">
        <w:t xml:space="preserve">they </w:t>
      </w:r>
      <w:r w:rsidR="00696BE9">
        <w:t xml:space="preserve">detail </w:t>
      </w:r>
      <w:r w:rsidRPr="00C110ED">
        <w:t xml:space="preserve">the important role that pricing plays in the NDIS </w:t>
      </w:r>
      <w:r w:rsidR="002F51A0">
        <w:t>by</w:t>
      </w:r>
      <w:r w:rsidRPr="00C110ED">
        <w:t xml:space="preserve"> empowering people supported by the NDIS to exercise choice and control; maintaining and expanding the supply of high quality disability supports; driving efficiency and innovation in the market for those supports; and supporting the transition of the NDIS over the longer term to a more dere</w:t>
      </w:r>
      <w:r w:rsidR="00696BE9">
        <w:t>gulated outcomes-based approach.</w:t>
      </w:r>
      <w:r w:rsidR="000050B5">
        <w:t xml:space="preserve"> Refer to the </w:t>
      </w:r>
      <w:hyperlink r:id="rId15" w:history="1">
        <w:r w:rsidR="000050B5" w:rsidRPr="005B71E3">
          <w:rPr>
            <w:rStyle w:val="Hyperlink"/>
          </w:rPr>
          <w:t>NDIS Pricing Strategy from August 2019</w:t>
        </w:r>
      </w:hyperlink>
      <w:r w:rsidR="000050B5">
        <w:t xml:space="preserve">, and the </w:t>
      </w:r>
      <w:hyperlink r:id="rId16" w:history="1">
        <w:r w:rsidR="000050B5" w:rsidRPr="005B71E3">
          <w:rPr>
            <w:rStyle w:val="Hyperlink"/>
          </w:rPr>
          <w:t>NDIS Review of Therapy Pricing Arrangements from March 2019</w:t>
        </w:r>
      </w:hyperlink>
      <w:r w:rsidR="000050B5">
        <w:t>.</w:t>
      </w:r>
    </w:p>
    <w:p w:rsidR="00556048" w:rsidRDefault="00556048" w:rsidP="00556048">
      <w:pPr>
        <w:rPr>
          <w:rFonts w:asciiTheme="minorHAnsi" w:hAnsiTheme="minorHAnsi"/>
        </w:rPr>
      </w:pPr>
      <w:r>
        <w:t>Currently, the NDIA varies its approach to the regulation of prices, depending on market conditions, between:</w:t>
      </w:r>
    </w:p>
    <w:p w:rsidR="00556048" w:rsidRDefault="00556048" w:rsidP="00556048">
      <w:pPr>
        <w:pStyle w:val="ListParagraph"/>
        <w:numPr>
          <w:ilvl w:val="0"/>
          <w:numId w:val="35"/>
        </w:numPr>
        <w:spacing w:before="100" w:after="100" w:line="300" w:lineRule="atLeast"/>
        <w:contextualSpacing w:val="0"/>
        <w:jc w:val="both"/>
      </w:pPr>
      <w:r>
        <w:rPr>
          <w:b/>
        </w:rPr>
        <w:t>No regulation</w:t>
      </w:r>
      <w:r>
        <w:t xml:space="preserve"> (deregulated markets): this is typically used in cases where markets are highly competitive – for example, transport.</w:t>
      </w:r>
    </w:p>
    <w:p w:rsidR="00556048" w:rsidRDefault="00556048" w:rsidP="00556048">
      <w:pPr>
        <w:pStyle w:val="ListParagraph"/>
        <w:numPr>
          <w:ilvl w:val="0"/>
          <w:numId w:val="35"/>
        </w:numPr>
        <w:spacing w:before="100" w:after="100" w:line="300" w:lineRule="atLeast"/>
        <w:contextualSpacing w:val="0"/>
        <w:jc w:val="both"/>
      </w:pPr>
      <w:r>
        <w:rPr>
          <w:b/>
        </w:rPr>
        <w:t xml:space="preserve">The imposition of price </w:t>
      </w:r>
      <w:r w:rsidR="002F51A0">
        <w:rPr>
          <w:b/>
        </w:rPr>
        <w:t>limit</w:t>
      </w:r>
      <w:r>
        <w:rPr>
          <w:b/>
        </w:rPr>
        <w:t>s</w:t>
      </w:r>
      <w:r>
        <w:t>: this represents a maximum allowable price payable by participants for types of supports. This approach is used in a significant number of markets, which are still developing and growing, such as those for attendant care.</w:t>
      </w:r>
    </w:p>
    <w:p w:rsidR="00556048" w:rsidRDefault="00556048" w:rsidP="00556048">
      <w:pPr>
        <w:pStyle w:val="ListParagraph"/>
        <w:numPr>
          <w:ilvl w:val="0"/>
          <w:numId w:val="35"/>
        </w:numPr>
        <w:spacing w:before="100" w:after="100" w:line="300" w:lineRule="atLeast"/>
        <w:contextualSpacing w:val="0"/>
        <w:jc w:val="both"/>
      </w:pPr>
      <w:r>
        <w:rPr>
          <w:b/>
        </w:rPr>
        <w:t>Quotable supports</w:t>
      </w:r>
      <w:r>
        <w:t xml:space="preserve">: in which participants are expected to obtain quotations from suppliers to provide to the NDIA as part of verifying that prices are fair and reasonable. </w:t>
      </w:r>
    </w:p>
    <w:p w:rsidR="00520EA3" w:rsidRPr="00C110ED" w:rsidRDefault="00520EA3" w:rsidP="00307EFF">
      <w:r w:rsidRPr="00C110ED">
        <w:t xml:space="preserve">The NDIA continually monitors and reviews its price control framework and other market settings to determine whether they are still appropriate. </w:t>
      </w:r>
      <w:r w:rsidR="00696BE9">
        <w:t>The NDIA is also committed to improvement of the methodologies underpinning the NDIS price control framework.</w:t>
      </w:r>
      <w:r w:rsidR="00696BE9" w:rsidRPr="00C110ED">
        <w:t xml:space="preserve"> </w:t>
      </w:r>
      <w:r w:rsidRPr="00C110ED">
        <w:t xml:space="preserve">Each year the NDIA undertakes an </w:t>
      </w:r>
      <w:r w:rsidR="00180401">
        <w:t>Annual Price Review</w:t>
      </w:r>
      <w:r w:rsidRPr="00C110ED">
        <w:t xml:space="preserve"> as an important part of that monitoring and review. </w:t>
      </w:r>
    </w:p>
    <w:p w:rsidR="00520EA3" w:rsidRPr="00C110ED" w:rsidRDefault="000F6289" w:rsidP="00B12551">
      <w:pPr>
        <w:pStyle w:val="Heading2"/>
        <w:numPr>
          <w:ilvl w:val="0"/>
          <w:numId w:val="0"/>
        </w:numPr>
        <w:ind w:left="576" w:hanging="576"/>
      </w:pPr>
      <w:bookmarkStart w:id="7" w:name="_Toc25182167"/>
      <w:r>
        <w:t>Terms of Reference</w:t>
      </w:r>
      <w:bookmarkEnd w:id="7"/>
    </w:p>
    <w:p w:rsidR="00520EA3" w:rsidRPr="00C110ED" w:rsidRDefault="00520EA3" w:rsidP="00307EFF">
      <w:pPr>
        <w:spacing w:before="140" w:after="140" w:line="280" w:lineRule="atLeast"/>
      </w:pPr>
      <w:r w:rsidRPr="00C110ED">
        <w:t xml:space="preserve">The </w:t>
      </w:r>
      <w:r w:rsidR="00180401">
        <w:t>Annual Price Review</w:t>
      </w:r>
      <w:r w:rsidR="0014275F" w:rsidRPr="00C110ED">
        <w:t xml:space="preserve"> 2020-21 (the Review) </w:t>
      </w:r>
      <w:r w:rsidRPr="00C110ED">
        <w:t xml:space="preserve">will examine, through research and consultation with industry, community and government stakeholders, whether the existing price control framework and other market settings under the NDIS continue to be appropriate or should be modified. </w:t>
      </w:r>
    </w:p>
    <w:p w:rsidR="00520EA3" w:rsidRPr="00C110ED" w:rsidRDefault="00520EA3" w:rsidP="00307EFF">
      <w:pPr>
        <w:spacing w:before="140" w:after="140" w:line="280" w:lineRule="atLeast"/>
      </w:pPr>
      <w:r w:rsidRPr="00C110ED">
        <w:lastRenderedPageBreak/>
        <w:t>In particular, the Review will:</w:t>
      </w:r>
    </w:p>
    <w:p w:rsidR="008F3A66" w:rsidRDefault="008F3A66" w:rsidP="00040022">
      <w:pPr>
        <w:numPr>
          <w:ilvl w:val="1"/>
          <w:numId w:val="20"/>
        </w:numPr>
        <w:spacing w:before="140" w:after="140" w:line="280" w:lineRule="atLeast"/>
      </w:pPr>
      <w:r>
        <w:t xml:space="preserve">Review the price control framework to increase flexibility for participants and reduce administrative burdens for providers (see Chapter </w:t>
      </w:r>
      <w:r>
        <w:fldChar w:fldCharType="begin"/>
      </w:r>
      <w:r>
        <w:instrText xml:space="preserve"> REF _Ref25053617 \r \h </w:instrText>
      </w:r>
      <w:r>
        <w:fldChar w:fldCharType="separate"/>
      </w:r>
      <w:r>
        <w:t>2</w:t>
      </w:r>
      <w:r>
        <w:fldChar w:fldCharType="end"/>
      </w:r>
      <w:r>
        <w:t>);</w:t>
      </w:r>
    </w:p>
    <w:p w:rsidR="00520EA3" w:rsidRPr="00C110ED" w:rsidRDefault="00520EA3" w:rsidP="00040022">
      <w:pPr>
        <w:numPr>
          <w:ilvl w:val="1"/>
          <w:numId w:val="20"/>
        </w:numPr>
        <w:spacing w:before="140" w:after="140" w:line="280" w:lineRule="atLeast"/>
      </w:pPr>
      <w:r w:rsidRPr="00C110ED">
        <w:t>Review the price control framework for core supports, by examining:</w:t>
      </w:r>
    </w:p>
    <w:p w:rsidR="00520EA3" w:rsidRPr="00C110ED" w:rsidRDefault="00520EA3" w:rsidP="00040022">
      <w:pPr>
        <w:numPr>
          <w:ilvl w:val="2"/>
          <w:numId w:val="20"/>
        </w:numPr>
        <w:spacing w:before="140" w:after="140" w:line="280" w:lineRule="atLeast"/>
      </w:pPr>
      <w:r w:rsidRPr="00C110ED">
        <w:t xml:space="preserve">the assumptions and parameters outlined in the </w:t>
      </w:r>
      <w:r w:rsidRPr="00C110ED">
        <w:rPr>
          <w:i/>
        </w:rPr>
        <w:t>NDIS Cost Model for Disability Support Workers</w:t>
      </w:r>
      <w:r w:rsidRPr="00C110ED">
        <w:t>, including</w:t>
      </w:r>
      <w:r w:rsidRPr="00C110ED">
        <w:rPr>
          <w:i/>
        </w:rPr>
        <w:t xml:space="preserve"> </w:t>
      </w:r>
      <w:r w:rsidRPr="00C110ED">
        <w:t>through analysis of the financial benchmarking data collected through the Temporary Transformation Payment arrangements</w:t>
      </w:r>
      <w:r w:rsidR="0039190F" w:rsidRPr="00C110ED">
        <w:t xml:space="preserve"> (see Chapter</w:t>
      </w:r>
      <w:r w:rsidR="00457522" w:rsidRPr="00C110ED">
        <w:t xml:space="preserve"> </w:t>
      </w:r>
      <w:r w:rsidR="008F3A66">
        <w:fldChar w:fldCharType="begin"/>
      </w:r>
      <w:r w:rsidR="008F3A66">
        <w:instrText xml:space="preserve"> REF _Ref25057609 \r \h </w:instrText>
      </w:r>
      <w:r w:rsidR="008F3A66">
        <w:fldChar w:fldCharType="separate"/>
      </w:r>
      <w:r w:rsidR="008F3A66">
        <w:t>3</w:t>
      </w:r>
      <w:r w:rsidR="008F3A66">
        <w:fldChar w:fldCharType="end"/>
      </w:r>
      <w:r w:rsidR="0039190F" w:rsidRPr="00C110ED">
        <w:t>)</w:t>
      </w:r>
      <w:r w:rsidRPr="00C110ED">
        <w:t>; and</w:t>
      </w:r>
    </w:p>
    <w:p w:rsidR="00520EA3" w:rsidRPr="00C110ED" w:rsidRDefault="00520EA3" w:rsidP="00040022">
      <w:pPr>
        <w:numPr>
          <w:ilvl w:val="2"/>
          <w:numId w:val="20"/>
        </w:numPr>
        <w:spacing w:before="140" w:after="140" w:line="280" w:lineRule="atLeast"/>
      </w:pPr>
      <w:r w:rsidRPr="00C110ED">
        <w:t>the methodology for deriving the price controls for group-based supports from the price controls for 1:1 supports</w:t>
      </w:r>
      <w:r w:rsidR="0039190F" w:rsidRPr="00C110ED">
        <w:t xml:space="preserve"> (see Chapter </w:t>
      </w:r>
      <w:r w:rsidR="00457522" w:rsidRPr="00C110ED">
        <w:fldChar w:fldCharType="begin"/>
      </w:r>
      <w:r w:rsidR="00457522" w:rsidRPr="00C110ED">
        <w:instrText xml:space="preserve"> REF _Ref23256506 \r \h </w:instrText>
      </w:r>
      <w:r w:rsidR="00457522" w:rsidRPr="00C110ED">
        <w:fldChar w:fldCharType="separate"/>
      </w:r>
      <w:r w:rsidR="008F3A66">
        <w:t>4</w:t>
      </w:r>
      <w:r w:rsidR="00457522" w:rsidRPr="00C110ED">
        <w:fldChar w:fldCharType="end"/>
      </w:r>
      <w:r w:rsidR="0039190F" w:rsidRPr="00C110ED">
        <w:t>)</w:t>
      </w:r>
      <w:r w:rsidRPr="00C110ED">
        <w:t>;</w:t>
      </w:r>
    </w:p>
    <w:p w:rsidR="00520EA3" w:rsidRPr="00C110ED" w:rsidRDefault="00520EA3" w:rsidP="00040022">
      <w:pPr>
        <w:numPr>
          <w:ilvl w:val="1"/>
          <w:numId w:val="20"/>
        </w:numPr>
        <w:spacing w:before="140" w:after="140" w:line="280" w:lineRule="atLeast"/>
      </w:pPr>
      <w:r w:rsidRPr="00C110ED">
        <w:t>Review the price control framework for capacity building supports, including therapy supports, by examining</w:t>
      </w:r>
      <w:r w:rsidR="00854973" w:rsidRPr="00C110ED">
        <w:t xml:space="preserve"> (see Chapter </w:t>
      </w:r>
      <w:r w:rsidR="00854973" w:rsidRPr="00C110ED">
        <w:fldChar w:fldCharType="begin"/>
      </w:r>
      <w:r w:rsidR="00854973" w:rsidRPr="00C110ED">
        <w:instrText xml:space="preserve"> REF _Ref24369119 \r \h </w:instrText>
      </w:r>
      <w:r w:rsidR="00854973" w:rsidRPr="00C110ED">
        <w:fldChar w:fldCharType="separate"/>
      </w:r>
      <w:r w:rsidR="008F3A66">
        <w:t>5</w:t>
      </w:r>
      <w:r w:rsidR="00854973" w:rsidRPr="00C110ED">
        <w:fldChar w:fldCharType="end"/>
      </w:r>
      <w:r w:rsidR="00854973" w:rsidRPr="00C110ED">
        <w:t>)</w:t>
      </w:r>
      <w:r w:rsidRPr="00C110ED">
        <w:t>:</w:t>
      </w:r>
    </w:p>
    <w:p w:rsidR="00520EA3" w:rsidRPr="00C110ED" w:rsidRDefault="00520EA3" w:rsidP="00040022">
      <w:pPr>
        <w:numPr>
          <w:ilvl w:val="2"/>
          <w:numId w:val="20"/>
        </w:numPr>
        <w:spacing w:before="140" w:after="140" w:line="280" w:lineRule="atLeast"/>
      </w:pPr>
      <w:r w:rsidRPr="00C110ED">
        <w:t>how price limits for capacity building supports, other than therapy supports, should be indexed or otherwise determined annually;</w:t>
      </w:r>
    </w:p>
    <w:p w:rsidR="00520EA3" w:rsidRPr="00C110ED" w:rsidRDefault="00520EA3" w:rsidP="00040022">
      <w:pPr>
        <w:numPr>
          <w:ilvl w:val="2"/>
          <w:numId w:val="20"/>
        </w:numPr>
        <w:spacing w:before="140" w:after="140" w:line="280" w:lineRule="atLeast"/>
      </w:pPr>
      <w:r w:rsidRPr="00C110ED">
        <w:t xml:space="preserve">how price limits for therapy supports should be adjusted annually, given the outcomes of the </w:t>
      </w:r>
      <w:r w:rsidRPr="00910838">
        <w:rPr>
          <w:i/>
        </w:rPr>
        <w:t xml:space="preserve">Review of Therapy </w:t>
      </w:r>
      <w:r w:rsidR="00115B6C">
        <w:rPr>
          <w:i/>
        </w:rPr>
        <w:t>Pricing Arrangements</w:t>
      </w:r>
      <w:r w:rsidRPr="00C110ED">
        <w:t>;</w:t>
      </w:r>
    </w:p>
    <w:p w:rsidR="00520EA3" w:rsidRPr="00C110ED" w:rsidRDefault="00520EA3" w:rsidP="00040022">
      <w:pPr>
        <w:numPr>
          <w:ilvl w:val="2"/>
          <w:numId w:val="20"/>
        </w:numPr>
        <w:spacing w:before="140" w:after="140" w:line="280" w:lineRule="atLeast"/>
      </w:pPr>
      <w:r w:rsidRPr="00C110ED">
        <w:t xml:space="preserve">whether different price limits might be appropriate for different times </w:t>
      </w:r>
      <w:r w:rsidR="00115B6C">
        <w:t xml:space="preserve">of </w:t>
      </w:r>
      <w:r w:rsidRPr="00C110ED">
        <w:t xml:space="preserve">the day, or days of the week, for some capacity building supports, including for </w:t>
      </w:r>
      <w:r w:rsidR="006331B8" w:rsidRPr="00C110ED">
        <w:t xml:space="preserve">therapists, </w:t>
      </w:r>
      <w:r w:rsidRPr="00C110ED">
        <w:t>therapy assistants and for capacity building supports delivered by disability support workers; and</w:t>
      </w:r>
    </w:p>
    <w:p w:rsidR="00520EA3" w:rsidRPr="00C110ED" w:rsidRDefault="006331B8" w:rsidP="00040022">
      <w:pPr>
        <w:numPr>
          <w:ilvl w:val="2"/>
          <w:numId w:val="20"/>
        </w:numPr>
        <w:spacing w:before="140" w:after="140" w:line="280" w:lineRule="atLeast"/>
      </w:pPr>
      <w:r w:rsidRPr="00C110ED">
        <w:t>whether</w:t>
      </w:r>
      <w:r w:rsidR="00520EA3" w:rsidRPr="00C110ED">
        <w:t xml:space="preserve"> therapists and othe</w:t>
      </w:r>
      <w:r w:rsidRPr="00C110ED">
        <w:t>r capacity building providers should be able to</w:t>
      </w:r>
      <w:r w:rsidR="00520EA3" w:rsidRPr="00C110ED">
        <w:t xml:space="preserve"> recover the costs of consumables provided to participants as part of a support;</w:t>
      </w:r>
    </w:p>
    <w:p w:rsidR="00520EA3" w:rsidRPr="00C110ED" w:rsidRDefault="00520EA3" w:rsidP="00040022">
      <w:pPr>
        <w:numPr>
          <w:ilvl w:val="1"/>
          <w:numId w:val="20"/>
        </w:numPr>
        <w:spacing w:before="140" w:after="140" w:line="280" w:lineRule="atLeast"/>
      </w:pPr>
      <w:r w:rsidRPr="00C110ED">
        <w:t>Review the price control framework for plan management supports</w:t>
      </w:r>
      <w:r w:rsidR="00457522" w:rsidRPr="00C110ED">
        <w:t xml:space="preserve"> (see Chapter</w:t>
      </w:r>
      <w:r w:rsidR="005773DD" w:rsidRPr="00C110ED">
        <w:t xml:space="preserve"> </w:t>
      </w:r>
      <w:r w:rsidR="00854973" w:rsidRPr="00C110ED">
        <w:fldChar w:fldCharType="begin"/>
      </w:r>
      <w:r w:rsidR="00854973" w:rsidRPr="00C110ED">
        <w:instrText xml:space="preserve"> REF _Ref24369092 \r \h </w:instrText>
      </w:r>
      <w:r w:rsidR="00854973" w:rsidRPr="00C110ED">
        <w:fldChar w:fldCharType="separate"/>
      </w:r>
      <w:r w:rsidR="008F3A66">
        <w:t>1</w:t>
      </w:r>
      <w:r w:rsidR="00854973" w:rsidRPr="00C110ED">
        <w:fldChar w:fldCharType="end"/>
      </w:r>
      <w:r w:rsidR="00457522" w:rsidRPr="00C110ED">
        <w:t>)</w:t>
      </w:r>
      <w:r w:rsidRPr="00C110ED">
        <w:t>;</w:t>
      </w:r>
    </w:p>
    <w:p w:rsidR="00520EA3" w:rsidRPr="00C110ED" w:rsidRDefault="00520EA3" w:rsidP="00040022">
      <w:pPr>
        <w:numPr>
          <w:ilvl w:val="1"/>
          <w:numId w:val="20"/>
        </w:numPr>
        <w:spacing w:before="140" w:after="140" w:line="280" w:lineRule="atLeast"/>
      </w:pPr>
      <w:r w:rsidRPr="00C110ED">
        <w:t>Review the geographic classification co</w:t>
      </w:r>
      <w:r w:rsidR="00854973" w:rsidRPr="00C110ED">
        <w:t>mponent of the NDIS price</w:t>
      </w:r>
      <w:r w:rsidRPr="00C110ED">
        <w:t xml:space="preserve"> control framework to</w:t>
      </w:r>
      <w:r w:rsidR="00627827" w:rsidRPr="00C110ED">
        <w:t xml:space="preserve"> </w:t>
      </w:r>
      <w:r w:rsidRPr="00C110ED">
        <w:t>examine whether:</w:t>
      </w:r>
    </w:p>
    <w:p w:rsidR="00520EA3" w:rsidRPr="00C110ED" w:rsidRDefault="00520EA3" w:rsidP="00040022">
      <w:pPr>
        <w:numPr>
          <w:ilvl w:val="2"/>
          <w:numId w:val="20"/>
        </w:numPr>
        <w:spacing w:before="140" w:after="140" w:line="280" w:lineRule="atLeast"/>
      </w:pPr>
      <w:r w:rsidRPr="00C110ED">
        <w:t xml:space="preserve">modifications are required to the NDIA’s implementation of the Modified Monash Model </w:t>
      </w:r>
      <w:r w:rsidR="002F51A0">
        <w:t xml:space="preserve">(MMM) </w:t>
      </w:r>
      <w:r w:rsidRPr="00C110ED">
        <w:t xml:space="preserve">to account </w:t>
      </w:r>
      <w:r w:rsidR="00115B6C">
        <w:t>for specific disability service-</w:t>
      </w:r>
      <w:r w:rsidRPr="00C110ED">
        <w:t>related costs, including the treatment of “isolated locations” and islands under the MMM</w:t>
      </w:r>
      <w:r w:rsidR="005E785B" w:rsidRPr="00C110ED">
        <w:t xml:space="preserve"> (see Chapter </w:t>
      </w:r>
      <w:r w:rsidR="00854973" w:rsidRPr="00C110ED">
        <w:fldChar w:fldCharType="begin"/>
      </w:r>
      <w:r w:rsidR="00854973" w:rsidRPr="00C110ED">
        <w:instrText xml:space="preserve"> REF _Ref24369082 \r \h </w:instrText>
      </w:r>
      <w:r w:rsidR="00854973" w:rsidRPr="00C110ED">
        <w:fldChar w:fldCharType="separate"/>
      </w:r>
      <w:r w:rsidR="008F3A66">
        <w:t>7</w:t>
      </w:r>
      <w:r w:rsidR="00854973" w:rsidRPr="00C110ED">
        <w:fldChar w:fldCharType="end"/>
      </w:r>
      <w:r w:rsidR="005E785B" w:rsidRPr="00C110ED">
        <w:t>)</w:t>
      </w:r>
      <w:r w:rsidRPr="00C110ED">
        <w:t>; and</w:t>
      </w:r>
    </w:p>
    <w:p w:rsidR="00520EA3" w:rsidRPr="00C110ED" w:rsidRDefault="00520EA3" w:rsidP="00040022">
      <w:pPr>
        <w:numPr>
          <w:ilvl w:val="2"/>
          <w:numId w:val="20"/>
        </w:numPr>
        <w:spacing w:before="140" w:after="140" w:line="280" w:lineRule="atLeast"/>
      </w:pPr>
      <w:r w:rsidRPr="00C110ED">
        <w:t>a loading should be applied to price limits and plan funding amounts in outer regional areas to account for the higher cost of service delivery, if any, in those areas</w:t>
      </w:r>
      <w:r w:rsidR="005E785B" w:rsidRPr="00C110ED">
        <w:t xml:space="preserve"> (see Chapter </w:t>
      </w:r>
      <w:r w:rsidR="00854973" w:rsidRPr="00C110ED">
        <w:fldChar w:fldCharType="begin"/>
      </w:r>
      <w:r w:rsidR="00854973" w:rsidRPr="00C110ED">
        <w:instrText xml:space="preserve"> REF _Ref24369072 \r \h </w:instrText>
      </w:r>
      <w:r w:rsidR="00854973" w:rsidRPr="00C110ED">
        <w:fldChar w:fldCharType="separate"/>
      </w:r>
      <w:r w:rsidR="008F3A66">
        <w:t>8</w:t>
      </w:r>
      <w:r w:rsidR="00854973" w:rsidRPr="00C110ED">
        <w:fldChar w:fldCharType="end"/>
      </w:r>
      <w:r w:rsidR="005E785B" w:rsidRPr="00C110ED">
        <w:t>)</w:t>
      </w:r>
      <w:r w:rsidRPr="00C110ED">
        <w:t>;</w:t>
      </w:r>
    </w:p>
    <w:p w:rsidR="00520EA3" w:rsidRPr="00C110ED" w:rsidRDefault="00520EA3" w:rsidP="00040022">
      <w:pPr>
        <w:numPr>
          <w:ilvl w:val="1"/>
          <w:numId w:val="20"/>
        </w:numPr>
        <w:spacing w:before="140" w:after="140" w:line="280" w:lineRule="atLeast"/>
      </w:pPr>
      <w:r w:rsidRPr="00C110ED">
        <w:t>Re-examine current billing arrangements, including:</w:t>
      </w:r>
    </w:p>
    <w:p w:rsidR="00520EA3" w:rsidRPr="00C110ED" w:rsidRDefault="00520EA3" w:rsidP="00040022">
      <w:pPr>
        <w:numPr>
          <w:ilvl w:val="2"/>
          <w:numId w:val="20"/>
        </w:numPr>
        <w:spacing w:before="140" w:after="140" w:line="280" w:lineRule="atLeast"/>
      </w:pPr>
      <w:r w:rsidRPr="00C110ED">
        <w:t>Cancellation rules</w:t>
      </w:r>
      <w:r w:rsidR="00457522" w:rsidRPr="00C110ED">
        <w:t xml:space="preserve"> (see Chapter </w:t>
      </w:r>
      <w:r w:rsidR="00457522" w:rsidRPr="00C110ED">
        <w:fldChar w:fldCharType="begin"/>
      </w:r>
      <w:r w:rsidR="00457522" w:rsidRPr="00C110ED">
        <w:instrText xml:space="preserve"> REF _Ref23256609 \r \h </w:instrText>
      </w:r>
      <w:r w:rsidR="00457522" w:rsidRPr="00C110ED">
        <w:fldChar w:fldCharType="separate"/>
      </w:r>
      <w:r w:rsidR="008F3A66">
        <w:t>9</w:t>
      </w:r>
      <w:r w:rsidR="00457522" w:rsidRPr="00C110ED">
        <w:fldChar w:fldCharType="end"/>
      </w:r>
      <w:r w:rsidR="00457522" w:rsidRPr="00C110ED">
        <w:t>)</w:t>
      </w:r>
      <w:r w:rsidRPr="00C110ED">
        <w:t>;</w:t>
      </w:r>
    </w:p>
    <w:p w:rsidR="00520EA3" w:rsidRPr="00C110ED" w:rsidRDefault="00520EA3" w:rsidP="00040022">
      <w:pPr>
        <w:numPr>
          <w:ilvl w:val="2"/>
          <w:numId w:val="20"/>
        </w:numPr>
        <w:spacing w:before="140" w:after="140" w:line="280" w:lineRule="atLeast"/>
      </w:pPr>
      <w:r w:rsidRPr="00C110ED">
        <w:t>Provider travel time limits, including examining whether it is possible to develop an approach that is more sensitive to local conditions</w:t>
      </w:r>
      <w:r w:rsidR="005E785B" w:rsidRPr="00C110ED">
        <w:t xml:space="preserve"> (see Chapter </w:t>
      </w:r>
      <w:r w:rsidR="005E785B" w:rsidRPr="00C110ED">
        <w:fldChar w:fldCharType="begin"/>
      </w:r>
      <w:r w:rsidR="005E785B" w:rsidRPr="00C110ED">
        <w:instrText xml:space="preserve"> REF _Ref23256880 \r \h </w:instrText>
      </w:r>
      <w:r w:rsidR="005E785B" w:rsidRPr="00C110ED">
        <w:fldChar w:fldCharType="separate"/>
      </w:r>
      <w:r w:rsidR="008F3A66">
        <w:t>10</w:t>
      </w:r>
      <w:r w:rsidR="005E785B" w:rsidRPr="00C110ED">
        <w:fldChar w:fldCharType="end"/>
      </w:r>
      <w:r w:rsidR="005E785B" w:rsidRPr="00C110ED">
        <w:t>)</w:t>
      </w:r>
      <w:r w:rsidRPr="00C110ED">
        <w:t>;</w:t>
      </w:r>
    </w:p>
    <w:p w:rsidR="00520EA3" w:rsidRPr="00C110ED" w:rsidRDefault="00520EA3" w:rsidP="00040022">
      <w:pPr>
        <w:numPr>
          <w:ilvl w:val="2"/>
          <w:numId w:val="20"/>
        </w:numPr>
        <w:spacing w:before="140" w:after="140" w:line="280" w:lineRule="atLeast"/>
      </w:pPr>
      <w:r w:rsidRPr="00C110ED">
        <w:t>Non-labour costs associated with provider t</w:t>
      </w:r>
      <w:r w:rsidR="005E785B" w:rsidRPr="00C110ED">
        <w:t>ravel</w:t>
      </w:r>
      <w:r w:rsidR="00C56E92" w:rsidRPr="00C110ED">
        <w:t xml:space="preserve"> (see Chapter </w:t>
      </w:r>
      <w:r w:rsidR="00C56E92" w:rsidRPr="00C110ED">
        <w:fldChar w:fldCharType="begin"/>
      </w:r>
      <w:r w:rsidR="00C56E92" w:rsidRPr="00C110ED">
        <w:instrText xml:space="preserve"> REF _Ref23256880 \r \h </w:instrText>
      </w:r>
      <w:r w:rsidR="00C56E92" w:rsidRPr="00C110ED">
        <w:fldChar w:fldCharType="separate"/>
      </w:r>
      <w:r w:rsidR="008F3A66">
        <w:t>10</w:t>
      </w:r>
      <w:r w:rsidR="00C56E92" w:rsidRPr="00C110ED">
        <w:fldChar w:fldCharType="end"/>
      </w:r>
      <w:r w:rsidR="00C56E92" w:rsidRPr="00C110ED">
        <w:t xml:space="preserve">); </w:t>
      </w:r>
      <w:r w:rsidRPr="00C110ED">
        <w:t>and</w:t>
      </w:r>
    </w:p>
    <w:p w:rsidR="00520EA3" w:rsidRPr="00C110ED" w:rsidRDefault="00520EA3" w:rsidP="00040022">
      <w:pPr>
        <w:numPr>
          <w:ilvl w:val="2"/>
          <w:numId w:val="20"/>
        </w:numPr>
        <w:spacing w:before="140" w:after="140" w:line="280" w:lineRule="atLeast"/>
      </w:pPr>
      <w:r w:rsidRPr="00C110ED">
        <w:t>Establishment fee arrangements</w:t>
      </w:r>
      <w:r w:rsidR="00457522" w:rsidRPr="00C110ED">
        <w:t xml:space="preserve"> (see Chapter</w:t>
      </w:r>
      <w:r w:rsidR="005773DD" w:rsidRPr="00C110ED">
        <w:t xml:space="preserve"> </w:t>
      </w:r>
      <w:r w:rsidR="005773DD" w:rsidRPr="00C110ED">
        <w:fldChar w:fldCharType="begin"/>
      </w:r>
      <w:r w:rsidR="005773DD" w:rsidRPr="00C110ED">
        <w:instrText xml:space="preserve"> REF _Ref24368307 \r \h </w:instrText>
      </w:r>
      <w:r w:rsidR="005773DD" w:rsidRPr="00C110ED">
        <w:fldChar w:fldCharType="separate"/>
      </w:r>
      <w:r w:rsidR="008F3A66">
        <w:t>11</w:t>
      </w:r>
      <w:r w:rsidR="005773DD" w:rsidRPr="00C110ED">
        <w:fldChar w:fldCharType="end"/>
      </w:r>
      <w:r w:rsidR="00457522" w:rsidRPr="00C110ED">
        <w:t>)</w:t>
      </w:r>
      <w:r w:rsidRPr="00C110ED">
        <w:t>.</w:t>
      </w:r>
    </w:p>
    <w:p w:rsidR="00520EA3" w:rsidRPr="00C110ED" w:rsidRDefault="00520EA3" w:rsidP="00307EFF">
      <w:pPr>
        <w:spacing w:before="140" w:after="140" w:line="280" w:lineRule="atLeast"/>
      </w:pPr>
      <w:r w:rsidRPr="00C110ED">
        <w:t>In framing its recommendations, the Review will be cognisant of the object</w:t>
      </w:r>
      <w:r w:rsidR="00F52302" w:rsidRPr="00C110ED">
        <w:t>s and principles of the NDIS, in</w:t>
      </w:r>
      <w:r w:rsidRPr="00C110ED">
        <w:t>cluding that the NDIS should:</w:t>
      </w:r>
    </w:p>
    <w:p w:rsidR="00520EA3" w:rsidRPr="00C110ED" w:rsidRDefault="00520EA3" w:rsidP="00040022">
      <w:pPr>
        <w:numPr>
          <w:ilvl w:val="1"/>
          <w:numId w:val="21"/>
        </w:numPr>
        <w:spacing w:before="140" w:after="140" w:line="280" w:lineRule="atLeast"/>
      </w:pPr>
      <w:r w:rsidRPr="00C110ED">
        <w:lastRenderedPageBreak/>
        <w:t xml:space="preserve">Support the independence and social and economic participation of people with disability; </w:t>
      </w:r>
    </w:p>
    <w:p w:rsidR="00520EA3" w:rsidRPr="00C110ED" w:rsidRDefault="00520EA3" w:rsidP="00040022">
      <w:pPr>
        <w:numPr>
          <w:ilvl w:val="1"/>
          <w:numId w:val="21"/>
        </w:numPr>
        <w:spacing w:before="140" w:after="140" w:line="280" w:lineRule="atLeast"/>
      </w:pPr>
      <w:r w:rsidRPr="00C110ED">
        <w:t>Enable people with disability to exercise choice and control in the pursuit of their goals and the planning and delivery of their supports;</w:t>
      </w:r>
    </w:p>
    <w:p w:rsidR="00520EA3" w:rsidRPr="00C110ED" w:rsidRDefault="00520EA3" w:rsidP="00040022">
      <w:pPr>
        <w:numPr>
          <w:ilvl w:val="1"/>
          <w:numId w:val="21"/>
        </w:numPr>
        <w:spacing w:before="140" w:after="140" w:line="280" w:lineRule="atLeast"/>
      </w:pPr>
      <w:r w:rsidRPr="00C110ED">
        <w:t>Facilitate the development of a nationally consistent approach to the access to, and the planning and funding of, supports for people with disability;</w:t>
      </w:r>
    </w:p>
    <w:p w:rsidR="00520EA3" w:rsidRPr="00C110ED" w:rsidRDefault="00520EA3" w:rsidP="00040022">
      <w:pPr>
        <w:numPr>
          <w:ilvl w:val="1"/>
          <w:numId w:val="21"/>
        </w:numPr>
        <w:spacing w:before="140" w:after="140" w:line="280" w:lineRule="atLeast"/>
      </w:pPr>
      <w:r w:rsidRPr="00C110ED">
        <w:t xml:space="preserve">Promote the provision of high quality and innovative supports that enable people with disability to maximise independent lifestyles and full inclusion in the community; </w:t>
      </w:r>
    </w:p>
    <w:p w:rsidR="00520EA3" w:rsidRPr="00C110ED" w:rsidRDefault="00115B6C" w:rsidP="00040022">
      <w:pPr>
        <w:numPr>
          <w:ilvl w:val="1"/>
          <w:numId w:val="21"/>
        </w:numPr>
        <w:spacing w:before="140" w:after="140" w:line="280" w:lineRule="atLeast"/>
      </w:pPr>
      <w:r>
        <w:t>Adopt an insurance-</w:t>
      </w:r>
      <w:r w:rsidR="00520EA3" w:rsidRPr="00C110ED">
        <w:t>based approach, informed by actuarial analysis, to the provision and funding of supports for people with disability; and</w:t>
      </w:r>
    </w:p>
    <w:p w:rsidR="00520EA3" w:rsidRPr="00C110ED" w:rsidRDefault="00520EA3" w:rsidP="00040022">
      <w:pPr>
        <w:numPr>
          <w:ilvl w:val="1"/>
          <w:numId w:val="21"/>
        </w:numPr>
        <w:spacing w:before="140" w:after="140" w:line="280" w:lineRule="atLeast"/>
      </w:pPr>
      <w:r w:rsidRPr="00C110ED">
        <w:t>Be financially sustainable.</w:t>
      </w:r>
    </w:p>
    <w:p w:rsidR="00F52302" w:rsidRPr="00C110ED" w:rsidRDefault="00F52302" w:rsidP="00F52302">
      <w:pPr>
        <w:pStyle w:val="Heading2"/>
        <w:numPr>
          <w:ilvl w:val="0"/>
          <w:numId w:val="0"/>
        </w:numPr>
        <w:ind w:left="576" w:hanging="576"/>
      </w:pPr>
      <w:bookmarkStart w:id="8" w:name="_Toc25182168"/>
      <w:r w:rsidRPr="00C110ED">
        <w:t>Timeline of the Review</w:t>
      </w:r>
      <w:bookmarkEnd w:id="8"/>
    </w:p>
    <w:p w:rsidR="00F52302" w:rsidRDefault="00F52302" w:rsidP="00F52302">
      <w:pPr>
        <w:spacing w:before="140" w:after="140" w:line="280" w:lineRule="atLeast"/>
      </w:pPr>
      <w:r w:rsidRPr="00C110ED">
        <w:t xml:space="preserve">The Review will commence in November 2019 and deliver </w:t>
      </w:r>
      <w:r w:rsidR="00B410B7">
        <w:t xml:space="preserve">updates and </w:t>
      </w:r>
      <w:r w:rsidRPr="00C110ED">
        <w:t>recommendations to the NDIA’s Pricing Reference Group and Board, for implementation from 1 July 2020. The Review will consult widely, undertaking stakeholder visits, workshops, and invitation of submissions and comments from all stakeholders.</w:t>
      </w:r>
    </w:p>
    <w:tbl>
      <w:tblPr>
        <w:tblStyle w:val="TableGridLight"/>
        <w:tblW w:w="4554" w:type="pct"/>
        <w:tblLook w:val="04A0" w:firstRow="1" w:lastRow="0" w:firstColumn="1" w:lastColumn="0" w:noHBand="0" w:noVBand="1"/>
        <w:tblCaption w:val="Review Timeline"/>
        <w:tblDescription w:val="Table details review timing and schedule of activity required at each juncture"/>
      </w:tblPr>
      <w:tblGrid>
        <w:gridCol w:w="3188"/>
        <w:gridCol w:w="5025"/>
      </w:tblGrid>
      <w:tr w:rsidR="002F51A0" w:rsidRPr="00364CE0" w:rsidTr="00441689">
        <w:trPr>
          <w:tblHeader/>
        </w:trPr>
        <w:tc>
          <w:tcPr>
            <w:tcW w:w="3188" w:type="dxa"/>
          </w:tcPr>
          <w:p w:rsidR="002F51A0" w:rsidRPr="00364CE0" w:rsidRDefault="002F51A0" w:rsidP="002F51A0">
            <w:pPr>
              <w:spacing w:before="60" w:after="60" w:line="240" w:lineRule="atLeast"/>
              <w:rPr>
                <w:b/>
                <w:sz w:val="18"/>
                <w:szCs w:val="18"/>
              </w:rPr>
            </w:pPr>
            <w:r w:rsidRPr="00364CE0">
              <w:rPr>
                <w:b/>
                <w:sz w:val="18"/>
                <w:szCs w:val="18"/>
              </w:rPr>
              <w:t>Date</w:t>
            </w:r>
          </w:p>
        </w:tc>
        <w:tc>
          <w:tcPr>
            <w:tcW w:w="5025" w:type="dxa"/>
          </w:tcPr>
          <w:p w:rsidR="002F51A0" w:rsidRPr="00364CE0" w:rsidRDefault="002F51A0" w:rsidP="000A6DAE">
            <w:pPr>
              <w:spacing w:before="60" w:after="60" w:line="240" w:lineRule="atLeast"/>
              <w:rPr>
                <w:b/>
                <w:sz w:val="18"/>
                <w:szCs w:val="18"/>
              </w:rPr>
            </w:pPr>
            <w:r w:rsidRPr="00364CE0">
              <w:rPr>
                <w:b/>
                <w:sz w:val="18"/>
                <w:szCs w:val="18"/>
              </w:rPr>
              <w:t>Activity</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November 2019</w:t>
            </w:r>
          </w:p>
        </w:tc>
        <w:tc>
          <w:tcPr>
            <w:tcW w:w="5025" w:type="dxa"/>
          </w:tcPr>
          <w:p w:rsidR="002F51A0" w:rsidRPr="00C110ED" w:rsidRDefault="002F51A0" w:rsidP="000A6DAE">
            <w:pPr>
              <w:spacing w:before="60" w:after="60" w:line="240" w:lineRule="atLeast"/>
              <w:rPr>
                <w:sz w:val="18"/>
                <w:szCs w:val="18"/>
              </w:rPr>
            </w:pPr>
            <w:r w:rsidRPr="00C110ED">
              <w:rPr>
                <w:sz w:val="18"/>
                <w:szCs w:val="18"/>
              </w:rPr>
              <w:t>Release of Issues Paper and call for submissions</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November 2019 to February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Public Submissions</w:t>
            </w:r>
          </w:p>
          <w:p w:rsidR="002F51A0" w:rsidRPr="00C110ED" w:rsidRDefault="002F51A0" w:rsidP="000A6DAE">
            <w:pPr>
              <w:spacing w:before="60" w:after="60" w:line="240" w:lineRule="atLeast"/>
              <w:rPr>
                <w:sz w:val="18"/>
                <w:szCs w:val="18"/>
              </w:rPr>
            </w:pPr>
            <w:r w:rsidRPr="00C110ED">
              <w:rPr>
                <w:sz w:val="18"/>
                <w:szCs w:val="18"/>
              </w:rPr>
              <w:t>Consultation with stakeholders</w:t>
            </w:r>
          </w:p>
          <w:p w:rsidR="002F51A0" w:rsidRPr="00C110ED" w:rsidRDefault="002F51A0" w:rsidP="000A6DAE">
            <w:pPr>
              <w:spacing w:before="60" w:after="60" w:line="240" w:lineRule="atLeast"/>
              <w:rPr>
                <w:sz w:val="18"/>
                <w:szCs w:val="18"/>
              </w:rPr>
            </w:pPr>
            <w:r w:rsidRPr="00C110ED">
              <w:rPr>
                <w:sz w:val="18"/>
                <w:szCs w:val="18"/>
              </w:rPr>
              <w:t>Working Groups on Review Themes</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February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Release of draft findings and call for submissions</w:t>
            </w:r>
          </w:p>
          <w:p w:rsidR="002F51A0" w:rsidRPr="00C110ED" w:rsidRDefault="002F51A0" w:rsidP="000A6DAE">
            <w:pPr>
              <w:spacing w:before="60" w:after="60" w:line="240" w:lineRule="atLeast"/>
              <w:rPr>
                <w:sz w:val="18"/>
                <w:szCs w:val="18"/>
              </w:rPr>
            </w:pPr>
            <w:r w:rsidRPr="00C110ED">
              <w:rPr>
                <w:sz w:val="18"/>
                <w:szCs w:val="18"/>
              </w:rPr>
              <w:t>Release of preliminary findings of the Annual Temporary Transformation Payment Financial Benchmarking Study</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March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Public submissions</w:t>
            </w:r>
          </w:p>
          <w:p w:rsidR="002F51A0" w:rsidRPr="00C110ED" w:rsidRDefault="002F51A0" w:rsidP="000A6DAE">
            <w:pPr>
              <w:spacing w:before="60" w:after="60" w:line="240" w:lineRule="atLeast"/>
              <w:rPr>
                <w:sz w:val="18"/>
                <w:szCs w:val="18"/>
              </w:rPr>
            </w:pPr>
            <w:r w:rsidRPr="00C110ED">
              <w:rPr>
                <w:sz w:val="18"/>
                <w:szCs w:val="18"/>
              </w:rPr>
              <w:t>Consultation with industry representatives</w:t>
            </w:r>
          </w:p>
          <w:p w:rsidR="002F51A0" w:rsidRPr="00C110ED" w:rsidRDefault="002F51A0" w:rsidP="000A6DAE">
            <w:pPr>
              <w:spacing w:before="60" w:after="60" w:line="240" w:lineRule="atLeast"/>
              <w:rPr>
                <w:sz w:val="18"/>
                <w:szCs w:val="18"/>
              </w:rPr>
            </w:pPr>
            <w:r w:rsidRPr="00C110ED">
              <w:rPr>
                <w:sz w:val="18"/>
                <w:szCs w:val="18"/>
              </w:rPr>
              <w:t>Working Groups on Review Themes</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By 31 May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Release of NDIS Price Guide and Support Catalogue</w:t>
            </w:r>
          </w:p>
          <w:p w:rsidR="002F51A0" w:rsidRPr="00C110ED" w:rsidRDefault="002F51A0" w:rsidP="000A6DAE">
            <w:pPr>
              <w:spacing w:before="60" w:after="60" w:line="240" w:lineRule="atLeast"/>
              <w:rPr>
                <w:sz w:val="18"/>
                <w:szCs w:val="18"/>
              </w:rPr>
            </w:pPr>
            <w:r w:rsidRPr="00C110ED">
              <w:rPr>
                <w:sz w:val="18"/>
                <w:szCs w:val="18"/>
              </w:rPr>
              <w:t>(all support items and policy finalised)</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June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Release of final prices, immediately after the Fair Work Commission’s Minimum Wage Decision</w:t>
            </w:r>
          </w:p>
        </w:tc>
      </w:tr>
      <w:tr w:rsidR="002F51A0" w:rsidRPr="00C110ED" w:rsidTr="002F51A0">
        <w:tc>
          <w:tcPr>
            <w:tcW w:w="3188" w:type="dxa"/>
          </w:tcPr>
          <w:p w:rsidR="002F51A0" w:rsidRPr="00C110ED" w:rsidRDefault="002F51A0" w:rsidP="002F51A0">
            <w:pPr>
              <w:spacing w:before="60" w:after="60" w:line="240" w:lineRule="atLeast"/>
              <w:rPr>
                <w:sz w:val="18"/>
                <w:szCs w:val="18"/>
              </w:rPr>
            </w:pPr>
            <w:r w:rsidRPr="00C110ED">
              <w:rPr>
                <w:sz w:val="18"/>
                <w:szCs w:val="18"/>
              </w:rPr>
              <w:t>1 July 2020</w:t>
            </w:r>
          </w:p>
        </w:tc>
        <w:tc>
          <w:tcPr>
            <w:tcW w:w="5025" w:type="dxa"/>
          </w:tcPr>
          <w:p w:rsidR="002F51A0" w:rsidRPr="00C110ED" w:rsidRDefault="002F51A0" w:rsidP="000A6DAE">
            <w:pPr>
              <w:spacing w:before="60" w:after="60" w:line="240" w:lineRule="atLeast"/>
              <w:rPr>
                <w:sz w:val="18"/>
                <w:szCs w:val="18"/>
              </w:rPr>
            </w:pPr>
            <w:r w:rsidRPr="00C110ED">
              <w:rPr>
                <w:sz w:val="18"/>
                <w:szCs w:val="18"/>
              </w:rPr>
              <w:t>Implementation of new arrangements</w:t>
            </w:r>
          </w:p>
        </w:tc>
      </w:tr>
    </w:tbl>
    <w:p w:rsidR="00F52302" w:rsidRPr="00C110ED" w:rsidRDefault="00F52302" w:rsidP="00F52302">
      <w:pPr>
        <w:pStyle w:val="Heading2"/>
        <w:numPr>
          <w:ilvl w:val="0"/>
          <w:numId w:val="0"/>
        </w:numPr>
        <w:ind w:left="576" w:hanging="576"/>
      </w:pPr>
      <w:bookmarkStart w:id="9" w:name="_Toc5290930"/>
      <w:bookmarkStart w:id="10" w:name="_Toc25182169"/>
      <w:r w:rsidRPr="00C110ED">
        <w:t xml:space="preserve">How you can contribute to this stage of the </w:t>
      </w:r>
      <w:bookmarkEnd w:id="9"/>
      <w:r w:rsidRPr="00C110ED">
        <w:t>Review</w:t>
      </w:r>
      <w:bookmarkEnd w:id="10"/>
      <w:r w:rsidRPr="00C110ED">
        <w:tab/>
      </w:r>
    </w:p>
    <w:p w:rsidR="00F52302" w:rsidRPr="00C110ED" w:rsidRDefault="00F52302" w:rsidP="00F52302">
      <w:r w:rsidRPr="00C110ED">
        <w:t>This issues paper intends to assist you to prepare a submission to the Review. It sets out some of the issues and questions the Review has identified at this stage of the NDIS transition. You do not need to comment on every issue raised in this paper and you are free to raise any other issues or ideas that are relevant to the terms of reference.</w:t>
      </w:r>
    </w:p>
    <w:p w:rsidR="00F52302" w:rsidRPr="00C110ED" w:rsidRDefault="00F52302" w:rsidP="00F52302">
      <w:r w:rsidRPr="00C110ED">
        <w:lastRenderedPageBreak/>
        <w:t xml:space="preserve">The </w:t>
      </w:r>
      <w:r w:rsidR="003D1CFA">
        <w:t>NDIA</w:t>
      </w:r>
      <w:r w:rsidR="003D1CFA" w:rsidRPr="00C110ED">
        <w:t xml:space="preserve"> </w:t>
      </w:r>
      <w:r w:rsidRPr="00C110ED">
        <w:t>has listed several questions on the sections and topics under review. However, all stakeholders (providers, peak</w:t>
      </w:r>
      <w:r w:rsidR="00115B6C">
        <w:t xml:space="preserve"> bodie</w:t>
      </w:r>
      <w:r w:rsidRPr="00C110ED">
        <w:t>s, participants, advocates and others) may respond to points not covered by these questions or any other points they would like the NDIA to consider as part of the Revie</w:t>
      </w:r>
      <w:r w:rsidRPr="003C6C7D">
        <w:t xml:space="preserve">w. </w:t>
      </w:r>
      <w:r w:rsidR="003D1CFA" w:rsidRPr="003C6C7D">
        <w:t xml:space="preserve">The NDIA is especially interested in hearing from participants about any improvements that they might like to suggest to the </w:t>
      </w:r>
      <w:r w:rsidR="003D1CFA" w:rsidRPr="003C6C7D">
        <w:rPr>
          <w:i/>
        </w:rPr>
        <w:t>NDIS Price Guide and Support Catalogue</w:t>
      </w:r>
      <w:r w:rsidR="003D1CFA" w:rsidRPr="003C6C7D">
        <w:t xml:space="preserve"> and the NDIS pricing arrangements.</w:t>
      </w:r>
    </w:p>
    <w:p w:rsidR="00F52302" w:rsidRPr="00C110ED" w:rsidRDefault="00F52302" w:rsidP="00F52302">
      <w:r w:rsidRPr="00C110ED">
        <w:t>Submissions may range from a short note outlining your views on a particular topic to a much more substantial document covering a range of issues. Where possible, you should provide evidence, such as relevant data and documentation, to support your views. A brief overview of the nature of your organisation, the number of employees and participants, and the types of services you offer, and the locations in which you operate would be helpful.</w:t>
      </w:r>
    </w:p>
    <w:p w:rsidR="008F3A66" w:rsidRDefault="008F3A66" w:rsidP="008F3A66">
      <w:r>
        <w:t xml:space="preserve">There will be two rounds of submissions. During the first round, the Agency will collect submissions relating to issues and concerns that parties wish to </w:t>
      </w:r>
      <w:proofErr w:type="gramStart"/>
      <w:r>
        <w:t>raise.</w:t>
      </w:r>
      <w:proofErr w:type="gramEnd"/>
      <w:r>
        <w:t xml:space="preserve"> These will be combined with outputs from the working groups, the </w:t>
      </w:r>
      <w:r w:rsidR="00D57966">
        <w:t>Temporary Transformation Payment (</w:t>
      </w:r>
      <w:r>
        <w:t>TTP</w:t>
      </w:r>
      <w:r w:rsidR="00D57966">
        <w:t>)</w:t>
      </w:r>
      <w:r>
        <w:t xml:space="preserve"> </w:t>
      </w:r>
      <w:r w:rsidR="00B171E1">
        <w:t xml:space="preserve">benchmarking results </w:t>
      </w:r>
      <w:r>
        <w:t>and other research to form a summary of the major issues raised for the findings paper in February. The second round of submissions will afford an opportunity for feedback on the Agency’s understanding of the issues, and for suggesting responses. These will be used to guide the Agency’s decisions on pricing for 2020-21.The Agency will also establish working groups on the following topics:</w:t>
      </w:r>
    </w:p>
    <w:p w:rsidR="008F3A66" w:rsidRDefault="008F3A66" w:rsidP="008F3A66">
      <w:pPr>
        <w:pStyle w:val="ListParagraph"/>
        <w:numPr>
          <w:ilvl w:val="0"/>
          <w:numId w:val="36"/>
        </w:numPr>
      </w:pPr>
      <w:r>
        <w:t xml:space="preserve">The </w:t>
      </w:r>
      <w:r w:rsidR="00D57966">
        <w:t>NDIS Cost Model for Disability Support Workers;</w:t>
      </w:r>
    </w:p>
    <w:p w:rsidR="008F3A66" w:rsidRDefault="008F3A66" w:rsidP="008F3A66">
      <w:pPr>
        <w:pStyle w:val="ListParagraph"/>
        <w:numPr>
          <w:ilvl w:val="0"/>
          <w:numId w:val="36"/>
        </w:numPr>
      </w:pPr>
      <w:r>
        <w:t>Geographical issues</w:t>
      </w:r>
      <w:r w:rsidR="00D57966">
        <w:t>;</w:t>
      </w:r>
    </w:p>
    <w:p w:rsidR="008F3A66" w:rsidRDefault="008F3A66" w:rsidP="008F3A66">
      <w:pPr>
        <w:pStyle w:val="ListParagraph"/>
        <w:numPr>
          <w:ilvl w:val="0"/>
          <w:numId w:val="36"/>
        </w:numPr>
      </w:pPr>
      <w:r>
        <w:t>Pric</w:t>
      </w:r>
      <w:r w:rsidR="00D57966">
        <w:t>e controls</w:t>
      </w:r>
      <w:r>
        <w:t xml:space="preserve"> for group</w:t>
      </w:r>
      <w:r w:rsidR="00D57966">
        <w:t xml:space="preserve"> supports;</w:t>
      </w:r>
    </w:p>
    <w:p w:rsidR="008F3A66" w:rsidRDefault="008F3A66" w:rsidP="008F3A66">
      <w:pPr>
        <w:pStyle w:val="ListParagraph"/>
        <w:numPr>
          <w:ilvl w:val="0"/>
          <w:numId w:val="36"/>
        </w:numPr>
      </w:pPr>
      <w:r>
        <w:t>Billing rules</w:t>
      </w:r>
      <w:r w:rsidR="00D57966">
        <w:t>;</w:t>
      </w:r>
    </w:p>
    <w:p w:rsidR="008F3A66" w:rsidRDefault="008F3A66" w:rsidP="008F3A66">
      <w:pPr>
        <w:pStyle w:val="ListParagraph"/>
        <w:numPr>
          <w:ilvl w:val="0"/>
          <w:numId w:val="36"/>
        </w:numPr>
      </w:pPr>
      <w:r>
        <w:t>Capacity</w:t>
      </w:r>
      <w:r w:rsidR="00D57966">
        <w:t>-</w:t>
      </w:r>
      <w:r>
        <w:t>building (including therapy)</w:t>
      </w:r>
      <w:r w:rsidR="00D57966">
        <w:t xml:space="preserve"> supports; and</w:t>
      </w:r>
    </w:p>
    <w:p w:rsidR="008F3A66" w:rsidRDefault="008F3A66" w:rsidP="008F3A66">
      <w:pPr>
        <w:pStyle w:val="ListParagraph"/>
        <w:numPr>
          <w:ilvl w:val="0"/>
          <w:numId w:val="36"/>
        </w:numPr>
      </w:pPr>
      <w:r>
        <w:t>Plan management</w:t>
      </w:r>
      <w:r w:rsidR="00D57966">
        <w:t xml:space="preserve"> supports.</w:t>
      </w:r>
    </w:p>
    <w:p w:rsidR="008F3A66" w:rsidRPr="00C110ED" w:rsidRDefault="008F3A66" w:rsidP="008F3A66">
      <w:r>
        <w:t>As with submissions, there will also be two rounds for each working group. An initial round to establish the main issues, and following the preliminary findings paper</w:t>
      </w:r>
      <w:r w:rsidR="00D57966">
        <w:t>,</w:t>
      </w:r>
      <w:r>
        <w:t xml:space="preserve"> a second round to discuss suggested solutions.</w:t>
      </w:r>
    </w:p>
    <w:p w:rsidR="00D16695" w:rsidRDefault="00D16695" w:rsidP="00D16695">
      <w:r>
        <w:t xml:space="preserve">These working groups will primarily be composed of experts in the relevant areas, as they will have a role in developing potential solutions that may have to satisfy complex requirements. The Agency will consult with provider and participant representative groups for nominations. However, if you feel that you are appropriately qualified and would like to be involved in a working group, </w:t>
      </w:r>
      <w:r w:rsidR="006710E5">
        <w:t>put forth your name for consideration.</w:t>
      </w:r>
    </w:p>
    <w:p w:rsidR="00F52302" w:rsidRPr="00C110ED" w:rsidRDefault="00F52302" w:rsidP="0013788E">
      <w:r w:rsidRPr="00C110ED">
        <w:t>Any information that you consider to be of a confidential nature should be clearly marked or identified as confidential. The NDIA will not disclose such confidenti</w:t>
      </w:r>
      <w:r w:rsidR="00C32E03">
        <w:t>al information to third parties</w:t>
      </w:r>
      <w:r w:rsidRPr="00C110ED">
        <w:t xml:space="preserve"> without first providing you with notice of its intention to do so, such as where it is compelled to do so by law. </w:t>
      </w:r>
    </w:p>
    <w:p w:rsidR="00F52302" w:rsidRPr="00C110ED" w:rsidRDefault="00F52302" w:rsidP="00F52302">
      <w:r w:rsidRPr="00C110ED">
        <w:t>Submissions may be lodged via email or post. Details can be found on page 2 of this Paper.</w:t>
      </w:r>
    </w:p>
    <w:p w:rsidR="00C52E34" w:rsidRPr="00C110ED" w:rsidRDefault="00F52302" w:rsidP="00F52302">
      <w:pPr>
        <w:jc w:val="both"/>
        <w:rPr>
          <w:b/>
        </w:rPr>
      </w:pPr>
      <w:r w:rsidRPr="00C110ED">
        <w:rPr>
          <w:b/>
        </w:rPr>
        <w:t>Submissions close at midnight A</w:t>
      </w:r>
      <w:r w:rsidR="00C32E03">
        <w:rPr>
          <w:b/>
        </w:rPr>
        <w:t>W</w:t>
      </w:r>
      <w:r w:rsidRPr="00C110ED">
        <w:rPr>
          <w:b/>
        </w:rPr>
        <w:t>ST, Sunday,</w:t>
      </w:r>
      <w:bookmarkStart w:id="11" w:name="_Toc5290936"/>
      <w:r w:rsidRPr="00C110ED">
        <w:rPr>
          <w:b/>
        </w:rPr>
        <w:t xml:space="preserve"> 2 February 2020.</w:t>
      </w:r>
    </w:p>
    <w:p w:rsidR="00C52E34" w:rsidRPr="00C110ED" w:rsidRDefault="00C52E34" w:rsidP="00307EFF">
      <w:pPr>
        <w:sectPr w:rsidR="00C52E34" w:rsidRPr="00C110ED" w:rsidSect="0094258D">
          <w:headerReference w:type="default" r:id="rId17"/>
          <w:pgSz w:w="11907" w:h="16839" w:code="9"/>
          <w:pgMar w:top="1440" w:right="1440" w:bottom="1440" w:left="1440" w:header="709" w:footer="709" w:gutter="0"/>
          <w:cols w:space="708"/>
          <w:titlePg/>
          <w:docGrid w:linePitch="360"/>
        </w:sectPr>
      </w:pPr>
    </w:p>
    <w:p w:rsidR="008F3A66" w:rsidRDefault="008F3A66" w:rsidP="008F3A66">
      <w:pPr>
        <w:pStyle w:val="Heading1"/>
      </w:pPr>
      <w:bookmarkStart w:id="12" w:name="_Ref25053617"/>
      <w:bookmarkStart w:id="13" w:name="_Toc25053909"/>
      <w:bookmarkStart w:id="14" w:name="_Toc25182170"/>
      <w:bookmarkStart w:id="15" w:name="_Ref23165212"/>
      <w:bookmarkStart w:id="16" w:name="_Ref23256517"/>
      <w:r>
        <w:lastRenderedPageBreak/>
        <w:t>Increasing flexibility and reducing administration</w:t>
      </w:r>
      <w:bookmarkEnd w:id="12"/>
      <w:bookmarkEnd w:id="13"/>
      <w:bookmarkEnd w:id="14"/>
    </w:p>
    <w:p w:rsidR="008F3A66" w:rsidRDefault="000F6289" w:rsidP="008F3A66">
      <w:r>
        <w:t>T</w:t>
      </w:r>
      <w:r w:rsidR="008F3A66">
        <w:t xml:space="preserve">wo </w:t>
      </w:r>
      <w:r>
        <w:t xml:space="preserve">of the </w:t>
      </w:r>
      <w:r w:rsidR="008F3A66">
        <w:t xml:space="preserve">fundamental principles underlying the </w:t>
      </w:r>
      <w:r w:rsidR="00D57966">
        <w:t>National Disability Insurance Agency’s (NDIA’s/</w:t>
      </w:r>
      <w:r w:rsidR="008F3A66">
        <w:t>Agency’s</w:t>
      </w:r>
      <w:r w:rsidR="00D57966">
        <w:t>)</w:t>
      </w:r>
      <w:r w:rsidR="008F3A66">
        <w:t xml:space="preserve"> approach to price controls</w:t>
      </w:r>
      <w:r>
        <w:t xml:space="preserve"> are </w:t>
      </w:r>
      <w:r w:rsidR="00D16695">
        <w:t xml:space="preserve">minimising </w:t>
      </w:r>
      <w:r w:rsidR="00A62D8E">
        <w:t xml:space="preserve">complexity and bureaucracy </w:t>
      </w:r>
      <w:r w:rsidR="00D16695">
        <w:t>for</w:t>
      </w:r>
      <w:r w:rsidR="008F3A66">
        <w:t xml:space="preserve"> providers and minimising restrictions on participant choice and control</w:t>
      </w:r>
      <w:r w:rsidR="00D57966">
        <w:t>.</w:t>
      </w:r>
    </w:p>
    <w:p w:rsidR="00556B95" w:rsidRDefault="00556B95" w:rsidP="008F3A66">
      <w:r w:rsidRPr="00441689">
        <w:t>The NDIA is concerned with striking the right balance between these two principles.</w:t>
      </w:r>
    </w:p>
    <w:p w:rsidR="008F3A66" w:rsidRDefault="008F3A66" w:rsidP="008F3A66">
      <w:r>
        <w:t>The Agency is aware that price control framework</w:t>
      </w:r>
      <w:r w:rsidR="00D57966">
        <w:t>s</w:t>
      </w:r>
      <w:r>
        <w:t xml:space="preserve"> can impose administrative burdens on providers, and wishes to explore ways to reduce transactional costs</w:t>
      </w:r>
      <w:r w:rsidR="00EB7DBA">
        <w:t xml:space="preserve"> through ease and </w:t>
      </w:r>
      <w:r w:rsidR="00A62D8E">
        <w:t>simplicity in design of price control arrangements</w:t>
      </w:r>
      <w:r>
        <w:t>.</w:t>
      </w:r>
    </w:p>
    <w:p w:rsidR="008F3A66" w:rsidRDefault="008F3A66" w:rsidP="008F3A66">
      <w:r>
        <w:t xml:space="preserve">Equally, the Agency </w:t>
      </w:r>
      <w:r w:rsidR="00FD3819">
        <w:t xml:space="preserve">must </w:t>
      </w:r>
      <w:r>
        <w:t xml:space="preserve">ensure that participants are fully informed and empowered </w:t>
      </w:r>
      <w:r w:rsidR="007C12F7">
        <w:t>to achieve</w:t>
      </w:r>
      <w:r w:rsidR="00FD3819">
        <w:t xml:space="preserve"> </w:t>
      </w:r>
      <w:r>
        <w:t xml:space="preserve">maximum flexibility to use their budgets to meet their goals as they see fit.  </w:t>
      </w:r>
    </w:p>
    <w:p w:rsidR="001450BE" w:rsidRDefault="008F3A66" w:rsidP="008F3A66">
      <w:r w:rsidRPr="00C110ED">
        <w:t xml:space="preserve">The </w:t>
      </w:r>
      <w:r w:rsidR="00180401">
        <w:rPr>
          <w:i/>
        </w:rPr>
        <w:t>Annual Price Review</w:t>
      </w:r>
      <w:r w:rsidRPr="00C110ED">
        <w:rPr>
          <w:i/>
        </w:rPr>
        <w:t xml:space="preserve"> 2020-21</w:t>
      </w:r>
      <w:r w:rsidRPr="00C110ED">
        <w:t xml:space="preserve"> is seeking the views of stakeholders on th</w:t>
      </w:r>
      <w:r w:rsidR="00D57966">
        <w:t>is</w:t>
      </w:r>
      <w:r w:rsidRPr="00C110ED">
        <w:t xml:space="preserve"> </w:t>
      </w:r>
      <w:r w:rsidR="007C12F7">
        <w:t xml:space="preserve">topic </w:t>
      </w:r>
      <w:r w:rsidR="007C12F7" w:rsidRPr="00C110ED">
        <w:t>and</w:t>
      </w:r>
      <w:r w:rsidRPr="00C110ED">
        <w:t xml:space="preserve"> on any other issues t</w:t>
      </w:r>
      <w:r>
        <w:t>hat stakeholders wish to raise.</w:t>
      </w:r>
    </w:p>
    <w:p w:rsidR="004C6539" w:rsidRPr="00EB7DBA" w:rsidRDefault="004C6539" w:rsidP="00EB7DBA">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7DBA">
        <w:rPr>
          <w:b/>
        </w:rPr>
        <w:t>2. GUIDE QUESTIONS</w:t>
      </w:r>
    </w:p>
    <w:p w:rsidR="004C6539" w:rsidRPr="003116CB" w:rsidRDefault="004C6539" w:rsidP="00EB7DBA">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3116CB">
        <w:rPr>
          <w:b/>
        </w:rPr>
        <w:t>Provider administrative burden</w:t>
      </w:r>
    </w:p>
    <w:p w:rsidR="004C6539" w:rsidRPr="00EB7DBA" w:rsidRDefault="004C6539" w:rsidP="00EB7DBA">
      <w:pPr>
        <w:pStyle w:val="IntenseQuote"/>
        <w:numPr>
          <w:ilvl w:val="0"/>
          <w:numId w:val="45"/>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 xml:space="preserve">Are there changes that could be made to the </w:t>
      </w:r>
      <w:r w:rsidRPr="00EB7DBA">
        <w:rPr>
          <w:i/>
        </w:rPr>
        <w:t>National Disability Insura</w:t>
      </w:r>
      <w:r w:rsidR="00EB7DBA" w:rsidRPr="00EB7DBA">
        <w:rPr>
          <w:i/>
        </w:rPr>
        <w:t>nce Scheme (NDIS) Price Guide and</w:t>
      </w:r>
      <w:r w:rsidRPr="00EB7DBA">
        <w:rPr>
          <w:i/>
        </w:rPr>
        <w:t xml:space="preserve"> Support Catalogue </w:t>
      </w:r>
      <w:r w:rsidRPr="00EB7DBA">
        <w:t>that could reduce transactional costs for providers – without reducing participants’ choice and control?</w:t>
      </w:r>
    </w:p>
    <w:p w:rsidR="004C6539" w:rsidRPr="003116CB" w:rsidRDefault="004C6539" w:rsidP="00EB7DBA">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3116CB">
        <w:rPr>
          <w:b/>
        </w:rPr>
        <w:t>Participant flexibility</w:t>
      </w:r>
    </w:p>
    <w:p w:rsidR="004C6539" w:rsidRPr="00EB7DBA" w:rsidRDefault="004C6539" w:rsidP="00EB7DBA">
      <w:pPr>
        <w:pStyle w:val="IntenseQuote"/>
        <w:numPr>
          <w:ilvl w:val="0"/>
          <w:numId w:val="45"/>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Is there scope for changes in the price controls framework that would give participants greater discretion over use of their budgets – without substantially increasing costs to providers?</w:t>
      </w:r>
    </w:p>
    <w:p w:rsidR="004C6539" w:rsidRPr="00EB7DBA" w:rsidRDefault="004C6539" w:rsidP="00EB7DBA">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7DBA">
        <w:rPr>
          <w:b/>
        </w:rPr>
        <w:t>Other issues</w:t>
      </w:r>
    </w:p>
    <w:p w:rsidR="004C6539" w:rsidRPr="00EB7DBA" w:rsidRDefault="004C6539" w:rsidP="00EB7DBA">
      <w:pPr>
        <w:pStyle w:val="IntenseQuote"/>
        <w:numPr>
          <w:ilvl w:val="0"/>
          <w:numId w:val="45"/>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Are there any other issues where price control frameworks create unnecessary bureaucracy for providers or restrict participant flexibility? (Please note that administration costs of the Agency’s billing system are not within scope of the question and are being addressed through a separate process).</w:t>
      </w:r>
    </w:p>
    <w:p w:rsidR="008F3A66" w:rsidRPr="00180401" w:rsidRDefault="008F3A66" w:rsidP="00441689"/>
    <w:p w:rsidR="00F32A00" w:rsidRDefault="00F32A00" w:rsidP="00307EFF">
      <w:pPr>
        <w:pStyle w:val="Heading1"/>
        <w:sectPr w:rsidR="00F32A00" w:rsidSect="0094258D">
          <w:pgSz w:w="11907" w:h="16839" w:code="9"/>
          <w:pgMar w:top="1440" w:right="1440" w:bottom="1440" w:left="1440" w:header="709" w:footer="709" w:gutter="0"/>
          <w:cols w:space="708"/>
          <w:titlePg/>
          <w:docGrid w:linePitch="360"/>
        </w:sectPr>
      </w:pPr>
      <w:bookmarkStart w:id="17" w:name="_Ref25057609"/>
      <w:bookmarkStart w:id="18" w:name="_Toc25182171"/>
    </w:p>
    <w:p w:rsidR="00CE091F" w:rsidRPr="00C110ED" w:rsidRDefault="007F5D4E" w:rsidP="00307EFF">
      <w:pPr>
        <w:pStyle w:val="Heading1"/>
      </w:pPr>
      <w:r w:rsidRPr="00C110ED">
        <w:lastRenderedPageBreak/>
        <w:t xml:space="preserve">Price limits for </w:t>
      </w:r>
      <w:bookmarkEnd w:id="15"/>
      <w:r w:rsidR="003E2018" w:rsidRPr="00C110ED">
        <w:t xml:space="preserve">1:1 </w:t>
      </w:r>
      <w:r w:rsidR="00B403F5" w:rsidRPr="00C110ED">
        <w:t xml:space="preserve">core </w:t>
      </w:r>
      <w:r w:rsidR="003E2018" w:rsidRPr="00C110ED">
        <w:t>supports</w:t>
      </w:r>
      <w:bookmarkEnd w:id="16"/>
      <w:bookmarkEnd w:id="17"/>
      <w:bookmarkEnd w:id="18"/>
    </w:p>
    <w:p w:rsidR="00F32C21" w:rsidRPr="00C110ED" w:rsidRDefault="00F32C21" w:rsidP="00B12551">
      <w:pPr>
        <w:pStyle w:val="Heading2"/>
        <w:numPr>
          <w:ilvl w:val="0"/>
          <w:numId w:val="0"/>
        </w:numPr>
        <w:ind w:left="576" w:hanging="576"/>
      </w:pPr>
      <w:bookmarkStart w:id="19" w:name="_Toc25182172"/>
      <w:r w:rsidRPr="00C110ED">
        <w:t>Current arrangements</w:t>
      </w:r>
      <w:bookmarkEnd w:id="19"/>
    </w:p>
    <w:p w:rsidR="003E2018" w:rsidRPr="00C110ED" w:rsidRDefault="00B7303A" w:rsidP="00307EFF">
      <w:r w:rsidRPr="00C110ED">
        <w:t>T</w:t>
      </w:r>
      <w:r w:rsidR="0084079C" w:rsidRPr="00C110ED">
        <w:t xml:space="preserve">he </w:t>
      </w:r>
      <w:r w:rsidR="002F51A0">
        <w:t>National Disability Insurance Scheme (</w:t>
      </w:r>
      <w:r w:rsidR="0084079C" w:rsidRPr="00C110ED">
        <w:t>NDIS</w:t>
      </w:r>
      <w:r w:rsidR="002F51A0">
        <w:t>)</w:t>
      </w:r>
      <w:r w:rsidR="0084079C" w:rsidRPr="00C110ED">
        <w:t xml:space="preserve"> </w:t>
      </w:r>
      <w:r w:rsidR="00F236AF" w:rsidRPr="00C110ED">
        <w:t xml:space="preserve">price limits for 1:1 </w:t>
      </w:r>
      <w:r w:rsidR="0084079C" w:rsidRPr="00C110ED">
        <w:t>supports</w:t>
      </w:r>
      <w:r w:rsidR="002176AE" w:rsidRPr="00C110ED">
        <w:t xml:space="preserve"> delivere</w:t>
      </w:r>
      <w:r w:rsidR="00663606" w:rsidRPr="00C110ED">
        <w:t xml:space="preserve">d by Disability Support Workers (DSWs) </w:t>
      </w:r>
      <w:r w:rsidR="002176AE" w:rsidRPr="00C110ED">
        <w:t>and their equivalents</w:t>
      </w:r>
      <w:r w:rsidR="00663606" w:rsidRPr="00C110ED">
        <w:t xml:space="preserve"> </w:t>
      </w:r>
      <w:r w:rsidR="0084079C" w:rsidRPr="00C110ED">
        <w:t>in the Assistance with Daily Life (Daily Activities</w:t>
      </w:r>
      <w:r w:rsidR="002176AE" w:rsidRPr="00C110ED">
        <w:t>) S</w:t>
      </w:r>
      <w:r w:rsidR="0084079C" w:rsidRPr="00C110ED">
        <w:t>upport Category and the</w:t>
      </w:r>
      <w:r w:rsidR="002176AE" w:rsidRPr="00C110ED">
        <w:t xml:space="preserve"> A</w:t>
      </w:r>
      <w:r w:rsidR="0084079C" w:rsidRPr="00C110ED">
        <w:t>ssistance with Social and Community Participation (Community Participation) Support Category</w:t>
      </w:r>
      <w:r w:rsidR="002176AE" w:rsidRPr="00C110ED">
        <w:t xml:space="preserve"> </w:t>
      </w:r>
      <w:r w:rsidR="003E2018" w:rsidRPr="00C110ED">
        <w:t>vary according to</w:t>
      </w:r>
      <w:r w:rsidR="00C8308F" w:rsidRPr="00C110ED">
        <w:t xml:space="preserve"> </w:t>
      </w:r>
      <w:r w:rsidR="0084079C" w:rsidRPr="00C110ED">
        <w:t>several</w:t>
      </w:r>
      <w:r w:rsidR="00C8308F" w:rsidRPr="00C110ED">
        <w:t xml:space="preserve"> factors. </w:t>
      </w:r>
    </w:p>
    <w:p w:rsidR="007F5D4E" w:rsidRPr="00C110ED" w:rsidRDefault="0084079C" w:rsidP="00040022">
      <w:pPr>
        <w:numPr>
          <w:ilvl w:val="0"/>
          <w:numId w:val="11"/>
        </w:numPr>
      </w:pPr>
      <w:r w:rsidRPr="00C110ED">
        <w:t>P</w:t>
      </w:r>
      <w:r w:rsidR="007F5D4E" w:rsidRPr="00C110ED">
        <w:t>rice limits vary according to t</w:t>
      </w:r>
      <w:r w:rsidR="00C8308F" w:rsidRPr="00C110ED">
        <w:t xml:space="preserve">he </w:t>
      </w:r>
      <w:r w:rsidR="00C46775" w:rsidRPr="00C110ED">
        <w:rPr>
          <w:b/>
        </w:rPr>
        <w:t>intensity of the support</w:t>
      </w:r>
      <w:r w:rsidR="007F5D4E" w:rsidRPr="00C110ED">
        <w:t xml:space="preserve">. There are different price limits for </w:t>
      </w:r>
      <w:r w:rsidR="00F236AF" w:rsidRPr="00C110ED">
        <w:t xml:space="preserve">Standard </w:t>
      </w:r>
      <w:r w:rsidR="00C46775" w:rsidRPr="00C110ED">
        <w:t xml:space="preserve">Intensity </w:t>
      </w:r>
      <w:r w:rsidR="00F236AF" w:rsidRPr="00C110ED">
        <w:t>supports</w:t>
      </w:r>
      <w:r w:rsidR="00C46775" w:rsidRPr="00C110ED">
        <w:t xml:space="preserve"> and</w:t>
      </w:r>
      <w:r w:rsidR="007F5D4E" w:rsidRPr="00C110ED">
        <w:t xml:space="preserve"> </w:t>
      </w:r>
      <w:r w:rsidR="00F236AF" w:rsidRPr="00C110ED">
        <w:t>High Intensity supports</w:t>
      </w:r>
      <w:r w:rsidR="007F5D4E" w:rsidRPr="00C110ED">
        <w:t xml:space="preserve">. </w:t>
      </w:r>
      <w:r w:rsidR="002F51A0" w:rsidRPr="00C110ED">
        <w:t xml:space="preserve">Providers in Registration Group 0104 deliver high Intensity supports </w:t>
      </w:r>
      <w:r w:rsidR="007F5D4E" w:rsidRPr="00C110ED">
        <w:t>(High Intensity Daily Personal Activities).</w:t>
      </w:r>
    </w:p>
    <w:p w:rsidR="00B7303A" w:rsidRPr="00C110ED" w:rsidRDefault="0084079C" w:rsidP="00040022">
      <w:pPr>
        <w:numPr>
          <w:ilvl w:val="0"/>
          <w:numId w:val="11"/>
        </w:numPr>
      </w:pPr>
      <w:r w:rsidRPr="00C110ED">
        <w:t>F</w:t>
      </w:r>
      <w:r w:rsidR="007F5D4E" w:rsidRPr="00C110ED">
        <w:t xml:space="preserve">or High Intensity supports, price limits also vary depending on the </w:t>
      </w:r>
      <w:r w:rsidR="007F5D4E" w:rsidRPr="00C110ED">
        <w:rPr>
          <w:b/>
        </w:rPr>
        <w:t>level of skills and experience of the worker</w:t>
      </w:r>
      <w:r w:rsidR="007F5D4E" w:rsidRPr="00C110ED">
        <w:t xml:space="preserve"> delivering the support. There are three different High Intensity price limits – Level 1 (Standard)</w:t>
      </w:r>
      <w:r w:rsidR="002F51A0">
        <w:t>,</w:t>
      </w:r>
      <w:r w:rsidR="007F5D4E" w:rsidRPr="00C110ED">
        <w:t xml:space="preserve"> Level 2 (High intensity) and Level 3 (Very High Intensity).</w:t>
      </w:r>
      <w:r w:rsidR="00CA4A54" w:rsidRPr="00C110ED">
        <w:t xml:space="preserve"> Note</w:t>
      </w:r>
      <w:r w:rsidR="00663606" w:rsidRPr="00C110ED">
        <w:t xml:space="preserve"> Level 1 (Standard) price l</w:t>
      </w:r>
      <w:r w:rsidR="00CA4A54" w:rsidRPr="00C110ED">
        <w:t xml:space="preserve">imit is the same as the </w:t>
      </w:r>
      <w:r w:rsidRPr="00C110ED">
        <w:t>price limit for Standard Intensity supports.</w:t>
      </w:r>
    </w:p>
    <w:p w:rsidR="007F5D4E" w:rsidRPr="00C110ED" w:rsidRDefault="0084079C" w:rsidP="00040022">
      <w:pPr>
        <w:numPr>
          <w:ilvl w:val="0"/>
          <w:numId w:val="11"/>
        </w:numPr>
      </w:pPr>
      <w:r w:rsidRPr="00C110ED">
        <w:t>P</w:t>
      </w:r>
      <w:r w:rsidR="007F5D4E" w:rsidRPr="00C110ED">
        <w:t xml:space="preserve">rice limits also vary according to </w:t>
      </w:r>
      <w:r w:rsidR="007F5D4E" w:rsidRPr="00C110ED">
        <w:rPr>
          <w:b/>
        </w:rPr>
        <w:t>whether</w:t>
      </w:r>
      <w:r w:rsidR="00C8308F" w:rsidRPr="00C110ED">
        <w:rPr>
          <w:b/>
        </w:rPr>
        <w:t xml:space="preserve"> the worker is permitted to sleep</w:t>
      </w:r>
      <w:r w:rsidR="00C8308F" w:rsidRPr="00C110ED">
        <w:t xml:space="preserve"> when they are not delivering </w:t>
      </w:r>
      <w:r w:rsidR="007F5D4E" w:rsidRPr="00C110ED">
        <w:t>the support. There is a separate set of price limits for Night-time Sleepover Supports.</w:t>
      </w:r>
    </w:p>
    <w:p w:rsidR="00B7303A" w:rsidRPr="00C110ED" w:rsidRDefault="0084079C" w:rsidP="00040022">
      <w:pPr>
        <w:numPr>
          <w:ilvl w:val="0"/>
          <w:numId w:val="11"/>
        </w:numPr>
      </w:pPr>
      <w:r w:rsidRPr="00C110ED">
        <w:t>F</w:t>
      </w:r>
      <w:r w:rsidR="00C8308F" w:rsidRPr="00C110ED">
        <w:t>or supports where the worker is not permitted to sleep when they are not delivering the support, price limit</w:t>
      </w:r>
      <w:r w:rsidR="007F5D4E" w:rsidRPr="00C110ED">
        <w:t>s</w:t>
      </w:r>
      <w:r w:rsidR="00C8308F" w:rsidRPr="00C110ED">
        <w:t xml:space="preserve"> also </w:t>
      </w:r>
      <w:r w:rsidR="007F5D4E" w:rsidRPr="00C110ED">
        <w:t>vary depending</w:t>
      </w:r>
      <w:r w:rsidR="00C8308F" w:rsidRPr="00C110ED">
        <w:t xml:space="preserve"> on t</w:t>
      </w:r>
      <w:r w:rsidR="003E2018" w:rsidRPr="00C110ED">
        <w:t xml:space="preserve">he </w:t>
      </w:r>
      <w:r w:rsidR="003E2018" w:rsidRPr="00C110ED">
        <w:rPr>
          <w:b/>
        </w:rPr>
        <w:t>time of day and day of week</w:t>
      </w:r>
      <w:r w:rsidR="003E2018" w:rsidRPr="00C110ED">
        <w:t xml:space="preserve"> that the support is delivered</w:t>
      </w:r>
      <w:r w:rsidR="007F5D4E" w:rsidRPr="00C110ED">
        <w:t xml:space="preserve">. There are different price limits for </w:t>
      </w:r>
      <w:r w:rsidR="00B7303A" w:rsidRPr="00C110ED">
        <w:t>Public Holiday Supports</w:t>
      </w:r>
      <w:r w:rsidR="00B936ED">
        <w:t>,</w:t>
      </w:r>
      <w:r w:rsidR="007F5D4E" w:rsidRPr="00C110ED">
        <w:t xml:space="preserve"> </w:t>
      </w:r>
      <w:r w:rsidR="00B7303A" w:rsidRPr="00C110ED">
        <w:t>Saturday Supports</w:t>
      </w:r>
      <w:r w:rsidR="00B936ED">
        <w:t>,</w:t>
      </w:r>
      <w:r w:rsidR="007F5D4E" w:rsidRPr="00C110ED">
        <w:t xml:space="preserve"> </w:t>
      </w:r>
      <w:r w:rsidR="00B7303A" w:rsidRPr="00C110ED">
        <w:t>Sunday Supports</w:t>
      </w:r>
      <w:r w:rsidR="00B936ED">
        <w:t>,</w:t>
      </w:r>
      <w:r w:rsidR="007F5D4E" w:rsidRPr="00C110ED">
        <w:t xml:space="preserve"> </w:t>
      </w:r>
      <w:r w:rsidR="00B7303A" w:rsidRPr="00C110ED">
        <w:t xml:space="preserve">Weekday </w:t>
      </w:r>
      <w:r w:rsidR="002F51A0">
        <w:t xml:space="preserve">Daytime </w:t>
      </w:r>
      <w:r w:rsidR="00B7303A" w:rsidRPr="00C110ED">
        <w:t>Supports</w:t>
      </w:r>
      <w:r w:rsidR="00B936ED">
        <w:t>,</w:t>
      </w:r>
      <w:r w:rsidR="007F5D4E" w:rsidRPr="00C110ED">
        <w:t xml:space="preserve"> </w:t>
      </w:r>
      <w:r w:rsidR="00B7303A" w:rsidRPr="00C110ED">
        <w:t>Weekday Afternoon Supports</w:t>
      </w:r>
      <w:r w:rsidR="00C46775" w:rsidRPr="00C110ED">
        <w:t xml:space="preserve"> and</w:t>
      </w:r>
      <w:r w:rsidR="007F5D4E" w:rsidRPr="00C110ED">
        <w:t xml:space="preserve"> </w:t>
      </w:r>
      <w:r w:rsidR="002F51A0">
        <w:t xml:space="preserve">Weekday </w:t>
      </w:r>
      <w:r w:rsidR="00B7303A" w:rsidRPr="00C110ED">
        <w:t>Active Overnight Supports</w:t>
      </w:r>
      <w:r w:rsidR="007F5D4E" w:rsidRPr="00C110ED">
        <w:t>.</w:t>
      </w:r>
    </w:p>
    <w:p w:rsidR="006F7CCE" w:rsidRPr="00C110ED" w:rsidRDefault="0084079C" w:rsidP="00040022">
      <w:pPr>
        <w:numPr>
          <w:ilvl w:val="0"/>
          <w:numId w:val="11"/>
        </w:numPr>
        <w:spacing w:before="0"/>
        <w:rPr>
          <w:rFonts w:asciiTheme="minorHAnsi" w:hAnsiTheme="minorHAnsi"/>
        </w:rPr>
      </w:pPr>
      <w:r w:rsidRPr="00C110ED">
        <w:t>P</w:t>
      </w:r>
      <w:r w:rsidR="007F5D4E" w:rsidRPr="00C110ED">
        <w:t>rice limits also vary depending on w</w:t>
      </w:r>
      <w:r w:rsidR="006F7CCE" w:rsidRPr="00C110ED">
        <w:t xml:space="preserve">hether </w:t>
      </w:r>
      <w:r w:rsidR="007F5D4E" w:rsidRPr="00C110ED">
        <w:t xml:space="preserve">or not </w:t>
      </w:r>
      <w:r w:rsidR="006F7CCE" w:rsidRPr="00C110ED">
        <w:t xml:space="preserve">the provider </w:t>
      </w:r>
      <w:r w:rsidR="00820A72">
        <w:t xml:space="preserve">claims </w:t>
      </w:r>
      <w:r w:rsidR="006F7CCE" w:rsidRPr="00C110ED">
        <w:rPr>
          <w:b/>
        </w:rPr>
        <w:t xml:space="preserve">Temporary Transformation Payment </w:t>
      </w:r>
      <w:r w:rsidR="006F7CCE" w:rsidRPr="00C110ED">
        <w:t>(TTP)</w:t>
      </w:r>
      <w:r w:rsidR="00820A72">
        <w:t>, subject to meeting the</w:t>
      </w:r>
      <w:r w:rsidR="00C8308F" w:rsidRPr="00C110ED">
        <w:t xml:space="preserve"> eligibility criteria</w:t>
      </w:r>
      <w:r w:rsidR="006F7CCE" w:rsidRPr="00C110ED">
        <w:t>.</w:t>
      </w:r>
    </w:p>
    <w:p w:rsidR="003E2018" w:rsidRDefault="003E2018" w:rsidP="00307EFF">
      <w:r w:rsidRPr="00C110ED">
        <w:t>The following Table</w:t>
      </w:r>
      <w:r w:rsidR="00315951">
        <w:t>s</w:t>
      </w:r>
      <w:r w:rsidR="007818E4">
        <w:t xml:space="preserve"> set</w:t>
      </w:r>
      <w:r w:rsidRPr="00C110ED">
        <w:t xml:space="preserve"> out the current (201</w:t>
      </w:r>
      <w:r w:rsidR="002F51A0">
        <w:t>9</w:t>
      </w:r>
      <w:r w:rsidRPr="00C110ED">
        <w:t>-</w:t>
      </w:r>
      <w:r w:rsidR="002F51A0">
        <w:t>20</w:t>
      </w:r>
      <w:r w:rsidRPr="00C110ED">
        <w:t xml:space="preserve"> price limits) for DSW supports</w:t>
      </w:r>
      <w:r w:rsidR="006F7CCE" w:rsidRPr="00C110ED">
        <w:t xml:space="preserve">. </w:t>
      </w:r>
    </w:p>
    <w:p w:rsidR="00315951" w:rsidRPr="00636E21" w:rsidRDefault="00315951" w:rsidP="00315951">
      <w:pPr>
        <w:rPr>
          <w:b/>
        </w:rPr>
      </w:pPr>
      <w:r w:rsidRPr="00636E21">
        <w:rPr>
          <w:b/>
        </w:rPr>
        <w:t>Non-TTP price limits for DSW supports</w:t>
      </w:r>
    </w:p>
    <w:tbl>
      <w:tblPr>
        <w:tblStyle w:val="GridTable4-Accent4"/>
        <w:tblW w:w="9067" w:type="dxa"/>
        <w:tblLook w:val="04A0" w:firstRow="1" w:lastRow="0" w:firstColumn="1" w:lastColumn="0" w:noHBand="0" w:noVBand="1"/>
        <w:tblCaption w:val="Non-TTP price limits for 2019-20"/>
        <w:tblDescription w:val="This table displays the non-TTP price limits (base price limits) for all 2019-20 price limits for DSW supports within core. These are differentiated on the level of support."/>
      </w:tblPr>
      <w:tblGrid>
        <w:gridCol w:w="1980"/>
        <w:gridCol w:w="1134"/>
        <w:gridCol w:w="1843"/>
        <w:gridCol w:w="2126"/>
        <w:gridCol w:w="1984"/>
      </w:tblGrid>
      <w:tr w:rsidR="00315951" w:rsidTr="00EB7DBA">
        <w:trPr>
          <w:cnfStyle w:val="100000000000" w:firstRow="1" w:lastRow="0" w:firstColumn="0" w:lastColumn="0" w:oddVBand="0" w:evenVBand="0" w:oddHBand="0" w:evenHBand="0" w:firstRowFirstColumn="0" w:firstRowLastColumn="0" w:lastRowFirstColumn="0" w:lastRowLastColumn="0"/>
          <w:trHeight w:val="876"/>
          <w:tblHeader/>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42181E">
            <w:pPr>
              <w:jc w:val="center"/>
              <w:rPr>
                <w:rFonts w:asciiTheme="minorHAnsi" w:hAnsiTheme="minorHAnsi" w:cstheme="minorHAnsi"/>
                <w:sz w:val="16"/>
                <w:szCs w:val="16"/>
              </w:rPr>
            </w:pPr>
            <w:r w:rsidRPr="003455BF">
              <w:rPr>
                <w:rFonts w:asciiTheme="minorHAnsi" w:hAnsiTheme="minorHAnsi" w:cstheme="minorHAnsi"/>
                <w:sz w:val="16"/>
                <w:szCs w:val="16"/>
              </w:rPr>
              <w:t>Base Price Limits (per hour)</w:t>
            </w:r>
          </w:p>
        </w:tc>
        <w:tc>
          <w:tcPr>
            <w:tcW w:w="1134"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Standard Intensity Supports</w:t>
            </w:r>
          </w:p>
        </w:tc>
        <w:tc>
          <w:tcPr>
            <w:tcW w:w="1843"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1 (Standard)</w:t>
            </w:r>
          </w:p>
        </w:tc>
        <w:tc>
          <w:tcPr>
            <w:tcW w:w="2126"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2 (High Intensity)</w:t>
            </w:r>
          </w:p>
        </w:tc>
        <w:tc>
          <w:tcPr>
            <w:tcW w:w="1984"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3 (Very High Intensity)</w:t>
            </w:r>
          </w:p>
        </w:tc>
      </w:tr>
      <w:tr w:rsidR="00315951" w:rsidTr="00EB7D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Daytime</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$52.85</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$52.85</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$57.15</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$60.04</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Afternoon</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$58.31</w:t>
            </w:r>
          </w:p>
        </w:tc>
        <w:tc>
          <w:tcPr>
            <w:tcW w:w="1843"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$58.31</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$63.06</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$66.23</w:t>
            </w:r>
          </w:p>
        </w:tc>
      </w:tr>
      <w:tr w:rsidR="00315951" w:rsidTr="00EB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Night</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$59.40</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$59.40</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$64.24</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$67.47</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Saturday</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$72.69</w:t>
            </w:r>
          </w:p>
        </w:tc>
        <w:tc>
          <w:tcPr>
            <w:tcW w:w="1843"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$72.69</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$78.63</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$82.58</w:t>
            </w:r>
          </w:p>
        </w:tc>
      </w:tr>
      <w:tr w:rsidR="00315951" w:rsidTr="00EB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Sunday</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$94.52</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$94.52</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$102.23</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$107.37</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Public Holiday</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$118.34</w:t>
            </w:r>
          </w:p>
        </w:tc>
        <w:tc>
          <w:tcPr>
            <w:tcW w:w="1843"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$118.34</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$127.97</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$134.42</w:t>
            </w:r>
          </w:p>
        </w:tc>
      </w:tr>
    </w:tbl>
    <w:p w:rsidR="00315951" w:rsidRPr="00636E21" w:rsidRDefault="00315951" w:rsidP="00315951">
      <w:pPr>
        <w:rPr>
          <w:b/>
        </w:rPr>
      </w:pPr>
      <w:r w:rsidRPr="00636E21">
        <w:rPr>
          <w:b/>
        </w:rPr>
        <w:lastRenderedPageBreak/>
        <w:t>TTP price limits for DSW supports</w:t>
      </w:r>
      <w:r w:rsidRPr="00636E21" w:rsidDel="00636E21">
        <w:rPr>
          <w:b/>
        </w:rPr>
        <w:t xml:space="preserve"> </w:t>
      </w:r>
    </w:p>
    <w:tbl>
      <w:tblPr>
        <w:tblStyle w:val="GridTable4-Accent4"/>
        <w:tblW w:w="9067" w:type="dxa"/>
        <w:tblLook w:val="04A0" w:firstRow="1" w:lastRow="0" w:firstColumn="1" w:lastColumn="0" w:noHBand="0" w:noVBand="1"/>
        <w:tblCaption w:val="TTP price limits for 2019-20"/>
        <w:tblDescription w:val="This table displays the price limits that include TTP for all 2019-20 price limits for DSW supports within core. These are differentiated on the level of support."/>
      </w:tblPr>
      <w:tblGrid>
        <w:gridCol w:w="1980"/>
        <w:gridCol w:w="1134"/>
        <w:gridCol w:w="1843"/>
        <w:gridCol w:w="2126"/>
        <w:gridCol w:w="1984"/>
      </w:tblGrid>
      <w:tr w:rsidR="00315951" w:rsidTr="00EB7DBA">
        <w:trPr>
          <w:cnfStyle w:val="100000000000" w:firstRow="1" w:lastRow="0" w:firstColumn="0" w:lastColumn="0" w:oddVBand="0" w:evenVBand="0" w:oddHBand="0" w:evenHBand="0" w:firstRowFirstColumn="0" w:firstRowLastColumn="0" w:lastRowFirstColumn="0" w:lastRowLastColumn="0"/>
          <w:trHeight w:val="876"/>
          <w:tblHeader/>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42181E">
            <w:pPr>
              <w:jc w:val="center"/>
              <w:rPr>
                <w:rFonts w:asciiTheme="minorHAnsi" w:hAnsiTheme="minorHAnsi" w:cstheme="minorHAnsi"/>
                <w:sz w:val="16"/>
                <w:szCs w:val="16"/>
              </w:rPr>
            </w:pPr>
            <w:r w:rsidRPr="003455BF">
              <w:rPr>
                <w:rFonts w:asciiTheme="minorHAnsi" w:hAnsiTheme="minorHAnsi" w:cstheme="minorHAnsi"/>
                <w:sz w:val="16"/>
                <w:szCs w:val="16"/>
              </w:rPr>
              <w:t>TTP Price Limits (per hour)</w:t>
            </w:r>
          </w:p>
        </w:tc>
        <w:tc>
          <w:tcPr>
            <w:tcW w:w="1134"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Standard Intensity Supports</w:t>
            </w:r>
          </w:p>
        </w:tc>
        <w:tc>
          <w:tcPr>
            <w:tcW w:w="1843"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1 (Standard)</w:t>
            </w:r>
          </w:p>
        </w:tc>
        <w:tc>
          <w:tcPr>
            <w:tcW w:w="2126"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2 (High Intensity)</w:t>
            </w:r>
          </w:p>
        </w:tc>
        <w:tc>
          <w:tcPr>
            <w:tcW w:w="1984" w:type="dxa"/>
          </w:tcPr>
          <w:p w:rsidR="00315951" w:rsidRPr="003455BF" w:rsidRDefault="00315951" w:rsidP="004218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 Supports – Level 3 (Very High Intensity)</w:t>
            </w:r>
          </w:p>
        </w:tc>
      </w:tr>
      <w:tr w:rsidR="00315951" w:rsidTr="00EB7D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Daytime</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$56.81</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$56.81</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$61.11</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$64.00</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Afternoon</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$62.69</w:t>
            </w:r>
          </w:p>
        </w:tc>
        <w:tc>
          <w:tcPr>
            <w:tcW w:w="1843"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$62.69</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$67.44</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$70.61</w:t>
            </w:r>
          </w:p>
        </w:tc>
      </w:tr>
      <w:tr w:rsidR="00315951" w:rsidTr="00EB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Weekday Night</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$63.85</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$63.85</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$68.69</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$71.92</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Saturday</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$78.14</w:t>
            </w:r>
          </w:p>
        </w:tc>
        <w:tc>
          <w:tcPr>
            <w:tcW w:w="1843"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$78.14</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$84.08</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$88.03</w:t>
            </w:r>
          </w:p>
        </w:tc>
      </w:tr>
      <w:tr w:rsidR="00315951" w:rsidTr="00EB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Sunday</w:t>
            </w:r>
          </w:p>
        </w:tc>
        <w:tc>
          <w:tcPr>
            <w:tcW w:w="113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$101.61</w:t>
            </w:r>
          </w:p>
        </w:tc>
        <w:tc>
          <w:tcPr>
            <w:tcW w:w="1843"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$101.61</w:t>
            </w:r>
          </w:p>
        </w:tc>
        <w:tc>
          <w:tcPr>
            <w:tcW w:w="2126"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$109.32</w:t>
            </w:r>
          </w:p>
        </w:tc>
        <w:tc>
          <w:tcPr>
            <w:tcW w:w="1984" w:type="dxa"/>
          </w:tcPr>
          <w:p w:rsidR="00315951" w:rsidRPr="003455BF" w:rsidRDefault="00315951" w:rsidP="00EB7DBA">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3455BF">
              <w:rPr>
                <w:rFonts w:asciiTheme="minorHAnsi" w:hAnsiTheme="minorHAnsi" w:cstheme="minorHAnsi"/>
                <w:bCs/>
                <w:sz w:val="16"/>
                <w:szCs w:val="16"/>
              </w:rPr>
              <w:t>$114.46</w:t>
            </w:r>
          </w:p>
        </w:tc>
      </w:tr>
      <w:tr w:rsidR="00315951" w:rsidTr="00EB7DBA">
        <w:tc>
          <w:tcPr>
            <w:cnfStyle w:val="001000000000" w:firstRow="0" w:lastRow="0" w:firstColumn="1" w:lastColumn="0" w:oddVBand="0" w:evenVBand="0" w:oddHBand="0" w:evenHBand="0" w:firstRowFirstColumn="0" w:firstRowLastColumn="0" w:lastRowFirstColumn="0" w:lastRowLastColumn="0"/>
            <w:tcW w:w="1980" w:type="dxa"/>
          </w:tcPr>
          <w:p w:rsidR="00315951" w:rsidRPr="003455BF" w:rsidRDefault="00315951" w:rsidP="00EB7DBA">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Public Holiday</w:t>
            </w:r>
          </w:p>
        </w:tc>
        <w:tc>
          <w:tcPr>
            <w:tcW w:w="113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$127.21</w:t>
            </w:r>
          </w:p>
        </w:tc>
        <w:tc>
          <w:tcPr>
            <w:tcW w:w="1843" w:type="dxa"/>
          </w:tcPr>
          <w:p w:rsidR="00315951" w:rsidRPr="003455BF" w:rsidRDefault="006A2539"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$127.21</w:t>
            </w:r>
          </w:p>
        </w:tc>
        <w:tc>
          <w:tcPr>
            <w:tcW w:w="2126"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$136.84</w:t>
            </w:r>
          </w:p>
        </w:tc>
        <w:tc>
          <w:tcPr>
            <w:tcW w:w="1984" w:type="dxa"/>
          </w:tcPr>
          <w:p w:rsidR="00315951" w:rsidRPr="003455BF" w:rsidRDefault="00315951" w:rsidP="00EB7DBA">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$143.29</w:t>
            </w:r>
          </w:p>
        </w:tc>
      </w:tr>
    </w:tbl>
    <w:p w:rsidR="00F236AF" w:rsidRPr="000341FD" w:rsidRDefault="00F236AF" w:rsidP="000341FD">
      <w:pPr>
        <w:pStyle w:val="Heading3"/>
        <w:ind w:left="0" w:firstLine="0"/>
      </w:pPr>
      <w:r w:rsidRPr="000341FD">
        <w:t>Standard v High Intensity Supports</w:t>
      </w:r>
      <w:r w:rsidR="00CA4A54" w:rsidRPr="000341FD">
        <w:t xml:space="preserve"> </w:t>
      </w:r>
      <w:r w:rsidR="00F32C21" w:rsidRPr="000341FD">
        <w:t>Price Limits</w:t>
      </w:r>
    </w:p>
    <w:p w:rsidR="00C46775" w:rsidRPr="000341FD" w:rsidRDefault="002176AE" w:rsidP="000341FD">
      <w:pPr>
        <w:keepNext/>
      </w:pPr>
      <w:r w:rsidRPr="000341FD">
        <w:t>Daily Activit</w:t>
      </w:r>
      <w:r w:rsidR="002F51A0">
        <w:t>ies</w:t>
      </w:r>
      <w:r w:rsidRPr="000341FD">
        <w:t xml:space="preserve"> and Community Participation 1:1 supports delivered by DSWs </w:t>
      </w:r>
      <w:r w:rsidR="00C46775" w:rsidRPr="000341FD">
        <w:t>are either Standard Intensity Supports or High Intensity Supports.</w:t>
      </w:r>
    </w:p>
    <w:p w:rsidR="00F236AF" w:rsidRPr="000341FD" w:rsidRDefault="00C46775" w:rsidP="000341FD">
      <w:pPr>
        <w:rPr>
          <w:rFonts w:asciiTheme="minorHAnsi" w:hAnsiTheme="minorHAnsi"/>
        </w:rPr>
      </w:pPr>
      <w:r w:rsidRPr="000341FD">
        <w:t>A support is considered a High Intensity S</w:t>
      </w:r>
      <w:r w:rsidR="00F236AF" w:rsidRPr="000341FD">
        <w:t xml:space="preserve">upport if the participant requires assistance from a </w:t>
      </w:r>
      <w:r w:rsidR="002176AE" w:rsidRPr="000341FD">
        <w:t>DSW</w:t>
      </w:r>
      <w:r w:rsidR="00F236AF" w:rsidRPr="000341FD">
        <w:t xml:space="preserve"> with additional qualifications and experience relevant to the participant’s complex needs. The high intensity price limits may be considered when:</w:t>
      </w:r>
    </w:p>
    <w:p w:rsidR="00F236AF" w:rsidRPr="000341FD" w:rsidRDefault="00F236AF" w:rsidP="000341FD">
      <w:pPr>
        <w:numPr>
          <w:ilvl w:val="0"/>
          <w:numId w:val="22"/>
        </w:numPr>
        <w:spacing w:before="0"/>
        <w:ind w:left="567" w:hanging="284"/>
      </w:pPr>
      <w:r w:rsidRPr="000341FD">
        <w:t xml:space="preserve">frequent assistance </w:t>
      </w:r>
      <w:r w:rsidR="003E2018" w:rsidRPr="000341FD">
        <w:t xml:space="preserve">(at least </w:t>
      </w:r>
      <w:r w:rsidR="002F51A0">
        <w:t>one</w:t>
      </w:r>
      <w:r w:rsidR="003E2018" w:rsidRPr="000341FD">
        <w:t xml:space="preserve"> instance per shift) </w:t>
      </w:r>
      <w:r w:rsidRPr="000341FD">
        <w:t>is required to manage challenging behaviours that require intensive positive behaviour support; and/or</w:t>
      </w:r>
    </w:p>
    <w:p w:rsidR="00F236AF" w:rsidRPr="000341FD" w:rsidRDefault="00F236AF" w:rsidP="000341FD">
      <w:pPr>
        <w:numPr>
          <w:ilvl w:val="0"/>
          <w:numId w:val="22"/>
        </w:numPr>
        <w:spacing w:before="0"/>
        <w:ind w:left="567" w:hanging="284"/>
      </w:pPr>
      <w:proofErr w:type="gramStart"/>
      <w:r w:rsidRPr="000341FD">
        <w:t>continual</w:t>
      </w:r>
      <w:proofErr w:type="gramEnd"/>
      <w:r w:rsidRPr="000341FD">
        <w:t xml:space="preserve"> active support is required due to high medical support needs (such as unstable seizure activity or respiratory support)</w:t>
      </w:r>
      <w:r w:rsidR="00C46775" w:rsidRPr="000341FD">
        <w:t>.</w:t>
      </w:r>
    </w:p>
    <w:p w:rsidR="00C46775" w:rsidRPr="000341FD" w:rsidRDefault="00C46775" w:rsidP="000341FD">
      <w:r w:rsidRPr="000341FD">
        <w:t>If a support is not a High Intensity Support then it is a Standard Intensity Support.</w:t>
      </w:r>
    </w:p>
    <w:p w:rsidR="00F236AF" w:rsidRPr="000341FD" w:rsidRDefault="00F236AF" w:rsidP="000341FD">
      <w:r w:rsidRPr="000341FD">
        <w:t>In de</w:t>
      </w:r>
      <w:r w:rsidR="001956A7" w:rsidRPr="000341FD">
        <w:t xml:space="preserve">termining which price limit </w:t>
      </w:r>
      <w:r w:rsidRPr="000341FD">
        <w:t xml:space="preserve">should apply to a given </w:t>
      </w:r>
      <w:r w:rsidR="001956A7" w:rsidRPr="000341FD">
        <w:t xml:space="preserve">High Intensity </w:t>
      </w:r>
      <w:r w:rsidRPr="000341FD">
        <w:t xml:space="preserve">support, the provider should consider the skills and experience of the </w:t>
      </w:r>
      <w:r w:rsidR="002176AE" w:rsidRPr="000341FD">
        <w:t>DSW</w:t>
      </w:r>
      <w:r w:rsidRPr="000341FD">
        <w:t xml:space="preserve"> delivering the support. In general, the Level 2 price limit applies to most high intensity supports. However, if the particular instance of support is delivered by a </w:t>
      </w:r>
      <w:r w:rsidR="002176AE" w:rsidRPr="000341FD">
        <w:t>DSW</w:t>
      </w:r>
      <w:r w:rsidRPr="000341FD">
        <w:t xml:space="preserve"> who does not have the skills and experience to deliver a high intensity support then the Level 1 price limit should be applied. If the particular instance of the support is delivered by a more highly skilled or experienced </w:t>
      </w:r>
      <w:r w:rsidR="002176AE" w:rsidRPr="000341FD">
        <w:t>DSW</w:t>
      </w:r>
      <w:r w:rsidRPr="000341FD">
        <w:t xml:space="preserve"> then the provider can consider applying the Level 3 price </w:t>
      </w:r>
      <w:r w:rsidR="00C46775" w:rsidRPr="000341FD">
        <w:t>limit</w:t>
      </w:r>
      <w:r w:rsidR="008B4DA4" w:rsidRPr="000341FD">
        <w:t>.</w:t>
      </w:r>
    </w:p>
    <w:p w:rsidR="00F236AF" w:rsidRPr="003C6C7D" w:rsidRDefault="00F32C21" w:rsidP="000341FD">
      <w:pPr>
        <w:rPr>
          <w:b/>
        </w:rPr>
      </w:pPr>
      <w:r w:rsidRPr="003C6C7D">
        <w:rPr>
          <w:b/>
        </w:rPr>
        <w:t>Definition of Time of Day and Day of W</w:t>
      </w:r>
      <w:r w:rsidR="00C46775" w:rsidRPr="003C6C7D">
        <w:rPr>
          <w:b/>
        </w:rPr>
        <w:t>eek</w:t>
      </w:r>
    </w:p>
    <w:p w:rsidR="006F7CCE" w:rsidRPr="000341FD" w:rsidRDefault="006F7CCE" w:rsidP="000341FD">
      <w:r w:rsidRPr="000341FD">
        <w:t>Every 1:1 DSW support is either:</w:t>
      </w:r>
    </w:p>
    <w:p w:rsidR="00B7303A" w:rsidRPr="000341FD" w:rsidRDefault="00B7303A" w:rsidP="000341FD">
      <w:pPr>
        <w:numPr>
          <w:ilvl w:val="0"/>
          <w:numId w:val="11"/>
        </w:numPr>
      </w:pPr>
      <w:r w:rsidRPr="000341FD">
        <w:t xml:space="preserve">A </w:t>
      </w:r>
      <w:r w:rsidRPr="000341FD">
        <w:rPr>
          <w:b/>
        </w:rPr>
        <w:t>Night-time Sleepover Support</w:t>
      </w:r>
      <w:r w:rsidRPr="000341FD">
        <w:t xml:space="preserve"> </w:t>
      </w:r>
      <w:r w:rsidR="006F7CCE" w:rsidRPr="000341FD">
        <w:t xml:space="preserve">– any support </w:t>
      </w:r>
      <w:r w:rsidRPr="000341FD">
        <w:t>to an individual participant delivered on a weekday, a Saturday, a Sunday or a Public Holiday that:</w:t>
      </w:r>
    </w:p>
    <w:p w:rsidR="00B7303A" w:rsidRPr="000341FD" w:rsidRDefault="00B7303A" w:rsidP="000341FD">
      <w:pPr>
        <w:numPr>
          <w:ilvl w:val="1"/>
          <w:numId w:val="11"/>
        </w:numPr>
        <w:ind w:left="1134"/>
      </w:pPr>
      <w:r w:rsidRPr="000341FD">
        <w:t xml:space="preserve">commences before midnight on a given day and finishes after midnight on that </w:t>
      </w:r>
      <w:r w:rsidR="002F51A0">
        <w:t xml:space="preserve">same </w:t>
      </w:r>
      <w:r w:rsidRPr="000341FD">
        <w:t xml:space="preserve">day or commences before 6:00 am on a given day; </w:t>
      </w:r>
    </w:p>
    <w:p w:rsidR="00B7303A" w:rsidRPr="000341FD" w:rsidRDefault="00B7303A" w:rsidP="000341FD">
      <w:pPr>
        <w:numPr>
          <w:ilvl w:val="1"/>
          <w:numId w:val="11"/>
        </w:numPr>
        <w:ind w:left="1134"/>
      </w:pPr>
      <w:r w:rsidRPr="000341FD">
        <w:t>is for a continuous period of eight (8) hours or more;</w:t>
      </w:r>
      <w:r w:rsidR="007818E4">
        <w:t xml:space="preserve"> and</w:t>
      </w:r>
    </w:p>
    <w:p w:rsidR="007818E4" w:rsidRDefault="00B7303A" w:rsidP="00B936ED">
      <w:pPr>
        <w:numPr>
          <w:ilvl w:val="1"/>
          <w:numId w:val="11"/>
        </w:numPr>
        <w:ind w:left="1134"/>
      </w:pPr>
      <w:proofErr w:type="gramStart"/>
      <w:r w:rsidRPr="000341FD">
        <w:lastRenderedPageBreak/>
        <w:t>the</w:t>
      </w:r>
      <w:proofErr w:type="gramEnd"/>
      <w:r w:rsidRPr="000341FD">
        <w:t xml:space="preserve"> worker is allowed to sleep when</w:t>
      </w:r>
      <w:r w:rsidR="00B936ED">
        <w:t xml:space="preserve"> </w:t>
      </w:r>
      <w:r w:rsidR="007818E4">
        <w:t xml:space="preserve">they are not providing support. </w:t>
      </w:r>
    </w:p>
    <w:p w:rsidR="00B7303A" w:rsidRPr="000341FD" w:rsidRDefault="007818E4" w:rsidP="007818E4">
      <w:pPr>
        <w:ind w:left="1134"/>
      </w:pPr>
      <w:r>
        <w:t xml:space="preserve">(Note – </w:t>
      </w:r>
      <w:r w:rsidR="000F722C">
        <w:t xml:space="preserve">The price limits for the Night-Time Sleepover supports are calculated as the sum of the Night-Time Sleepover allowance specified in section 25.7(d) of the SCHADS Award plus 3.5 times the relevant hourly price limit for </w:t>
      </w:r>
      <w:r w:rsidR="000F722C" w:rsidRPr="00104EB4">
        <w:t>W</w:t>
      </w:r>
      <w:r w:rsidR="000F722C">
        <w:t>eekday Active Overnight Supports. The support includes the first two hours of work by the DSW if they have to work during the sleepover.</w:t>
      </w:r>
      <w:r>
        <w:t>)</w:t>
      </w:r>
    </w:p>
    <w:p w:rsidR="00B7303A" w:rsidRPr="000341FD" w:rsidRDefault="00B7303A" w:rsidP="000341FD">
      <w:pPr>
        <w:numPr>
          <w:ilvl w:val="0"/>
          <w:numId w:val="11"/>
        </w:numPr>
      </w:pPr>
      <w:r w:rsidRPr="000341FD">
        <w:t xml:space="preserve">A </w:t>
      </w:r>
      <w:r w:rsidRPr="000341FD">
        <w:rPr>
          <w:b/>
        </w:rPr>
        <w:t xml:space="preserve">Public Holiday Support </w:t>
      </w:r>
      <w:r w:rsidR="00D147C3" w:rsidRPr="000341FD">
        <w:t>–</w:t>
      </w:r>
      <w:r w:rsidRPr="000341FD">
        <w:t xml:space="preserve"> any support to an individual participant that starts and ends between midnight on the night prior to a Public Holiday and midnight of that Public Holiday (unless that support is a Night-time Sleepover Support).</w:t>
      </w:r>
    </w:p>
    <w:p w:rsidR="00B7303A" w:rsidRPr="000341FD" w:rsidRDefault="00B7303A" w:rsidP="000341FD">
      <w:pPr>
        <w:numPr>
          <w:ilvl w:val="0"/>
          <w:numId w:val="11"/>
        </w:numPr>
      </w:pPr>
      <w:r w:rsidRPr="000341FD">
        <w:t xml:space="preserve">A </w:t>
      </w:r>
      <w:r w:rsidRPr="000341FD">
        <w:rPr>
          <w:b/>
        </w:rPr>
        <w:t>Saturday Support</w:t>
      </w:r>
      <w:r w:rsidRPr="000341FD">
        <w:t xml:space="preserve"> </w:t>
      </w:r>
      <w:r w:rsidR="00D147C3" w:rsidRPr="000341FD">
        <w:t>–</w:t>
      </w:r>
      <w:r w:rsidRPr="000341FD">
        <w:t xml:space="preserve"> any support to an individual participant that starts and ends between midnight on the night prior to a Saturday and midnight of that Saturday (unless that support is a Public Holiday Support or a Night-time Sleepover Support).</w:t>
      </w:r>
    </w:p>
    <w:p w:rsidR="00B7303A" w:rsidRPr="000341FD" w:rsidRDefault="00B7303A" w:rsidP="000341FD">
      <w:pPr>
        <w:numPr>
          <w:ilvl w:val="0"/>
          <w:numId w:val="11"/>
        </w:numPr>
      </w:pPr>
      <w:r w:rsidRPr="000341FD">
        <w:t xml:space="preserve">A </w:t>
      </w:r>
      <w:r w:rsidRPr="000341FD">
        <w:rPr>
          <w:b/>
        </w:rPr>
        <w:t>Sunday Support</w:t>
      </w:r>
      <w:r w:rsidRPr="000341FD">
        <w:t xml:space="preserve"> </w:t>
      </w:r>
      <w:r w:rsidR="00D147C3" w:rsidRPr="000341FD">
        <w:t>–</w:t>
      </w:r>
      <w:r w:rsidRPr="000341FD">
        <w:t xml:space="preserve"> any support to an individual participant that starts and ends between midnight on the night prior to a Sunday and midnight of that Sunday (unless that support is a Public Holiday Support or a Night-time Sleepover Support).</w:t>
      </w:r>
    </w:p>
    <w:p w:rsidR="00B7303A" w:rsidRPr="000341FD" w:rsidRDefault="00B7303A" w:rsidP="000341FD">
      <w:pPr>
        <w:numPr>
          <w:ilvl w:val="0"/>
          <w:numId w:val="11"/>
        </w:numPr>
      </w:pPr>
      <w:r w:rsidRPr="000341FD">
        <w:t xml:space="preserve">A </w:t>
      </w:r>
      <w:r w:rsidRPr="000341FD">
        <w:rPr>
          <w:b/>
        </w:rPr>
        <w:t xml:space="preserve">Weekday </w:t>
      </w:r>
      <w:r w:rsidR="002F51A0">
        <w:rPr>
          <w:b/>
        </w:rPr>
        <w:t xml:space="preserve">Daytime </w:t>
      </w:r>
      <w:r w:rsidRPr="000341FD">
        <w:rPr>
          <w:b/>
        </w:rPr>
        <w:t>Support</w:t>
      </w:r>
      <w:r w:rsidRPr="000341FD">
        <w:t xml:space="preserve"> </w:t>
      </w:r>
      <w:r w:rsidR="00D147C3" w:rsidRPr="000341FD">
        <w:t>–</w:t>
      </w:r>
      <w:r w:rsidRPr="000341FD">
        <w:t xml:space="preserve"> any support to an individual participant that starts and ends between 6:00 am and 8:00 pm on a single weekday (unless that support is a Public Holiday Support or a Night-time Sleepover Support).</w:t>
      </w:r>
    </w:p>
    <w:p w:rsidR="00B7303A" w:rsidRPr="000341FD" w:rsidRDefault="00D147C3" w:rsidP="000341FD">
      <w:pPr>
        <w:numPr>
          <w:ilvl w:val="0"/>
          <w:numId w:val="11"/>
        </w:numPr>
      </w:pPr>
      <w:r w:rsidRPr="000341FD">
        <w:t>A</w:t>
      </w:r>
      <w:r w:rsidR="00B7303A" w:rsidRPr="000341FD">
        <w:t xml:space="preserve"> </w:t>
      </w:r>
      <w:r w:rsidRPr="000341FD">
        <w:rPr>
          <w:b/>
        </w:rPr>
        <w:t xml:space="preserve">Weekday </w:t>
      </w:r>
      <w:r w:rsidR="00B7303A" w:rsidRPr="000341FD">
        <w:rPr>
          <w:b/>
        </w:rPr>
        <w:t>Afternoon Support</w:t>
      </w:r>
      <w:r w:rsidRPr="000341FD">
        <w:t xml:space="preserve"> –</w:t>
      </w:r>
      <w:r w:rsidR="00B7303A" w:rsidRPr="000341FD">
        <w:t xml:space="preserve"> any support to an individual participant that finishes after 8:00 pm and at or before midnight on a single weekday (unless that support is a Public Holiday Support or a Night-time Sleepover Support).</w:t>
      </w:r>
    </w:p>
    <w:p w:rsidR="00FC66C7" w:rsidRPr="000341FD" w:rsidRDefault="00D147C3" w:rsidP="000341FD">
      <w:pPr>
        <w:numPr>
          <w:ilvl w:val="0"/>
          <w:numId w:val="11"/>
        </w:numPr>
      </w:pPr>
      <w:r w:rsidRPr="000341FD">
        <w:t xml:space="preserve">A </w:t>
      </w:r>
      <w:r w:rsidRPr="000341FD">
        <w:rPr>
          <w:b/>
        </w:rPr>
        <w:t xml:space="preserve">Weekday </w:t>
      </w:r>
      <w:r w:rsidR="00B7303A" w:rsidRPr="000341FD">
        <w:rPr>
          <w:b/>
        </w:rPr>
        <w:t>Active Overnight Support</w:t>
      </w:r>
      <w:r w:rsidR="00B7303A" w:rsidRPr="000341FD">
        <w:t xml:space="preserve"> </w:t>
      </w:r>
      <w:r w:rsidRPr="000341FD">
        <w:t>–</w:t>
      </w:r>
      <w:r w:rsidR="00B7303A" w:rsidRPr="000341FD">
        <w:t xml:space="preserve"> any support to an individual participant that commences at or before midnight on a weekday and finishes after midnight on that weekday, or commences before 6:00 am on a weekday and finishes on that weekday (unless that support is a Public Holiday Support or a Night-time Sleepover Support).</w:t>
      </w:r>
    </w:p>
    <w:p w:rsidR="00D147C3" w:rsidRPr="00C110ED" w:rsidRDefault="00627827" w:rsidP="00652502">
      <w:pPr>
        <w:pStyle w:val="Heading3"/>
      </w:pPr>
      <w:r w:rsidRPr="00C110ED">
        <w:t>DSW Cost Model Assumptions</w:t>
      </w:r>
    </w:p>
    <w:p w:rsidR="00F236AF" w:rsidRPr="00C110ED" w:rsidRDefault="00F236AF" w:rsidP="00307EFF">
      <w:r w:rsidRPr="00C110ED">
        <w:t>The NDIA has recently released a paper that sets out the methodology and assumptions that underpin its price limits for daily activit</w:t>
      </w:r>
      <w:r w:rsidR="002F51A0">
        <w:t>ies</w:t>
      </w:r>
      <w:r w:rsidRPr="00C110ED">
        <w:t xml:space="preserve"> and community participation supports - see </w:t>
      </w:r>
      <w:hyperlink r:id="rId18" w:history="1">
        <w:r w:rsidRPr="000F722C">
          <w:rPr>
            <w:rStyle w:val="Hyperlink"/>
            <w:i/>
          </w:rPr>
          <w:t>NDIS Cost Model for Disability Support Workers</w:t>
        </w:r>
      </w:hyperlink>
      <w:r w:rsidR="00ED42C9">
        <w:rPr>
          <w:rStyle w:val="Hyperlink"/>
        </w:rPr>
        <w:t xml:space="preserve"> (</w:t>
      </w:r>
      <w:r w:rsidR="007818E4">
        <w:rPr>
          <w:rStyle w:val="Hyperlink"/>
        </w:rPr>
        <w:t xml:space="preserve">NDIS </w:t>
      </w:r>
      <w:r w:rsidR="00ED42C9">
        <w:rPr>
          <w:rStyle w:val="Hyperlink"/>
        </w:rPr>
        <w:t>DSW Cost Model)</w:t>
      </w:r>
      <w:r w:rsidRPr="00C110ED">
        <w:t>.</w:t>
      </w:r>
    </w:p>
    <w:p w:rsidR="00FC66C7" w:rsidRPr="00C110ED" w:rsidRDefault="00FC66C7" w:rsidP="00307EFF">
      <w:r w:rsidRPr="00C110ED">
        <w:t xml:space="preserve">The </w:t>
      </w:r>
      <w:r w:rsidR="00C52E34" w:rsidRPr="00C110ED">
        <w:t xml:space="preserve">NDIS </w:t>
      </w:r>
      <w:r w:rsidRPr="00C110ED">
        <w:t>DSW Cost Model calculates the cost of deploying a DSW based on:</w:t>
      </w:r>
    </w:p>
    <w:p w:rsidR="00FC66C7" w:rsidRPr="00C110ED" w:rsidRDefault="00FC66C7" w:rsidP="00040022">
      <w:pPr>
        <w:numPr>
          <w:ilvl w:val="0"/>
          <w:numId w:val="11"/>
        </w:numPr>
      </w:pPr>
      <w:r w:rsidRPr="00C110ED">
        <w:t xml:space="preserve">The costs of employing the </w:t>
      </w:r>
      <w:r w:rsidR="002176AE" w:rsidRPr="00C110ED">
        <w:t>DSW</w:t>
      </w:r>
      <w:r w:rsidRPr="00C110ED">
        <w:t xml:space="preserve">, including </w:t>
      </w:r>
    </w:p>
    <w:p w:rsidR="00FC66C7" w:rsidRPr="00C110ED" w:rsidRDefault="001956A7" w:rsidP="00040022">
      <w:pPr>
        <w:numPr>
          <w:ilvl w:val="1"/>
          <w:numId w:val="11"/>
        </w:numPr>
      </w:pPr>
      <w:r w:rsidRPr="00C110ED">
        <w:t>Salary</w:t>
      </w:r>
      <w:r w:rsidR="002F51A0">
        <w:t>-</w:t>
      </w:r>
      <w:r w:rsidRPr="00C110ED">
        <w:t>related costs</w:t>
      </w:r>
      <w:r w:rsidR="00FC66C7" w:rsidRPr="00C110ED">
        <w:t>, including</w:t>
      </w:r>
      <w:r w:rsidR="002176AE" w:rsidRPr="00C110ED">
        <w:t xml:space="preserve"> base salary, shift loadings and</w:t>
      </w:r>
      <w:r w:rsidR="00FC66C7" w:rsidRPr="00C110ED">
        <w:t xml:space="preserve"> the costs of annual leave, personal leave and long service leave;</w:t>
      </w:r>
    </w:p>
    <w:p w:rsidR="00FC66C7" w:rsidRPr="00C110ED" w:rsidRDefault="001956A7" w:rsidP="00040022">
      <w:pPr>
        <w:numPr>
          <w:ilvl w:val="1"/>
          <w:numId w:val="11"/>
        </w:numPr>
      </w:pPr>
      <w:r w:rsidRPr="00C110ED">
        <w:t>S</w:t>
      </w:r>
      <w:r w:rsidR="00FC66C7" w:rsidRPr="00C110ED">
        <w:t>alary</w:t>
      </w:r>
      <w:r w:rsidR="002F51A0">
        <w:t>-</w:t>
      </w:r>
      <w:r w:rsidR="00C32E03">
        <w:t>related on-</w:t>
      </w:r>
      <w:r w:rsidR="00FC66C7" w:rsidRPr="00C110ED">
        <w:t>cos</w:t>
      </w:r>
      <w:r w:rsidRPr="00C110ED">
        <w:t>ts</w:t>
      </w:r>
      <w:r w:rsidR="00FC66C7" w:rsidRPr="00C110ED">
        <w:t>, including superannuation and workers compensation;</w:t>
      </w:r>
      <w:r w:rsidR="002176AE" w:rsidRPr="00C110ED">
        <w:t xml:space="preserve"> and</w:t>
      </w:r>
    </w:p>
    <w:p w:rsidR="00FC66C7" w:rsidRPr="00C110ED" w:rsidRDefault="00FC66C7" w:rsidP="00040022">
      <w:pPr>
        <w:numPr>
          <w:ilvl w:val="1"/>
          <w:numId w:val="11"/>
        </w:numPr>
      </w:pPr>
      <w:r w:rsidRPr="00C110ED">
        <w:t xml:space="preserve">Utilisation costs, </w:t>
      </w:r>
      <w:r w:rsidR="001956A7" w:rsidRPr="00C110ED">
        <w:t>as</w:t>
      </w:r>
      <w:r w:rsidRPr="00C110ED">
        <w:t xml:space="preserve"> not all the DSW’s work hours </w:t>
      </w:r>
      <w:r w:rsidR="001956A7" w:rsidRPr="00C110ED">
        <w:t>are</w:t>
      </w:r>
      <w:r w:rsidRPr="00C110ED">
        <w:t xml:space="preserve"> billable hours</w:t>
      </w:r>
      <w:r w:rsidR="002F51A0">
        <w:t>.</w:t>
      </w:r>
    </w:p>
    <w:p w:rsidR="00FC66C7" w:rsidRPr="00C110ED" w:rsidRDefault="00FC66C7" w:rsidP="00040022">
      <w:pPr>
        <w:numPr>
          <w:ilvl w:val="0"/>
          <w:numId w:val="11"/>
        </w:numPr>
      </w:pPr>
      <w:r w:rsidRPr="00C110ED">
        <w:lastRenderedPageBreak/>
        <w:t xml:space="preserve">The costs of employing the </w:t>
      </w:r>
      <w:r w:rsidR="002176AE" w:rsidRPr="00C110ED">
        <w:t>DSW’s</w:t>
      </w:r>
      <w:r w:rsidRPr="00C110ED">
        <w:t xml:space="preserve"> supervisor, including </w:t>
      </w:r>
    </w:p>
    <w:p w:rsidR="00CE6FE8" w:rsidRPr="00C110ED" w:rsidRDefault="00627827" w:rsidP="00040022">
      <w:pPr>
        <w:numPr>
          <w:ilvl w:val="1"/>
          <w:numId w:val="11"/>
        </w:numPr>
      </w:pPr>
      <w:r w:rsidRPr="00C110ED">
        <w:t>Supervision</w:t>
      </w:r>
      <w:r w:rsidR="00CE6FE8" w:rsidRPr="00C110ED">
        <w:t xml:space="preserve"> ratio</w:t>
      </w:r>
      <w:r w:rsidRPr="00C110ED">
        <w:t>;</w:t>
      </w:r>
    </w:p>
    <w:p w:rsidR="00FC66C7" w:rsidRPr="00C110ED" w:rsidRDefault="001956A7" w:rsidP="00040022">
      <w:pPr>
        <w:numPr>
          <w:ilvl w:val="1"/>
          <w:numId w:val="11"/>
        </w:numPr>
      </w:pPr>
      <w:r w:rsidRPr="00C110ED">
        <w:t>Salary</w:t>
      </w:r>
      <w:r w:rsidR="002F51A0">
        <w:t>-</w:t>
      </w:r>
      <w:r w:rsidRPr="00C110ED">
        <w:t>related costs</w:t>
      </w:r>
      <w:r w:rsidR="00FC66C7" w:rsidRPr="00C110ED">
        <w:t xml:space="preserve">, including </w:t>
      </w:r>
      <w:r w:rsidR="002176AE" w:rsidRPr="00C110ED">
        <w:t xml:space="preserve">base salary, shift loadings, and </w:t>
      </w:r>
      <w:r w:rsidR="00FC66C7" w:rsidRPr="00C110ED">
        <w:t>the costs of annual leave, personal leave and long service leave;</w:t>
      </w:r>
    </w:p>
    <w:p w:rsidR="00FC66C7" w:rsidRPr="00C110ED" w:rsidRDefault="001956A7" w:rsidP="00040022">
      <w:pPr>
        <w:numPr>
          <w:ilvl w:val="1"/>
          <w:numId w:val="11"/>
        </w:numPr>
      </w:pPr>
      <w:r w:rsidRPr="00C110ED">
        <w:t>S</w:t>
      </w:r>
      <w:r w:rsidR="00FC66C7" w:rsidRPr="00C110ED">
        <w:t>ala</w:t>
      </w:r>
      <w:r w:rsidRPr="00C110ED">
        <w:t>ry</w:t>
      </w:r>
      <w:r w:rsidR="002F51A0">
        <w:t>-</w:t>
      </w:r>
      <w:r w:rsidR="00CA1AA1">
        <w:t>related on-</w:t>
      </w:r>
      <w:r w:rsidRPr="00C110ED">
        <w:t>costs</w:t>
      </w:r>
      <w:r w:rsidR="00FC66C7" w:rsidRPr="00C110ED">
        <w:t>, including superannuation and workers compensation;</w:t>
      </w:r>
      <w:r w:rsidR="002176AE" w:rsidRPr="00C110ED">
        <w:t xml:space="preserve"> and</w:t>
      </w:r>
    </w:p>
    <w:p w:rsidR="00FC66C7" w:rsidRPr="00C110ED" w:rsidRDefault="00FC66C7" w:rsidP="00040022">
      <w:pPr>
        <w:numPr>
          <w:ilvl w:val="1"/>
          <w:numId w:val="11"/>
        </w:numPr>
      </w:pPr>
      <w:r w:rsidRPr="00C110ED">
        <w:t xml:space="preserve">Utilisation costs, </w:t>
      </w:r>
      <w:r w:rsidR="001956A7" w:rsidRPr="00C110ED">
        <w:t>as</w:t>
      </w:r>
      <w:r w:rsidR="007818E4">
        <w:t xml:space="preserve"> not all of the </w:t>
      </w:r>
      <w:r w:rsidR="00627827" w:rsidRPr="00C110ED">
        <w:t xml:space="preserve">supervisor’s </w:t>
      </w:r>
      <w:r w:rsidRPr="00C110ED">
        <w:t xml:space="preserve">work hours will be </w:t>
      </w:r>
      <w:r w:rsidR="00627827" w:rsidRPr="00C110ED">
        <w:t>spent directly supervising staff engaged in billable hours;</w:t>
      </w:r>
    </w:p>
    <w:p w:rsidR="00FC66C7" w:rsidRPr="00C110ED" w:rsidRDefault="00FC66C7" w:rsidP="00040022">
      <w:pPr>
        <w:numPr>
          <w:ilvl w:val="0"/>
          <w:numId w:val="11"/>
        </w:numPr>
      </w:pPr>
      <w:r w:rsidRPr="00C110ED">
        <w:t>Overheads</w:t>
      </w:r>
      <w:r w:rsidR="002176AE" w:rsidRPr="00C110ED">
        <w:t>; and</w:t>
      </w:r>
    </w:p>
    <w:p w:rsidR="00FC66C7" w:rsidRPr="00C110ED" w:rsidRDefault="002176AE" w:rsidP="00040022">
      <w:pPr>
        <w:numPr>
          <w:ilvl w:val="0"/>
          <w:numId w:val="11"/>
        </w:numPr>
      </w:pPr>
      <w:r w:rsidRPr="00C110ED">
        <w:t xml:space="preserve">Pre-tax </w:t>
      </w:r>
      <w:r w:rsidR="002F51A0">
        <w:t>m</w:t>
      </w:r>
      <w:r w:rsidR="00FC66C7" w:rsidRPr="00C110ED">
        <w:t>argin</w:t>
      </w:r>
      <w:r w:rsidRPr="00C110ED">
        <w:t>.</w:t>
      </w:r>
    </w:p>
    <w:p w:rsidR="00A44A5C" w:rsidRDefault="00627827" w:rsidP="00307EFF">
      <w:r w:rsidRPr="00C110ED">
        <w:t>The following Table</w:t>
      </w:r>
      <w:r w:rsidR="000F722C">
        <w:t xml:space="preserve"> set</w:t>
      </w:r>
      <w:r w:rsidRPr="00C110ED">
        <w:t xml:space="preserve"> out the key assumptions of the </w:t>
      </w:r>
      <w:r w:rsidR="002176AE" w:rsidRPr="00C110ED">
        <w:t xml:space="preserve">current </w:t>
      </w:r>
      <w:r w:rsidRPr="00C110ED">
        <w:t>NDIS DSW Cost Model.</w:t>
      </w:r>
      <w:r w:rsidR="000F722C">
        <w:t xml:space="preserve"> Refer to the </w:t>
      </w:r>
      <w:hyperlink r:id="rId19" w:history="1">
        <w:r w:rsidR="000F722C" w:rsidRPr="000F722C">
          <w:rPr>
            <w:rStyle w:val="Hyperlink"/>
          </w:rPr>
          <w:t>NDIS Cost Model for Disability Support Workers June 2019</w:t>
        </w:r>
      </w:hyperlink>
      <w:r w:rsidR="000F722C">
        <w:t xml:space="preserve">. </w:t>
      </w:r>
    </w:p>
    <w:tbl>
      <w:tblPr>
        <w:tblStyle w:val="GridTable4-Accent4"/>
        <w:tblW w:w="5106" w:type="pct"/>
        <w:tblCellMar>
          <w:left w:w="0" w:type="dxa"/>
          <w:right w:w="0" w:type="dxa"/>
        </w:tblCellMar>
        <w:tblLook w:val="04A0" w:firstRow="1" w:lastRow="0" w:firstColumn="1" w:lastColumn="0" w:noHBand="0" w:noVBand="1"/>
        <w:tblCaption w:val="Current Assumptions for DSW Cost Model"/>
        <w:tblDescription w:val="Assumptions used by the NDIA when calculating the 1:1 price limits for levels 1, 2 and 3 disability support workers."/>
      </w:tblPr>
      <w:tblGrid>
        <w:gridCol w:w="3966"/>
        <w:gridCol w:w="1558"/>
        <w:gridCol w:w="1842"/>
        <w:gridCol w:w="1842"/>
      </w:tblGrid>
      <w:tr w:rsidR="005C673B" w:rsidRPr="00C110ED" w:rsidTr="00F32A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rPr>
                <w:rFonts w:asciiTheme="minorHAnsi" w:hAnsiTheme="minorHAnsi" w:cstheme="minorHAnsi"/>
                <w:sz w:val="16"/>
                <w:szCs w:val="16"/>
              </w:rPr>
            </w:pPr>
          </w:p>
        </w:tc>
        <w:tc>
          <w:tcPr>
            <w:tcW w:w="846" w:type="pct"/>
            <w:vAlign w:val="center"/>
          </w:tcPr>
          <w:p w:rsidR="005C673B" w:rsidRPr="003455BF" w:rsidRDefault="005C673B" w:rsidP="00F32A00">
            <w:pPr>
              <w:spacing w:before="60" w:after="6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Standard</w:t>
            </w:r>
            <w:r w:rsidRPr="003455BF">
              <w:rPr>
                <w:rFonts w:asciiTheme="minorHAnsi" w:hAnsiTheme="minorHAnsi" w:cstheme="minorHAnsi"/>
                <w:sz w:val="16"/>
                <w:szCs w:val="16"/>
              </w:rPr>
              <w:br/>
              <w:t>Support</w:t>
            </w:r>
            <w:r w:rsidRPr="003455BF">
              <w:rPr>
                <w:rFonts w:asciiTheme="minorHAnsi" w:hAnsiTheme="minorHAnsi" w:cstheme="minorHAnsi"/>
                <w:sz w:val="16"/>
                <w:szCs w:val="16"/>
              </w:rPr>
              <w:br/>
              <w:t>(Level 1)</w:t>
            </w:r>
          </w:p>
        </w:tc>
        <w:tc>
          <w:tcPr>
            <w:tcW w:w="1000" w:type="pct"/>
            <w:vAlign w:val="center"/>
          </w:tcPr>
          <w:p w:rsidR="005C673B" w:rsidRPr="003455BF" w:rsidRDefault="005C673B" w:rsidP="00F32A00">
            <w:pPr>
              <w:spacing w:before="60" w:after="6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High Intensity</w:t>
            </w:r>
            <w:r w:rsidRPr="003455BF">
              <w:rPr>
                <w:rFonts w:asciiTheme="minorHAnsi" w:hAnsiTheme="minorHAnsi" w:cstheme="minorHAnsi"/>
                <w:sz w:val="16"/>
                <w:szCs w:val="16"/>
              </w:rPr>
              <w:br/>
              <w:t>Support</w:t>
            </w:r>
            <w:r w:rsidRPr="003455BF">
              <w:rPr>
                <w:rFonts w:asciiTheme="minorHAnsi" w:hAnsiTheme="minorHAnsi" w:cstheme="minorHAnsi"/>
                <w:sz w:val="16"/>
                <w:szCs w:val="16"/>
              </w:rPr>
              <w:br/>
              <w:t>(Level 2)</w:t>
            </w:r>
          </w:p>
        </w:tc>
        <w:tc>
          <w:tcPr>
            <w:tcW w:w="1000" w:type="pct"/>
            <w:vAlign w:val="center"/>
          </w:tcPr>
          <w:p w:rsidR="005C673B" w:rsidRPr="003455BF" w:rsidRDefault="005C673B" w:rsidP="00F32A00">
            <w:pPr>
              <w:spacing w:before="60" w:after="6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Very High Intensity</w:t>
            </w:r>
            <w:r w:rsidRPr="003455BF">
              <w:rPr>
                <w:rFonts w:asciiTheme="minorHAnsi" w:hAnsiTheme="minorHAnsi" w:cstheme="minorHAnsi"/>
                <w:sz w:val="16"/>
                <w:szCs w:val="16"/>
              </w:rPr>
              <w:br/>
              <w:t>Support</w:t>
            </w:r>
            <w:r w:rsidRPr="003455BF">
              <w:rPr>
                <w:rFonts w:asciiTheme="minorHAnsi" w:hAnsiTheme="minorHAnsi" w:cstheme="minorHAnsi"/>
                <w:sz w:val="16"/>
                <w:szCs w:val="16"/>
              </w:rPr>
              <w:br/>
              <w:t>(Level 3)</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Disability Support Worker</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sz w:val="16"/>
                <w:szCs w:val="16"/>
              </w:rPr>
            </w:pPr>
            <w:r w:rsidRPr="003455BF">
              <w:rPr>
                <w:rFonts w:asciiTheme="minorHAnsi" w:hAnsiTheme="minorHAnsi" w:cstheme="minorHAnsi"/>
                <w:sz w:val="16"/>
                <w:szCs w:val="16"/>
              </w:rPr>
              <w:t>Salary costs</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Award Rate from SCHADS Award</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3.2</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4.2</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4.2</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Working Days in Year</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Shift Loadings</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Ratio of permanent to casual (percentage)</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80/20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80/20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80/20</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sz w:val="16"/>
                <w:szCs w:val="16"/>
              </w:rPr>
            </w:pPr>
            <w:r w:rsidRPr="003455BF">
              <w:rPr>
                <w:rFonts w:asciiTheme="minorHAnsi" w:hAnsiTheme="minorHAnsi" w:cstheme="minorHAnsi"/>
                <w:sz w:val="16"/>
                <w:szCs w:val="16"/>
              </w:rPr>
              <w:t>Salary on costs</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Superannuation</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Workers compensation</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b w:val="0"/>
                <w:sz w:val="16"/>
                <w:szCs w:val="16"/>
              </w:rPr>
            </w:pPr>
            <w:r w:rsidRPr="003455BF">
              <w:rPr>
                <w:rFonts w:asciiTheme="minorHAnsi" w:hAnsiTheme="minorHAnsi" w:cstheme="minorHAnsi"/>
                <w:sz w:val="16"/>
                <w:szCs w:val="16"/>
              </w:rPr>
              <w:t>Utilisation rate for DSW</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89.0%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87.7%</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Supervisor</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sz w:val="16"/>
                <w:szCs w:val="16"/>
              </w:rPr>
            </w:pPr>
            <w:r w:rsidRPr="003455BF">
              <w:rPr>
                <w:rFonts w:asciiTheme="minorHAnsi" w:hAnsiTheme="minorHAnsi" w:cstheme="minorHAnsi"/>
                <w:sz w:val="16"/>
                <w:szCs w:val="16"/>
              </w:rPr>
              <w:t>Salary costs</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Classification (SCHADS Award)</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3.2</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4.2</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4.2</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Working Days in Year</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220</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Shift Loadings</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As per Award</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sz w:val="16"/>
                <w:szCs w:val="16"/>
              </w:rPr>
            </w:pPr>
            <w:r w:rsidRPr="003455BF">
              <w:rPr>
                <w:rFonts w:asciiTheme="minorHAnsi" w:hAnsiTheme="minorHAnsi" w:cstheme="minorHAnsi"/>
                <w:sz w:val="16"/>
                <w:szCs w:val="16"/>
              </w:rPr>
              <w:t>Salary on costs</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sz w:val="16"/>
                <w:szCs w:val="16"/>
              </w:rPr>
            </w:pPr>
            <w:r w:rsidRPr="003455BF">
              <w:rPr>
                <w:rFonts w:asciiTheme="minorHAnsi" w:hAnsiTheme="minorHAnsi" w:cstheme="minorHAnsi"/>
                <w:b w:val="0"/>
                <w:sz w:val="16"/>
                <w:szCs w:val="16"/>
              </w:rPr>
              <w:t>Superannuation</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9.5%</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567"/>
              <w:rPr>
                <w:rFonts w:asciiTheme="minorHAnsi" w:hAnsiTheme="minorHAnsi" w:cstheme="minorHAnsi"/>
                <w:b w:val="0"/>
                <w:sz w:val="16"/>
                <w:szCs w:val="16"/>
              </w:rPr>
            </w:pPr>
            <w:r w:rsidRPr="003455BF">
              <w:rPr>
                <w:rFonts w:asciiTheme="minorHAnsi" w:hAnsiTheme="minorHAnsi" w:cstheme="minorHAnsi"/>
                <w:b w:val="0"/>
                <w:sz w:val="16"/>
                <w:szCs w:val="16"/>
              </w:rPr>
              <w:t>Workers compensation</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3.0%</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sz w:val="16"/>
                <w:szCs w:val="16"/>
              </w:rPr>
            </w:pPr>
            <w:r w:rsidRPr="003455BF">
              <w:rPr>
                <w:rFonts w:asciiTheme="minorHAnsi" w:hAnsiTheme="minorHAnsi" w:cstheme="minorHAnsi"/>
                <w:sz w:val="16"/>
                <w:szCs w:val="16"/>
              </w:rPr>
              <w:t>Utilisation rate</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92.0%</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89.0%</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87.7%</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ind w:left="284"/>
              <w:rPr>
                <w:rFonts w:asciiTheme="minorHAnsi" w:hAnsiTheme="minorHAnsi" w:cstheme="minorHAnsi"/>
                <w:b w:val="0"/>
                <w:sz w:val="16"/>
                <w:szCs w:val="16"/>
              </w:rPr>
            </w:pPr>
            <w:r w:rsidRPr="003455BF">
              <w:rPr>
                <w:rFonts w:asciiTheme="minorHAnsi" w:hAnsiTheme="minorHAnsi" w:cstheme="minorHAnsi"/>
                <w:sz w:val="16"/>
                <w:szCs w:val="16"/>
              </w:rPr>
              <w:t>Management ratio (FTE basis)</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1:11</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1:11</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1:11</w:t>
            </w:r>
          </w:p>
        </w:tc>
      </w:tr>
      <w:tr w:rsidR="005C673B" w:rsidRPr="00C110ED" w:rsidTr="00F32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Overheads (ratio to costs)</w:t>
            </w:r>
          </w:p>
        </w:tc>
        <w:tc>
          <w:tcPr>
            <w:tcW w:w="846"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10.5%</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10.5%</w:t>
            </w:r>
          </w:p>
        </w:tc>
        <w:tc>
          <w:tcPr>
            <w:tcW w:w="1000" w:type="pct"/>
            <w:vAlign w:val="center"/>
          </w:tcPr>
          <w:p w:rsidR="005C673B" w:rsidRPr="003455BF" w:rsidRDefault="005C673B" w:rsidP="00F32A00">
            <w:pPr>
              <w:spacing w:before="60" w:after="60" w:line="24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10.5%</w:t>
            </w:r>
          </w:p>
        </w:tc>
      </w:tr>
      <w:tr w:rsidR="005C673B" w:rsidRPr="00C110ED" w:rsidTr="00F32A00">
        <w:tc>
          <w:tcPr>
            <w:cnfStyle w:val="001000000000" w:firstRow="0" w:lastRow="0" w:firstColumn="1" w:lastColumn="0" w:oddVBand="0" w:evenVBand="0" w:oddHBand="0" w:evenHBand="0" w:firstRowFirstColumn="0" w:firstRowLastColumn="0" w:lastRowFirstColumn="0" w:lastRowLastColumn="0"/>
            <w:tcW w:w="2154" w:type="pct"/>
            <w:vAlign w:val="center"/>
          </w:tcPr>
          <w:p w:rsidR="005C673B" w:rsidRPr="003455BF" w:rsidRDefault="005C673B" w:rsidP="00F32A00">
            <w:pPr>
              <w:spacing w:before="60" w:after="60" w:line="240" w:lineRule="atLeast"/>
              <w:rPr>
                <w:rFonts w:asciiTheme="minorHAnsi" w:hAnsiTheme="minorHAnsi" w:cstheme="minorHAnsi"/>
                <w:sz w:val="16"/>
                <w:szCs w:val="16"/>
              </w:rPr>
            </w:pPr>
            <w:r w:rsidRPr="003455BF">
              <w:rPr>
                <w:rFonts w:asciiTheme="minorHAnsi" w:hAnsiTheme="minorHAnsi" w:cstheme="minorHAnsi"/>
                <w:sz w:val="16"/>
                <w:szCs w:val="16"/>
              </w:rPr>
              <w:t>Pre-tax margin (ratio to costs + overheads)</w:t>
            </w:r>
          </w:p>
        </w:tc>
        <w:tc>
          <w:tcPr>
            <w:tcW w:w="846"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2.0%</w:t>
            </w:r>
          </w:p>
        </w:tc>
        <w:tc>
          <w:tcPr>
            <w:tcW w:w="1000" w:type="pct"/>
            <w:vAlign w:val="center"/>
          </w:tcPr>
          <w:p w:rsidR="005C673B" w:rsidRPr="003455BF" w:rsidRDefault="005C673B" w:rsidP="00F32A00">
            <w:pPr>
              <w:spacing w:before="60" w:after="60" w:line="24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2.0%</w:t>
            </w:r>
          </w:p>
        </w:tc>
      </w:tr>
    </w:tbl>
    <w:p w:rsidR="00625A21" w:rsidRPr="00C110ED" w:rsidRDefault="00544A05" w:rsidP="00B12551">
      <w:pPr>
        <w:pStyle w:val="Heading2"/>
        <w:numPr>
          <w:ilvl w:val="0"/>
          <w:numId w:val="0"/>
        </w:numPr>
        <w:ind w:left="576" w:hanging="576"/>
      </w:pPr>
      <w:bookmarkStart w:id="20" w:name="_Toc25182173"/>
      <w:r w:rsidRPr="00C110ED">
        <w:lastRenderedPageBreak/>
        <w:t>Issues</w:t>
      </w:r>
      <w:bookmarkEnd w:id="20"/>
    </w:p>
    <w:p w:rsidR="002350CA" w:rsidRPr="00C110ED" w:rsidRDefault="007256A6" w:rsidP="00307EFF">
      <w:r w:rsidRPr="00C110ED">
        <w:t>Stakeholders</w:t>
      </w:r>
      <w:r w:rsidR="002350CA" w:rsidRPr="00C110ED">
        <w:t xml:space="preserve"> have raised a number of issues with the current arrangements, including:</w:t>
      </w:r>
    </w:p>
    <w:p w:rsidR="001956A7" w:rsidRPr="00C110ED" w:rsidRDefault="001956A7" w:rsidP="00040022">
      <w:pPr>
        <w:numPr>
          <w:ilvl w:val="0"/>
          <w:numId w:val="11"/>
        </w:numPr>
      </w:pPr>
      <w:r w:rsidRPr="00C110ED">
        <w:t xml:space="preserve">Whether the assumed mix of permanent </w:t>
      </w:r>
      <w:r w:rsidR="002F51A0">
        <w:t xml:space="preserve">to casual </w:t>
      </w:r>
      <w:r w:rsidRPr="00C110ED">
        <w:t>workers is reasonable?</w:t>
      </w:r>
    </w:p>
    <w:p w:rsidR="001956A7" w:rsidRPr="00C110ED" w:rsidRDefault="001956A7" w:rsidP="00040022">
      <w:pPr>
        <w:numPr>
          <w:ilvl w:val="0"/>
          <w:numId w:val="11"/>
        </w:numPr>
      </w:pPr>
      <w:r w:rsidRPr="00C110ED">
        <w:t>Whether the assumed utilisation rates are reasonable?</w:t>
      </w:r>
    </w:p>
    <w:p w:rsidR="00AE1AD6" w:rsidRPr="00C110ED" w:rsidRDefault="002350CA" w:rsidP="00040022">
      <w:pPr>
        <w:numPr>
          <w:ilvl w:val="0"/>
          <w:numId w:val="11"/>
        </w:numPr>
      </w:pPr>
      <w:r w:rsidRPr="00C110ED">
        <w:t xml:space="preserve">Whether </w:t>
      </w:r>
      <w:r w:rsidR="001956A7" w:rsidRPr="00C110ED">
        <w:t xml:space="preserve">the provision for overheads </w:t>
      </w:r>
      <w:r w:rsidR="002F51A0">
        <w:t>are</w:t>
      </w:r>
      <w:r w:rsidR="001956A7" w:rsidRPr="00C110ED">
        <w:t xml:space="preserve"> adequate?</w:t>
      </w:r>
    </w:p>
    <w:p w:rsidR="00AE1AD6" w:rsidRDefault="00AE1AD6" w:rsidP="009D5640">
      <w:r w:rsidRPr="00C110ED">
        <w:t xml:space="preserve">The </w:t>
      </w:r>
      <w:r w:rsidR="00180401">
        <w:rPr>
          <w:i/>
        </w:rPr>
        <w:t>Annual Price Review</w:t>
      </w:r>
      <w:r w:rsidRPr="00C110ED">
        <w:rPr>
          <w:i/>
        </w:rPr>
        <w:t xml:space="preserve"> 2020-21</w:t>
      </w:r>
      <w:r w:rsidRPr="00C110ED">
        <w:t xml:space="preserve"> is seeking the views of stakeholders on these issues and on any other issues that stakeholders wish to raise.</w:t>
      </w:r>
    </w:p>
    <w:p w:rsidR="00391374" w:rsidRPr="00EB7DBA" w:rsidRDefault="00391374"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bookmarkStart w:id="21" w:name="_Toc5290939"/>
      <w:r w:rsidRPr="007818E4">
        <w:rPr>
          <w:b/>
        </w:rPr>
        <w:t>3. GUIDE QUESTIONS</w:t>
      </w:r>
    </w:p>
    <w:p w:rsidR="00391374" w:rsidRPr="007818E4" w:rsidRDefault="00391374"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rPr>
          <w:b/>
        </w:rPr>
        <w:t>High Intensity and Standard Intensity Supports</w:t>
      </w:r>
    </w:p>
    <w:p w:rsidR="00391374" w:rsidRPr="00EB7DBA"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For High Intensity Supports, is it easy to determine whether the Level 1, Level 2 or Level 3 price limits apply to a given s</w:t>
      </w:r>
      <w:r w:rsidRPr="00EB7DBA">
        <w:t>upport? If not, how can this be made clearer?</w:t>
      </w:r>
    </w:p>
    <w:p w:rsidR="00391374" w:rsidRPr="00EB7DBA"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Are there any other issues with High Intensity Supports that you would like to raise?</w:t>
      </w:r>
    </w:p>
    <w:p w:rsidR="00391374" w:rsidRPr="007818E4" w:rsidRDefault="00391374"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7818E4">
        <w:rPr>
          <w:b/>
        </w:rPr>
        <w:t>Time of Day and Day of Week</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Is it easy to determine whether the Public Holiday, Saturday, Sunday, Weekday</w:t>
      </w:r>
      <w:r w:rsidR="00B936ED" w:rsidRPr="007818E4">
        <w:t xml:space="preserve"> Daytime</w:t>
      </w:r>
      <w:r w:rsidRPr="007818E4">
        <w:t>, Weekday Afternoon or Weekday Night price limit applies to a given support? If not, how can this be made clearer?</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Are there any other issues with the definitions of Public Holiday Supports, Saturday Supports, Sunday Supports, Weekday </w:t>
      </w:r>
      <w:r w:rsidR="00B936ED" w:rsidRPr="007818E4">
        <w:t xml:space="preserve">Daytime </w:t>
      </w:r>
      <w:r w:rsidRPr="007818E4">
        <w:t>Supports, Weekday Afternoon Supports or Weekday Night Supports that you would like to raise?</w:t>
      </w:r>
    </w:p>
    <w:p w:rsidR="00391374" w:rsidRPr="007818E4" w:rsidRDefault="00391374"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7818E4">
        <w:rPr>
          <w:b/>
        </w:rPr>
        <w:t>Disability Support Worker Cost Model</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Is the </w:t>
      </w:r>
      <w:r w:rsidR="00ED42C9" w:rsidRPr="007818E4">
        <w:t xml:space="preserve">DSW </w:t>
      </w:r>
      <w:r w:rsidRPr="007818E4">
        <w:t>Cost Model assumption about the mix of casual and permanent staff appropriate? If not, how should it be modified and why?</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In the </w:t>
      </w:r>
      <w:r w:rsidR="00ED42C9" w:rsidRPr="007818E4">
        <w:t xml:space="preserve">DSW </w:t>
      </w:r>
      <w:r w:rsidRPr="007818E4">
        <w:t xml:space="preserve">Cost Model, utilisation refers to the share of working hours (other than when on leave) that are spent in delivering services (billable hours). Are the </w:t>
      </w:r>
      <w:r w:rsidR="00ED42C9" w:rsidRPr="007818E4">
        <w:t xml:space="preserve">DSW </w:t>
      </w:r>
      <w:r w:rsidRPr="007818E4">
        <w:t>Cost Model assumptions about utilisation appropriate? If not, how should they be modified and why?</w:t>
      </w:r>
    </w:p>
    <w:p w:rsidR="00391374" w:rsidRPr="003116CB"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In the </w:t>
      </w:r>
      <w:r w:rsidR="00ED42C9" w:rsidRPr="007818E4">
        <w:t xml:space="preserve">DSW </w:t>
      </w:r>
      <w:r w:rsidRPr="007818E4">
        <w:t xml:space="preserve">Cost Model, the supervision ratio refers to the ratio of disability care workers to direct supervisors, measured on a </w:t>
      </w:r>
      <w:r w:rsidR="00ED42C9" w:rsidRPr="007818E4">
        <w:t>Full Time Equivalent (</w:t>
      </w:r>
      <w:r w:rsidRPr="007818E4">
        <w:t>FTE</w:t>
      </w:r>
      <w:r w:rsidR="00ED42C9" w:rsidRPr="007818E4">
        <w:t>)</w:t>
      </w:r>
      <w:r w:rsidRPr="007818E4">
        <w:t xml:space="preserve"> basis. Are the supervision ratio assumptions in the </w:t>
      </w:r>
      <w:r w:rsidR="00ED42C9" w:rsidRPr="007818E4">
        <w:t xml:space="preserve">DSW </w:t>
      </w:r>
      <w:r w:rsidRPr="007818E4">
        <w:t>Cost Model appropriate? If not, what not and</w:t>
      </w:r>
      <w:r w:rsidR="001450BE">
        <w:t xml:space="preserve"> </w:t>
      </w:r>
      <w:r w:rsidRPr="003116CB">
        <w:t>what evidence?</w:t>
      </w:r>
    </w:p>
    <w:p w:rsidR="00391374" w:rsidRPr="00EB7DBA"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 xml:space="preserve">Currently the </w:t>
      </w:r>
      <w:r w:rsidR="00ED42C9" w:rsidRPr="00EB7DBA">
        <w:t xml:space="preserve">DSW </w:t>
      </w:r>
      <w:r w:rsidRPr="00EB7DBA">
        <w:t>Cost Model makes the same assumptions about the mix of casual and permanent staff, utilisation and supervision ratios for every day of the week, and for all level of workers. Is this reasonable? If not, how should they be modified and why?</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Does your organisation pay allowances to disability support workers on top of their salaries? If yes, then what allowances do you pay and how much are these allowances worth relative to the salary of the DSW?</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Does your organisation pay payroll tax? If yes, how much payroll tax did you pay in 2018-19? How was this calculated?</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What was your organisation’s expenditure on workers compensation premiums in 2018-19? How was this calculated?</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In the </w:t>
      </w:r>
      <w:r w:rsidR="00ED42C9" w:rsidRPr="007818E4">
        <w:t xml:space="preserve">DSW </w:t>
      </w:r>
      <w:r w:rsidRPr="007818E4">
        <w:t>Cost Model, corporate overheads refer to all costs unrelated to the salaries and salary on-costs of direct care staff and their direct supervisors. What was the level of your corporate overheads in 2018-19 expressed as a percentage of all expenditure on the delivery of NDIS supports? Please provide details of the makeup of these overheads.</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lastRenderedPageBreak/>
        <w:t xml:space="preserve">In the </w:t>
      </w:r>
      <w:r w:rsidR="00ED42C9" w:rsidRPr="007818E4">
        <w:t xml:space="preserve">DSW </w:t>
      </w:r>
      <w:r w:rsidRPr="007818E4">
        <w:t>Cost Model, margin refers to the excess of revenue (from the NDIS) over expenditure on the delivery of NDIS supports. What was the level of your margin in 2018-19 expressed as a percentage of all expe</w:t>
      </w:r>
      <w:r w:rsidR="007818E4">
        <w:t xml:space="preserve">nditure on the delivery of NDIS </w:t>
      </w:r>
      <w:r w:rsidRPr="007818E4">
        <w:t>supports?</w:t>
      </w:r>
    </w:p>
    <w:p w:rsidR="00391374" w:rsidRPr="007818E4" w:rsidRDefault="00391374" w:rsidP="007818E4">
      <w:pPr>
        <w:pStyle w:val="IntenseQuote"/>
        <w:numPr>
          <w:ilvl w:val="0"/>
          <w:numId w:val="46"/>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Are there any other issues with the price limits for 1:1 core supports or with the assumptions in the DSW Cost Model?</w:t>
      </w:r>
    </w:p>
    <w:p w:rsidR="00F32A00" w:rsidRDefault="00F32A00" w:rsidP="007818E4"/>
    <w:p w:rsidR="007818E4" w:rsidRPr="007818E4" w:rsidRDefault="007818E4" w:rsidP="007818E4">
      <w:pPr>
        <w:sectPr w:rsidR="007818E4" w:rsidRPr="007818E4" w:rsidSect="0094258D">
          <w:pgSz w:w="11907" w:h="16839" w:code="9"/>
          <w:pgMar w:top="1440" w:right="1440" w:bottom="1440" w:left="1440" w:header="709" w:footer="709" w:gutter="0"/>
          <w:cols w:space="708"/>
          <w:titlePg/>
          <w:docGrid w:linePitch="360"/>
        </w:sectPr>
      </w:pPr>
    </w:p>
    <w:p w:rsidR="00CE091F" w:rsidRPr="00C110ED" w:rsidRDefault="003B450C" w:rsidP="009D5640">
      <w:pPr>
        <w:pStyle w:val="Heading1"/>
      </w:pPr>
      <w:bookmarkStart w:id="22" w:name="_Ref23256506"/>
      <w:bookmarkStart w:id="23" w:name="_Toc25182174"/>
      <w:r w:rsidRPr="00C110ED">
        <w:lastRenderedPageBreak/>
        <w:t>Price limits for g</w:t>
      </w:r>
      <w:r w:rsidR="00CA1AA1">
        <w:t>roup-</w:t>
      </w:r>
      <w:r w:rsidR="00D33D18" w:rsidRPr="00C110ED">
        <w:t>b</w:t>
      </w:r>
      <w:r w:rsidR="00CE091F" w:rsidRPr="00C110ED">
        <w:t xml:space="preserve">ased </w:t>
      </w:r>
      <w:r w:rsidR="00104EB4" w:rsidRPr="00C110ED">
        <w:t xml:space="preserve">core </w:t>
      </w:r>
      <w:r w:rsidR="00CE091F" w:rsidRPr="00C110ED">
        <w:t>supports</w:t>
      </w:r>
      <w:bookmarkEnd w:id="21"/>
      <w:bookmarkEnd w:id="22"/>
      <w:bookmarkEnd w:id="23"/>
    </w:p>
    <w:p w:rsidR="00457522" w:rsidRPr="00C110ED" w:rsidRDefault="00457522" w:rsidP="00B12551">
      <w:pPr>
        <w:pStyle w:val="Heading2"/>
        <w:numPr>
          <w:ilvl w:val="0"/>
          <w:numId w:val="0"/>
        </w:numPr>
        <w:ind w:left="576" w:hanging="576"/>
      </w:pPr>
      <w:bookmarkStart w:id="24" w:name="_Toc25182175"/>
      <w:r w:rsidRPr="00C110ED">
        <w:t>Current arrangements</w:t>
      </w:r>
      <w:bookmarkEnd w:id="24"/>
    </w:p>
    <w:p w:rsidR="00180457" w:rsidRPr="00C110ED" w:rsidRDefault="00180457" w:rsidP="00180457">
      <w:r w:rsidRPr="00C110ED">
        <w:t xml:space="preserve">The </w:t>
      </w:r>
      <w:r w:rsidR="002F51A0">
        <w:t>National Disability Insurance Scheme (</w:t>
      </w:r>
      <w:r w:rsidRPr="00C110ED">
        <w:t>NDIS</w:t>
      </w:r>
      <w:r w:rsidR="002F51A0">
        <w:t>)</w:t>
      </w:r>
      <w:r w:rsidRPr="00C110ED">
        <w:t xml:space="preserve"> price limits for group supports delivered by Disability Support Workers </w:t>
      </w:r>
      <w:r w:rsidR="002F51A0" w:rsidRPr="00C110ED">
        <w:t>(DSWs)</w:t>
      </w:r>
      <w:r w:rsidR="002F51A0">
        <w:t xml:space="preserve"> </w:t>
      </w:r>
      <w:r w:rsidRPr="00C110ED">
        <w:t xml:space="preserve">and their equivalents in the Assistance with Daily Life (Daily Activities) Support Category and the Assistance with Social and Community Participation (Community Participation) Support Category vary according to the same factors as 1:1 supports and two additional factors: </w:t>
      </w:r>
    </w:p>
    <w:p w:rsidR="00C56B30" w:rsidRPr="00C110ED" w:rsidRDefault="00C56B30" w:rsidP="00040022">
      <w:pPr>
        <w:numPr>
          <w:ilvl w:val="0"/>
          <w:numId w:val="11"/>
        </w:numPr>
      </w:pPr>
      <w:r w:rsidRPr="00C110ED">
        <w:t xml:space="preserve">Price limits vary according to the </w:t>
      </w:r>
      <w:r w:rsidRPr="00C110ED">
        <w:rPr>
          <w:b/>
        </w:rPr>
        <w:t>ratio of support workers to participants</w:t>
      </w:r>
      <w:r w:rsidR="00A739DF" w:rsidRPr="00C110ED">
        <w:rPr>
          <w:b/>
        </w:rPr>
        <w:t xml:space="preserve"> </w:t>
      </w:r>
      <w:r w:rsidR="00A739DF" w:rsidRPr="00C110ED">
        <w:t>– t</w:t>
      </w:r>
      <w:r w:rsidRPr="00C110ED">
        <w:t>here are different price limits for 1:2; 1:3; 1:4 and 1:5 suppo</w:t>
      </w:r>
      <w:r w:rsidR="00A739DF" w:rsidRPr="00C110ED">
        <w:t>rts; and</w:t>
      </w:r>
    </w:p>
    <w:p w:rsidR="00C56B30" w:rsidRPr="00C110ED" w:rsidRDefault="00C56B30" w:rsidP="00040022">
      <w:pPr>
        <w:numPr>
          <w:ilvl w:val="0"/>
          <w:numId w:val="11"/>
        </w:numPr>
      </w:pPr>
      <w:r w:rsidRPr="00C110ED">
        <w:t>Price limits also vary depending on whether the support is delivered in a centre or in the community.</w:t>
      </w:r>
    </w:p>
    <w:p w:rsidR="00C56B30" w:rsidRPr="00C110ED" w:rsidRDefault="00C56B30" w:rsidP="00652502">
      <w:pPr>
        <w:pStyle w:val="Heading3"/>
      </w:pPr>
      <w:r w:rsidRPr="00C110ED">
        <w:t>Community</w:t>
      </w:r>
      <w:r w:rsidR="00CA1AA1">
        <w:t>-</w:t>
      </w:r>
      <w:r w:rsidRPr="00C110ED">
        <w:t>Based Group Supports</w:t>
      </w:r>
    </w:p>
    <w:p w:rsidR="00C56B30" w:rsidRDefault="00CA1AA1" w:rsidP="00C56B30">
      <w:r>
        <w:t>The price limit for community-</w:t>
      </w:r>
      <w:r w:rsidR="00C56B30" w:rsidRPr="00C110ED">
        <w:t>based group supports apply to each hour of support and are based on the price limit of the relevant 1:1 community participation support (for each level of support and time of day and day of week).</w:t>
      </w:r>
      <w:r w:rsidR="00A739DF" w:rsidRPr="00C110ED">
        <w:t xml:space="preserve"> </w:t>
      </w:r>
      <w:r w:rsidR="00C56B30" w:rsidRPr="00C110ED">
        <w:t xml:space="preserve">The price limit for the relevant 1:1 support is P then the price limit </w:t>
      </w:r>
      <w:proofErr w:type="spellStart"/>
      <w:r w:rsidR="00C56B30" w:rsidRPr="00C110ED">
        <w:t>P</w:t>
      </w:r>
      <w:r w:rsidR="00C56B30" w:rsidRPr="00C110ED">
        <w:rPr>
          <w:vertAlign w:val="subscript"/>
        </w:rPr>
        <w:t>n</w:t>
      </w:r>
      <w:proofErr w:type="spellEnd"/>
      <w:r w:rsidR="00C56B30" w:rsidRPr="00C110ED">
        <w:t xml:space="preserve"> for the 1</w:t>
      </w:r>
      <w:proofErr w:type="gramStart"/>
      <w:r w:rsidR="00C56B30" w:rsidRPr="00C110ED">
        <w:t>:n</w:t>
      </w:r>
      <w:proofErr w:type="gramEnd"/>
      <w:r w:rsidR="00C56B30" w:rsidRPr="00C110ED">
        <w:t xml:space="preserve"> community based support is:</w:t>
      </w:r>
    </w:p>
    <w:p w:rsidR="00DD57BF" w:rsidRDefault="00DD57BF" w:rsidP="00DD57BF">
      <w:pPr>
        <w:jc w:val="center"/>
      </w:pPr>
      <w:r w:rsidRPr="00F411F2">
        <w:rPr>
          <w:noProof/>
          <w:lang w:eastAsia="en-AU"/>
        </w:rPr>
        <w:drawing>
          <wp:inline distT="0" distB="0" distL="0" distR="0" wp14:anchorId="3AA13299" wp14:editId="782680D5">
            <wp:extent cx="2458085" cy="680484"/>
            <wp:effectExtent l="0" t="0" r="0" b="5715"/>
            <wp:docPr id="1" name="Picture 1" descr="Group-based supports formula for price limit calculation &#10;This image displays the methodology for calculating the group-based supports price limits.&#10;&#10;P_n=(P+(n-1)∙0.12∙P)/n&#10;&#10;where P is the price limit, and n is the number of participants in th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iastaff.ndia.gov.au\Data\Users\NAT\L\LM0032\Documents\My Received Files\648F56A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8085" cy="680484"/>
                    </a:xfrm>
                    <a:prstGeom prst="rect">
                      <a:avLst/>
                    </a:prstGeom>
                    <a:noFill/>
                    <a:ln>
                      <a:noFill/>
                    </a:ln>
                  </pic:spPr>
                </pic:pic>
              </a:graphicData>
            </a:graphic>
          </wp:inline>
        </w:drawing>
      </w:r>
    </w:p>
    <w:p w:rsidR="00990616" w:rsidRPr="00C110ED" w:rsidRDefault="00990616" w:rsidP="00C56B30">
      <w:r w:rsidRPr="00C110ED">
        <w:t>For each additional person in the group (after the first) an additional 12</w:t>
      </w:r>
      <w:r w:rsidR="00D0491E">
        <w:t xml:space="preserve"> per cent</w:t>
      </w:r>
      <w:r w:rsidRPr="00C110ED">
        <w:t xml:space="preserve"> of the 1:1 price limit </w:t>
      </w:r>
      <w:r w:rsidR="00B75C38" w:rsidRPr="00C110ED">
        <w:t xml:space="preserve">(essentially seven minutes) </w:t>
      </w:r>
      <w:r w:rsidRPr="00C110ED">
        <w:t xml:space="preserve">is added to the price limit. This reflects the time that the provider may need to spend </w:t>
      </w:r>
      <w:r w:rsidR="00B75C38" w:rsidRPr="00C110ED">
        <w:t>writing a report</w:t>
      </w:r>
      <w:r w:rsidRPr="00C110ED">
        <w:t xml:space="preserve"> on each participant in the group after the group has finished.</w:t>
      </w:r>
      <w:r w:rsidR="003455BF">
        <w:t xml:space="preserve"> </w:t>
      </w:r>
      <w:r w:rsidRPr="00C110ED">
        <w:t>Because of this bu</w:t>
      </w:r>
      <w:r w:rsidR="0094258D" w:rsidRPr="00C110ED">
        <w:t>ilt-</w:t>
      </w:r>
      <w:r w:rsidRPr="00C110ED">
        <w:t xml:space="preserve">in loading, providers of group based </w:t>
      </w:r>
      <w:r w:rsidR="0094258D" w:rsidRPr="00C110ED">
        <w:t>supports are not permitted to b</w:t>
      </w:r>
      <w:r w:rsidRPr="00C110ED">
        <w:t>ill for non-face-to-face time.</w:t>
      </w:r>
      <w:r w:rsidR="00843389">
        <w:t xml:space="preserve"> For 1:1 supports, non-face-to-face activities are part of delivering a specific disability support to that participant (rather than a general activity such as enrolment, administration or staff rostering).</w:t>
      </w:r>
    </w:p>
    <w:p w:rsidR="0094258D" w:rsidRPr="00C110ED" w:rsidRDefault="0094258D" w:rsidP="00C56B30">
      <w:r w:rsidRPr="00C110ED">
        <w:t>The NDIS Price Guide and Support Catalogue also provides that</w:t>
      </w:r>
      <w:r w:rsidR="003F33B9">
        <w:t>:</w:t>
      </w:r>
    </w:p>
    <w:p w:rsidR="0094258D" w:rsidRPr="00C110ED" w:rsidRDefault="0094258D" w:rsidP="0094258D">
      <w:pPr>
        <w:ind w:left="720"/>
        <w:rPr>
          <w:i/>
        </w:rPr>
      </w:pPr>
      <w:r w:rsidRPr="00C110ED">
        <w:rPr>
          <w:i/>
        </w:rPr>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rsidR="00180457" w:rsidRPr="00C110ED" w:rsidRDefault="00C56B30" w:rsidP="00652502">
      <w:pPr>
        <w:pStyle w:val="Heading3"/>
      </w:pPr>
      <w:r w:rsidRPr="00C110ED">
        <w:t>Centre</w:t>
      </w:r>
      <w:r w:rsidR="00D0491E">
        <w:t>-</w:t>
      </w:r>
      <w:r w:rsidRPr="00C110ED">
        <w:t>Based Group Supports</w:t>
      </w:r>
    </w:p>
    <w:p w:rsidR="00C56B30" w:rsidRPr="00C110ED" w:rsidRDefault="00C56B30" w:rsidP="00C56B30">
      <w:r w:rsidRPr="00C110ED">
        <w:t>The price limit for centre</w:t>
      </w:r>
      <w:r w:rsidR="00D0491E">
        <w:t>-</w:t>
      </w:r>
      <w:r w:rsidRPr="00C110ED">
        <w:t>based group supports are calculated by adding a fixed capital allowance amount to the relevant community based group support.</w:t>
      </w:r>
      <w:r w:rsidR="0094258D" w:rsidRPr="00C110ED">
        <w:t xml:space="preserve"> </w:t>
      </w:r>
      <w:r w:rsidRPr="00C110ED">
        <w:t>In 2019-20, the amount of the fixed capital allowance was $2.10 per participant per hour.</w:t>
      </w:r>
      <w:r w:rsidR="0094258D" w:rsidRPr="00C110ED">
        <w:t xml:space="preserve"> </w:t>
      </w:r>
      <w:r w:rsidRPr="00C110ED">
        <w:t xml:space="preserve">The amount of the fixed </w:t>
      </w:r>
      <w:r w:rsidRPr="00C110ED">
        <w:lastRenderedPageBreak/>
        <w:t>capital allowance is indexed on 1 July each year in line with movements in the Consumer Price Index</w:t>
      </w:r>
      <w:r w:rsidR="00D0491E">
        <w:t xml:space="preserve"> (CPI)</w:t>
      </w:r>
      <w:r w:rsidRPr="00C110ED">
        <w:t>.</w:t>
      </w:r>
    </w:p>
    <w:p w:rsidR="00457522" w:rsidRPr="00C110ED" w:rsidRDefault="00457522" w:rsidP="00B12551">
      <w:pPr>
        <w:pStyle w:val="Heading2"/>
        <w:numPr>
          <w:ilvl w:val="0"/>
          <w:numId w:val="0"/>
        </w:numPr>
        <w:ind w:left="576" w:hanging="576"/>
      </w:pPr>
      <w:bookmarkStart w:id="25" w:name="_Toc25182176"/>
      <w:r w:rsidRPr="00C110ED">
        <w:t>Issues</w:t>
      </w:r>
      <w:bookmarkEnd w:id="25"/>
    </w:p>
    <w:p w:rsidR="00A739DF" w:rsidRPr="00C110ED" w:rsidRDefault="00A739DF" w:rsidP="00307EFF">
      <w:r w:rsidRPr="00C110ED">
        <w:t>Some stakeholders have expressed a concern that t</w:t>
      </w:r>
      <w:r w:rsidR="0094258D" w:rsidRPr="00C110ED">
        <w:t>he current price control arrangements for group</w:t>
      </w:r>
      <w:r w:rsidR="00D0491E">
        <w:t>-</w:t>
      </w:r>
      <w:r w:rsidR="0094258D" w:rsidRPr="00C110ED">
        <w:t xml:space="preserve">based supports provide an unintended incentive for larger groups. </w:t>
      </w:r>
      <w:r w:rsidR="00B75C38" w:rsidRPr="00C110ED">
        <w:t>Other stakeholders have suggested that</w:t>
      </w:r>
      <w:r w:rsidRPr="00C110ED">
        <w:t xml:space="preserve"> the </w:t>
      </w:r>
      <w:r w:rsidR="00416A90" w:rsidRPr="00C110ED">
        <w:t>“built</w:t>
      </w:r>
      <w:r w:rsidRPr="00C110ED">
        <w:t>-in” allowance f</w:t>
      </w:r>
      <w:r w:rsidR="00416A90" w:rsidRPr="00C110ED">
        <w:t>o</w:t>
      </w:r>
      <w:r w:rsidRPr="00C110ED">
        <w:t xml:space="preserve">r non-face to </w:t>
      </w:r>
      <w:r w:rsidR="00416A90" w:rsidRPr="00C110ED">
        <w:t>face</w:t>
      </w:r>
      <w:r w:rsidRPr="00C110ED">
        <w:t xml:space="preserve"> time, while possibly appropriate for supports that are only one hour long, may not be appropriate for longer support. </w:t>
      </w:r>
      <w:r w:rsidR="00416A90" w:rsidRPr="00C110ED">
        <w:t>A provider delivering a 1:5 support to five participants for four hours, for example, is effectively paid for 5.9 hours of work, as the current arrangements assume that they will spend 28.8 minutes of no</w:t>
      </w:r>
      <w:r w:rsidR="00D0491E">
        <w:t>n</w:t>
      </w:r>
      <w:r w:rsidR="00416A90" w:rsidRPr="00C110ED">
        <w:t>-face-to-face time for every participant in the group (after the first participant).</w:t>
      </w:r>
    </w:p>
    <w:p w:rsidR="00416A90" w:rsidRPr="00C110ED" w:rsidRDefault="00416A90" w:rsidP="00307EFF">
      <w:r w:rsidRPr="00C110ED">
        <w:t>An alternative approach would be for the base price for 1</w:t>
      </w:r>
      <w:proofErr w:type="gramStart"/>
      <w:r w:rsidRPr="00C110ED">
        <w:t>:n</w:t>
      </w:r>
      <w:proofErr w:type="gramEnd"/>
      <w:r w:rsidRPr="00C110ED">
        <w:t xml:space="preserve"> supports to be calculated as a simple proportion (1/n) of the base price of 1:1 supports</w:t>
      </w:r>
      <w:r w:rsidR="00AD2755" w:rsidRPr="00C110ED">
        <w:t xml:space="preserve"> </w:t>
      </w:r>
      <w:r w:rsidRPr="00C110ED">
        <w:t>but allow providers to bill for any non-face-to-face supports that they actually provided.</w:t>
      </w:r>
    </w:p>
    <w:p w:rsidR="00416A90" w:rsidRPr="00C110ED" w:rsidRDefault="00416A90" w:rsidP="003455BF">
      <w:r w:rsidRPr="00C110ED">
        <w:t>S</w:t>
      </w:r>
      <w:r w:rsidR="003455BF">
        <w:t>ome s</w:t>
      </w:r>
      <w:r w:rsidRPr="00C110ED">
        <w:t>takeholders have also</w:t>
      </w:r>
      <w:r w:rsidR="001A6084" w:rsidRPr="00C110ED">
        <w:t xml:space="preserve"> </w:t>
      </w:r>
      <w:r w:rsidR="003455BF">
        <w:t>expressed concerns that t</w:t>
      </w:r>
      <w:r w:rsidRPr="00C110ED">
        <w:t>he capital allowance is too small and should vary according to the quality of the infrastructure being used to deliver the services.</w:t>
      </w:r>
      <w:r w:rsidR="003455BF">
        <w:t xml:space="preserve"> Conversely, other stakeholders </w:t>
      </w:r>
      <w:r w:rsidR="003455BF" w:rsidRPr="00C110ED">
        <w:t xml:space="preserve">have </w:t>
      </w:r>
      <w:r w:rsidR="003455BF">
        <w:t>expressed concerns that t</w:t>
      </w:r>
      <w:r w:rsidR="00AE1AD6" w:rsidRPr="00C110ED">
        <w:t>he capital allowance i</w:t>
      </w:r>
      <w:r w:rsidRPr="00C110ED">
        <w:t>s too large and provides an unintended in</w:t>
      </w:r>
      <w:r w:rsidR="009E3A25">
        <w:t>c</w:t>
      </w:r>
      <w:r w:rsidRPr="00C110ED">
        <w:t>entive for centre</w:t>
      </w:r>
      <w:r w:rsidR="00D0491E">
        <w:t>-</w:t>
      </w:r>
      <w:r w:rsidRPr="00C110ED">
        <w:t>based supports.</w:t>
      </w:r>
    </w:p>
    <w:p w:rsidR="00AE1AD6" w:rsidRDefault="00AE1AD6" w:rsidP="00AE1AD6">
      <w:r w:rsidRPr="00C110ED">
        <w:t xml:space="preserve">The </w:t>
      </w:r>
      <w:r w:rsidR="00180401">
        <w:rPr>
          <w:i/>
        </w:rPr>
        <w:t>Annual Price Review</w:t>
      </w:r>
      <w:r w:rsidRPr="00C110ED">
        <w:rPr>
          <w:i/>
        </w:rPr>
        <w:t xml:space="preserve"> 2020-21</w:t>
      </w:r>
      <w:r w:rsidRPr="00C110ED">
        <w:t xml:space="preserve"> is seeking the views of stakeholders on these issues and on any other issues that stakeholders wish to raise.</w:t>
      </w:r>
    </w:p>
    <w:p w:rsidR="00BE30C2" w:rsidRPr="00EB7DBA"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7818E4">
        <w:rPr>
          <w:b/>
        </w:rPr>
        <w:t>4. GUIDE QUESTIONS</w:t>
      </w:r>
    </w:p>
    <w:p w:rsidR="00BE30C2" w:rsidRPr="007818E4"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3116CB">
        <w:rPr>
          <w:b/>
        </w:rPr>
        <w:t>Group-based supports</w:t>
      </w:r>
    </w:p>
    <w:p w:rsidR="00BE30C2" w:rsidRPr="003116CB" w:rsidRDefault="00BE30C2" w:rsidP="007818E4">
      <w:pPr>
        <w:pStyle w:val="IntenseQuote"/>
        <w:numPr>
          <w:ilvl w:val="0"/>
          <w:numId w:val="47"/>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What additional administrative tasks, if any, are involved with delivering support to participants who engage in your group-based activities? How long do these tasks take, expressed as a proportion of the time spent delivering the support?</w:t>
      </w:r>
    </w:p>
    <w:p w:rsidR="00BE30C2" w:rsidRPr="00EB7DBA" w:rsidRDefault="00BE30C2" w:rsidP="007818E4">
      <w:pPr>
        <w:pStyle w:val="IntenseQuote"/>
        <w:numPr>
          <w:ilvl w:val="0"/>
          <w:numId w:val="47"/>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Are these additional costs best dealt with:</w:t>
      </w:r>
    </w:p>
    <w:p w:rsidR="00BE30C2" w:rsidRPr="007818E4"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firstLine="360"/>
      </w:pPr>
      <w:r w:rsidRPr="00EB7DBA">
        <w:t xml:space="preserve">a) Developing a separate </w:t>
      </w:r>
      <w:r w:rsidR="00DE6257" w:rsidRPr="00EB7DBA">
        <w:t xml:space="preserve">DSW </w:t>
      </w:r>
      <w:r w:rsidRPr="00EB7DBA">
        <w:t>Cost Model for Group-Based Supports with different utilisation, supervision and overhead assumptions. If this is the preferred approach then what different assumptions should be made with respect to these key variables and why?</w:t>
      </w:r>
    </w:p>
    <w:p w:rsidR="00BE30C2" w:rsidRPr="007818E4"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firstLine="360"/>
      </w:pPr>
      <w:r w:rsidRPr="007818E4">
        <w:t>b) Moving to a simpler ratio-based approach to setting group-based price limits, and allowing providers to claim for non-face-to-face time.</w:t>
      </w:r>
    </w:p>
    <w:p w:rsidR="00BE30C2" w:rsidRPr="007818E4"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firstLine="360"/>
      </w:pPr>
      <w:r w:rsidRPr="007818E4">
        <w:t>c) Maintaining the current approach, of an in-built administration time in each group support. If this is the preferred approach then should the amount of administration time be fixed for each group support or be longer for longer supports?</w:t>
      </w:r>
    </w:p>
    <w:p w:rsidR="00BE30C2" w:rsidRPr="007818E4" w:rsidRDefault="00BE30C2"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7818E4">
        <w:rPr>
          <w:b/>
        </w:rPr>
        <w:t>Capital Allowance</w:t>
      </w:r>
    </w:p>
    <w:p w:rsidR="00F06C86" w:rsidRPr="003455BF" w:rsidRDefault="00BE30C2" w:rsidP="007818E4">
      <w:pPr>
        <w:pStyle w:val="IntenseQuote"/>
        <w:numPr>
          <w:ilvl w:val="0"/>
          <w:numId w:val="47"/>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Are the current capital allowance arrangements for group-based supports adequate? If not, how would you change </w:t>
      </w:r>
      <w:r w:rsidRPr="003455BF">
        <w:t>them, and why?</w:t>
      </w:r>
    </w:p>
    <w:p w:rsidR="00F06C86" w:rsidRPr="003455BF" w:rsidRDefault="00F06C86" w:rsidP="007818E4">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3455BF">
        <w:rPr>
          <w:b/>
        </w:rPr>
        <w:t>Other issues</w:t>
      </w:r>
    </w:p>
    <w:p w:rsidR="00BE30C2" w:rsidRPr="003455BF" w:rsidRDefault="00F06C86" w:rsidP="007F5326">
      <w:pPr>
        <w:pStyle w:val="IntenseQuote"/>
        <w:numPr>
          <w:ilvl w:val="0"/>
          <w:numId w:val="47"/>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455BF">
        <w:t>Are there any other issues with</w:t>
      </w:r>
      <w:r>
        <w:t xml:space="preserve"> the price limits for group based core </w:t>
      </w:r>
      <w:r w:rsidRPr="003455BF">
        <w:t>supports?</w:t>
      </w:r>
    </w:p>
    <w:p w:rsidR="007818E4" w:rsidRDefault="007818E4" w:rsidP="00307EFF">
      <w:pPr>
        <w:pStyle w:val="Heading1"/>
        <w:sectPr w:rsidR="007818E4" w:rsidSect="0094258D">
          <w:pgSz w:w="11907" w:h="16839" w:code="9"/>
          <w:pgMar w:top="1440" w:right="1440" w:bottom="1440" w:left="1440" w:header="709" w:footer="709" w:gutter="0"/>
          <w:cols w:space="708"/>
          <w:titlePg/>
          <w:docGrid w:linePitch="360"/>
        </w:sectPr>
      </w:pPr>
      <w:bookmarkStart w:id="26" w:name="_Ref24369119"/>
      <w:bookmarkStart w:id="27" w:name="_Toc25182177"/>
    </w:p>
    <w:p w:rsidR="00CE091F" w:rsidRPr="008745ED" w:rsidRDefault="00CE091F" w:rsidP="00307EFF">
      <w:pPr>
        <w:pStyle w:val="Heading1"/>
      </w:pPr>
      <w:r w:rsidRPr="008745ED">
        <w:lastRenderedPageBreak/>
        <w:t>Capacity Building Supports</w:t>
      </w:r>
      <w:bookmarkEnd w:id="26"/>
      <w:bookmarkEnd w:id="27"/>
    </w:p>
    <w:p w:rsidR="006331B8" w:rsidRPr="00C110ED" w:rsidRDefault="006331B8" w:rsidP="006331B8">
      <w:pPr>
        <w:pStyle w:val="Heading2"/>
        <w:numPr>
          <w:ilvl w:val="0"/>
          <w:numId w:val="0"/>
        </w:numPr>
        <w:ind w:left="576" w:hanging="576"/>
      </w:pPr>
      <w:bookmarkStart w:id="28" w:name="_Toc25182178"/>
      <w:r w:rsidRPr="008745ED">
        <w:t>Current arrangements</w:t>
      </w:r>
      <w:bookmarkEnd w:id="28"/>
    </w:p>
    <w:p w:rsidR="00F120AD" w:rsidRDefault="00D0491E" w:rsidP="00F120AD">
      <w:r>
        <w:t xml:space="preserve">National Disability Insurance Scheme (NDIS) </w:t>
      </w:r>
      <w:r w:rsidR="00652502" w:rsidRPr="00C110ED">
        <w:t>Capacity Building supports</w:t>
      </w:r>
      <w:r w:rsidR="007C7FAB">
        <w:t xml:space="preserve"> are supports that</w:t>
      </w:r>
      <w:r w:rsidR="00F120AD" w:rsidRPr="00F120AD">
        <w:t xml:space="preserve"> enable a participant to build their independence and skills.</w:t>
      </w:r>
      <w:r w:rsidR="00652502" w:rsidRPr="00C110ED">
        <w:t xml:space="preserve"> </w:t>
      </w:r>
      <w:r w:rsidR="00F120AD">
        <w:t>The capacity building categories are:</w:t>
      </w:r>
    </w:p>
    <w:p w:rsidR="00F120AD" w:rsidRDefault="00F120AD" w:rsidP="00F120AD">
      <w:pPr>
        <w:numPr>
          <w:ilvl w:val="0"/>
          <w:numId w:val="11"/>
        </w:numPr>
      </w:pPr>
      <w:r>
        <w:t>Support Coordination</w:t>
      </w:r>
    </w:p>
    <w:p w:rsidR="00F120AD" w:rsidRDefault="00F120AD" w:rsidP="00F120AD">
      <w:pPr>
        <w:numPr>
          <w:ilvl w:val="0"/>
          <w:numId w:val="11"/>
        </w:numPr>
      </w:pPr>
      <w:r>
        <w:t xml:space="preserve">Improved Living Arrangements – </w:t>
      </w:r>
      <w:r>
        <w:softHyphen/>
        <w:t xml:space="preserve">support to help a participant </w:t>
      </w:r>
      <w:r w:rsidRPr="00F120AD">
        <w:t>find and mainta</w:t>
      </w:r>
      <w:r>
        <w:t>in an appropriate place to live;</w:t>
      </w:r>
    </w:p>
    <w:p w:rsidR="00F120AD" w:rsidRDefault="00F120AD" w:rsidP="00F120AD">
      <w:pPr>
        <w:numPr>
          <w:ilvl w:val="0"/>
          <w:numId w:val="11"/>
        </w:numPr>
      </w:pPr>
      <w:r>
        <w:t xml:space="preserve">Increased Social and Community Participation – development </w:t>
      </w:r>
      <w:r w:rsidRPr="00441689">
        <w:t>and training to increase a participant’s skills so they can participate in community, social and recreational activities;</w:t>
      </w:r>
    </w:p>
    <w:p w:rsidR="00F120AD" w:rsidRDefault="00F120AD" w:rsidP="00F120AD">
      <w:pPr>
        <w:numPr>
          <w:ilvl w:val="0"/>
          <w:numId w:val="11"/>
        </w:numPr>
      </w:pPr>
      <w:r>
        <w:t>Finding and Keeping a Job –</w:t>
      </w:r>
      <w:r w:rsidR="00D0491E">
        <w:t xml:space="preserve"> </w:t>
      </w:r>
      <w:r w:rsidRPr="00F120AD">
        <w:t xml:space="preserve">employment-related support, training and assessments that help </w:t>
      </w:r>
      <w:r>
        <w:t>a participant</w:t>
      </w:r>
      <w:r w:rsidRPr="00F120AD">
        <w:t xml:space="preserve"> find and keep a job</w:t>
      </w:r>
      <w:r>
        <w:t>;</w:t>
      </w:r>
    </w:p>
    <w:p w:rsidR="00F120AD" w:rsidRDefault="00F120AD" w:rsidP="00F120AD">
      <w:pPr>
        <w:numPr>
          <w:ilvl w:val="0"/>
          <w:numId w:val="11"/>
        </w:numPr>
      </w:pPr>
      <w:r>
        <w:t xml:space="preserve">Improved Relationships – support to help a participant </w:t>
      </w:r>
      <w:r w:rsidRPr="00441689">
        <w:t>develop positive behaviours and interact with others;</w:t>
      </w:r>
    </w:p>
    <w:p w:rsidR="00F120AD" w:rsidRPr="00F120AD" w:rsidRDefault="00F120AD" w:rsidP="00F120AD">
      <w:pPr>
        <w:numPr>
          <w:ilvl w:val="0"/>
          <w:numId w:val="11"/>
        </w:numPr>
      </w:pPr>
      <w:r>
        <w:t xml:space="preserve">Improved Health and Wellbeing – </w:t>
      </w:r>
      <w:r w:rsidRPr="00441689">
        <w:t>including exercise or diet advice to manage the impact of the participant’s disability;</w:t>
      </w:r>
    </w:p>
    <w:p w:rsidR="00F120AD" w:rsidRDefault="00F120AD" w:rsidP="00F120AD">
      <w:pPr>
        <w:numPr>
          <w:ilvl w:val="0"/>
          <w:numId w:val="11"/>
        </w:numPr>
      </w:pPr>
      <w:r>
        <w:t>Improved Learning –</w:t>
      </w:r>
      <w:r>
        <w:softHyphen/>
        <w:t xml:space="preserve"> including </w:t>
      </w:r>
      <w:r w:rsidRPr="00441689">
        <w:t>training, advice and help for the participant to move from school to further education;</w:t>
      </w:r>
    </w:p>
    <w:p w:rsidR="00F120AD" w:rsidRDefault="00F120AD" w:rsidP="00F120AD">
      <w:pPr>
        <w:numPr>
          <w:ilvl w:val="0"/>
          <w:numId w:val="11"/>
        </w:numPr>
      </w:pPr>
      <w:r>
        <w:t xml:space="preserve">Improved Life Choices – </w:t>
      </w:r>
      <w:r w:rsidRPr="00441689">
        <w:t>plan management to help the participant manage their plan, funding and paying for services;</w:t>
      </w:r>
    </w:p>
    <w:p w:rsidR="00F120AD" w:rsidRDefault="00F120AD" w:rsidP="00F120AD">
      <w:pPr>
        <w:numPr>
          <w:ilvl w:val="0"/>
          <w:numId w:val="11"/>
        </w:numPr>
      </w:pPr>
      <w:r>
        <w:t xml:space="preserve">Improved Daily Living Skills – </w:t>
      </w:r>
      <w:r w:rsidR="007E2389">
        <w:t>a</w:t>
      </w:r>
      <w:r w:rsidRPr="00F120AD">
        <w:t xml:space="preserve">ssessment, training or therapy to help increase </w:t>
      </w:r>
      <w:r>
        <w:t>the participant’s</w:t>
      </w:r>
      <w:r w:rsidRPr="00F120AD">
        <w:t xml:space="preserve"> skills, independen</w:t>
      </w:r>
      <w:r>
        <w:t>ce and community participation.</w:t>
      </w:r>
    </w:p>
    <w:p w:rsidR="00910838" w:rsidRDefault="00910838" w:rsidP="00D0491E">
      <w:r w:rsidRPr="00441689">
        <w:t>Capacity building supports fall into two broad categories:</w:t>
      </w:r>
    </w:p>
    <w:p w:rsidR="00CD51A4" w:rsidRPr="00910838" w:rsidRDefault="00652502" w:rsidP="00910838">
      <w:pPr>
        <w:numPr>
          <w:ilvl w:val="0"/>
          <w:numId w:val="11"/>
        </w:numPr>
      </w:pPr>
      <w:r w:rsidRPr="00C110ED">
        <w:t xml:space="preserve">Therapy supports, including </w:t>
      </w:r>
      <w:r w:rsidR="00D0491E" w:rsidRPr="008745ED">
        <w:rPr>
          <w:color w:val="000000" w:themeColor="text1"/>
        </w:rPr>
        <w:t>Early Intervention Supports for Early Childhood</w:t>
      </w:r>
      <w:r w:rsidR="00D0491E" w:rsidRPr="00C110ED">
        <w:t xml:space="preserve"> </w:t>
      </w:r>
      <w:r w:rsidR="00D0491E">
        <w:t>(</w:t>
      </w:r>
      <w:r w:rsidRPr="00C110ED">
        <w:t>ECEI</w:t>
      </w:r>
      <w:r w:rsidR="00D0491E">
        <w:t>)</w:t>
      </w:r>
      <w:r w:rsidRPr="00C110ED">
        <w:t xml:space="preserve"> supports – these supports are delivered by t</w:t>
      </w:r>
      <w:r w:rsidR="00910838">
        <w:t xml:space="preserve">he following </w:t>
      </w:r>
      <w:r w:rsidR="00910838" w:rsidRPr="008745ED">
        <w:rPr>
          <w:color w:val="000000" w:themeColor="text1"/>
        </w:rPr>
        <w:t xml:space="preserve">registration groups: </w:t>
      </w:r>
      <w:r w:rsidRPr="008745ED">
        <w:rPr>
          <w:color w:val="000000" w:themeColor="text1"/>
        </w:rPr>
        <w:t>Therapeutic Supports (0128)</w:t>
      </w:r>
      <w:r w:rsidR="00910838" w:rsidRPr="008745ED">
        <w:rPr>
          <w:color w:val="000000" w:themeColor="text1"/>
        </w:rPr>
        <w:t xml:space="preserve">; </w:t>
      </w:r>
      <w:r w:rsidRPr="008745ED">
        <w:rPr>
          <w:color w:val="000000" w:themeColor="text1"/>
        </w:rPr>
        <w:t>Early Intervention Supports for Early Childhood (0118)</w:t>
      </w:r>
      <w:r w:rsidR="00910838" w:rsidRPr="008745ED">
        <w:rPr>
          <w:color w:val="000000" w:themeColor="text1"/>
        </w:rPr>
        <w:t xml:space="preserve">; </w:t>
      </w:r>
      <w:r w:rsidRPr="008745ED">
        <w:rPr>
          <w:color w:val="000000" w:themeColor="text1"/>
        </w:rPr>
        <w:t>Community Nursing Care (0114)</w:t>
      </w:r>
      <w:r w:rsidR="00910838" w:rsidRPr="008745ED">
        <w:rPr>
          <w:color w:val="000000" w:themeColor="text1"/>
        </w:rPr>
        <w:t xml:space="preserve">; </w:t>
      </w:r>
      <w:r w:rsidR="00CD51A4" w:rsidRPr="008745ED">
        <w:rPr>
          <w:color w:val="000000" w:themeColor="text1"/>
        </w:rPr>
        <w:t xml:space="preserve">Customised </w:t>
      </w:r>
      <w:r w:rsidR="00D0491E">
        <w:rPr>
          <w:color w:val="000000" w:themeColor="text1"/>
        </w:rPr>
        <w:t>P</w:t>
      </w:r>
      <w:r w:rsidR="00CD51A4" w:rsidRPr="008745ED">
        <w:rPr>
          <w:color w:val="000000" w:themeColor="text1"/>
        </w:rPr>
        <w:t xml:space="preserve">rosthetics </w:t>
      </w:r>
      <w:r w:rsidR="00910838" w:rsidRPr="008745ED">
        <w:rPr>
          <w:color w:val="000000" w:themeColor="text1"/>
        </w:rPr>
        <w:t>(</w:t>
      </w:r>
      <w:r w:rsidR="00CD51A4" w:rsidRPr="008745ED">
        <w:rPr>
          <w:color w:val="000000" w:themeColor="text1"/>
        </w:rPr>
        <w:t>0135</w:t>
      </w:r>
      <w:r w:rsidR="00910838" w:rsidRPr="008745ED">
        <w:rPr>
          <w:color w:val="000000" w:themeColor="text1"/>
        </w:rPr>
        <w:t xml:space="preserve">); </w:t>
      </w:r>
      <w:r w:rsidR="00CD51A4" w:rsidRPr="00910838">
        <w:rPr>
          <w:color w:val="000000" w:themeColor="text1"/>
        </w:rPr>
        <w:t xml:space="preserve">Exercise Physiology &amp; Personal Well-being Activities </w:t>
      </w:r>
      <w:r w:rsidR="006460E3" w:rsidRPr="00910838">
        <w:rPr>
          <w:color w:val="000000" w:themeColor="text1"/>
        </w:rPr>
        <w:t>(0</w:t>
      </w:r>
      <w:r w:rsidR="00CD51A4" w:rsidRPr="00910838">
        <w:rPr>
          <w:color w:val="000000" w:themeColor="text1"/>
        </w:rPr>
        <w:t>126</w:t>
      </w:r>
      <w:r w:rsidR="006460E3" w:rsidRPr="00910838">
        <w:rPr>
          <w:color w:val="000000" w:themeColor="text1"/>
        </w:rPr>
        <w:t>)</w:t>
      </w:r>
      <w:r w:rsidR="00910838" w:rsidRPr="00910838">
        <w:rPr>
          <w:color w:val="000000" w:themeColor="text1"/>
        </w:rPr>
        <w:t xml:space="preserve">; and </w:t>
      </w:r>
      <w:r w:rsidR="00CD51A4" w:rsidRPr="00910838">
        <w:rPr>
          <w:color w:val="000000" w:themeColor="text1"/>
        </w:rPr>
        <w:t xml:space="preserve">Specialist Positive Behaviour Support </w:t>
      </w:r>
      <w:r w:rsidR="006460E3" w:rsidRPr="00910838">
        <w:rPr>
          <w:color w:val="000000" w:themeColor="text1"/>
        </w:rPr>
        <w:t>(0</w:t>
      </w:r>
      <w:r w:rsidR="00CD51A4" w:rsidRPr="00910838">
        <w:rPr>
          <w:color w:val="000000" w:themeColor="text1"/>
        </w:rPr>
        <w:t>110</w:t>
      </w:r>
      <w:r w:rsidR="006460E3" w:rsidRPr="00910838">
        <w:rPr>
          <w:color w:val="000000" w:themeColor="text1"/>
        </w:rPr>
        <w:t>)</w:t>
      </w:r>
      <w:r w:rsidR="00910838">
        <w:rPr>
          <w:color w:val="000000" w:themeColor="text1"/>
        </w:rPr>
        <w:t>;</w:t>
      </w:r>
      <w:r w:rsidR="00D0491E">
        <w:rPr>
          <w:color w:val="000000" w:themeColor="text1"/>
        </w:rPr>
        <w:t xml:space="preserve"> and</w:t>
      </w:r>
    </w:p>
    <w:p w:rsidR="00910838" w:rsidRPr="00910838" w:rsidRDefault="00910838" w:rsidP="00910838">
      <w:pPr>
        <w:numPr>
          <w:ilvl w:val="0"/>
          <w:numId w:val="11"/>
        </w:numPr>
      </w:pPr>
      <w:r>
        <w:rPr>
          <w:color w:val="000000" w:themeColor="text1"/>
        </w:rPr>
        <w:t>All other capacity</w:t>
      </w:r>
      <w:r w:rsidR="00D0491E">
        <w:rPr>
          <w:color w:val="000000" w:themeColor="text1"/>
        </w:rPr>
        <w:t>-</w:t>
      </w:r>
      <w:r>
        <w:rPr>
          <w:color w:val="000000" w:themeColor="text1"/>
        </w:rPr>
        <w:t>building supports.</w:t>
      </w:r>
    </w:p>
    <w:p w:rsidR="00DB0837" w:rsidRPr="00C110ED" w:rsidRDefault="00910838" w:rsidP="00652502">
      <w:r>
        <w:t xml:space="preserve">The price limits for the therapy supports were recently comprehensively reviewed through the </w:t>
      </w:r>
      <w:r w:rsidRPr="00910838">
        <w:rPr>
          <w:i/>
        </w:rPr>
        <w:t xml:space="preserve">Review of Therapy </w:t>
      </w:r>
      <w:r w:rsidR="009F40F7">
        <w:rPr>
          <w:i/>
        </w:rPr>
        <w:t>Pricing Arrangements</w:t>
      </w:r>
      <w:r>
        <w:t xml:space="preserve">. </w:t>
      </w:r>
    </w:p>
    <w:p w:rsidR="006331B8" w:rsidRDefault="006331B8" w:rsidP="006331B8">
      <w:pPr>
        <w:pStyle w:val="Heading2"/>
        <w:numPr>
          <w:ilvl w:val="0"/>
          <w:numId w:val="0"/>
        </w:numPr>
        <w:ind w:left="576" w:hanging="576"/>
      </w:pPr>
      <w:bookmarkStart w:id="29" w:name="_Toc25182179"/>
      <w:r w:rsidRPr="00C110ED">
        <w:lastRenderedPageBreak/>
        <w:t>Issues</w:t>
      </w:r>
      <w:bookmarkEnd w:id="29"/>
    </w:p>
    <w:p w:rsidR="006460E3" w:rsidRDefault="006460E3" w:rsidP="006460E3">
      <w:r>
        <w:t>Some stakeholders have raised a number of issues with the current price control arrangements for capacity building supports, including:</w:t>
      </w:r>
    </w:p>
    <w:p w:rsidR="00BB4335" w:rsidRDefault="00BB4335" w:rsidP="00BB4335">
      <w:pPr>
        <w:numPr>
          <w:ilvl w:val="0"/>
          <w:numId w:val="11"/>
        </w:numPr>
      </w:pPr>
      <w:r>
        <w:t xml:space="preserve">Whether the price limits for capacity building supports </w:t>
      </w:r>
      <w:r w:rsidR="007C7FAB" w:rsidRPr="00FD3819">
        <w:t xml:space="preserve">represent value for money for </w:t>
      </w:r>
      <w:r w:rsidR="003F33B9" w:rsidRPr="00FD3819">
        <w:t>participants</w:t>
      </w:r>
      <w:r w:rsidR="007C7FAB" w:rsidRPr="00FD3819">
        <w:t xml:space="preserve"> and allow providers to recover the costs of delivering these supports?</w:t>
      </w:r>
    </w:p>
    <w:p w:rsidR="006460E3" w:rsidRDefault="006460E3" w:rsidP="006460E3">
      <w:pPr>
        <w:numPr>
          <w:ilvl w:val="0"/>
          <w:numId w:val="11"/>
        </w:numPr>
      </w:pPr>
      <w:r>
        <w:t>W</w:t>
      </w:r>
      <w:r w:rsidRPr="00C110ED">
        <w:t xml:space="preserve">hether different price limits might be appropriate for different times </w:t>
      </w:r>
      <w:r w:rsidR="009E3A25">
        <w:t xml:space="preserve">of </w:t>
      </w:r>
      <w:r w:rsidRPr="00C110ED">
        <w:t>the day, or days of the week, for some capacity building supports, including for therapy assistants and capacity building supports delivered by disability support workers</w:t>
      </w:r>
      <w:r w:rsidR="00910838">
        <w:t>?</w:t>
      </w:r>
    </w:p>
    <w:p w:rsidR="00556048" w:rsidRPr="00C110ED" w:rsidRDefault="00556048" w:rsidP="00556048">
      <w:pPr>
        <w:numPr>
          <w:ilvl w:val="0"/>
          <w:numId w:val="11"/>
        </w:numPr>
      </w:pPr>
      <w:r>
        <w:t xml:space="preserve">Whether </w:t>
      </w:r>
      <w:r w:rsidRPr="00C110ED">
        <w:t>therapists and other capacity</w:t>
      </w:r>
      <w:r w:rsidR="00D0491E">
        <w:t>-</w:t>
      </w:r>
      <w:r w:rsidRPr="00C110ED">
        <w:t xml:space="preserve">building providers </w:t>
      </w:r>
      <w:r>
        <w:t xml:space="preserve">should be able </w:t>
      </w:r>
      <w:r w:rsidRPr="00C110ED">
        <w:t>to recover the costs of consumables provided to participants as part of a support</w:t>
      </w:r>
      <w:r>
        <w:t>? Currently, if providers of capacity building supports also want to claim for the cost of any consumables used in the delivery of the support then they are also required to register for the</w:t>
      </w:r>
      <w:r w:rsidRPr="00C110ED">
        <w:t xml:space="preserve"> </w:t>
      </w:r>
      <w:r>
        <w:t xml:space="preserve">relevant assistive technology and equipment </w:t>
      </w:r>
      <w:r w:rsidRPr="00C110ED">
        <w:t>registration group</w:t>
      </w:r>
      <w:r>
        <w:t xml:space="preserve">. Some stakeholders have argued that </w:t>
      </w:r>
      <w:r w:rsidRPr="00C110ED">
        <w:t xml:space="preserve">providers of therapy and other capacity building supports </w:t>
      </w:r>
      <w:r>
        <w:t>should be able to</w:t>
      </w:r>
      <w:r w:rsidRPr="00C110ED">
        <w:t xml:space="preserve"> recover the costs of consumables provided to the par</w:t>
      </w:r>
      <w:r>
        <w:t>ticipant as part of the primary support.</w:t>
      </w:r>
    </w:p>
    <w:p w:rsidR="006F39E8" w:rsidRDefault="006F39E8" w:rsidP="006460E3">
      <w:pPr>
        <w:numPr>
          <w:ilvl w:val="0"/>
          <w:numId w:val="11"/>
        </w:numPr>
      </w:pPr>
      <w:r>
        <w:t xml:space="preserve">Whether the current indexation arrangements for the price limits for capacity building supports appropriately maintain their value? </w:t>
      </w:r>
      <w:r w:rsidRPr="00C110ED">
        <w:t>Currently</w:t>
      </w:r>
      <w:r>
        <w:t>,</w:t>
      </w:r>
      <w:r w:rsidRPr="00C110ED">
        <w:t xml:space="preserve"> the price limits for </w:t>
      </w:r>
      <w:r>
        <w:t>capacity building supports</w:t>
      </w:r>
      <w:r w:rsidRPr="00C110ED">
        <w:t xml:space="preserve"> are increased on 1 July each year in line the </w:t>
      </w:r>
      <w:r>
        <w:t xml:space="preserve">weighted increase </w:t>
      </w:r>
      <w:r w:rsidRPr="00C110ED">
        <w:t xml:space="preserve">over the previous twelve months in the </w:t>
      </w:r>
      <w:r w:rsidR="00D0491E">
        <w:t>Australian Bureau of Statistics (</w:t>
      </w:r>
      <w:r w:rsidRPr="00C110ED">
        <w:t>ABS</w:t>
      </w:r>
      <w:r w:rsidR="00D0491E">
        <w:t>)</w:t>
      </w:r>
      <w:r w:rsidRPr="00C110ED">
        <w:t xml:space="preserve"> Wage Price Index </w:t>
      </w:r>
      <w:r w:rsidR="00D0491E">
        <w:t xml:space="preserve">(WPI) </w:t>
      </w:r>
      <w:r w:rsidRPr="00C110ED">
        <w:t>(ABS 6354.0)</w:t>
      </w:r>
      <w:r>
        <w:t xml:space="preserve"> and the Consumer Price Index </w:t>
      </w:r>
      <w:r w:rsidR="00D0491E">
        <w:t xml:space="preserve">(CPI) </w:t>
      </w:r>
      <w:r>
        <w:t>(with an 80/20 weighting)</w:t>
      </w:r>
      <w:r w:rsidRPr="00C110ED">
        <w:t xml:space="preserve">. </w:t>
      </w:r>
    </w:p>
    <w:p w:rsidR="00EB2A67" w:rsidRDefault="007F6F3B" w:rsidP="00EB2A67">
      <w:r w:rsidRPr="00C110ED">
        <w:t xml:space="preserve">The </w:t>
      </w:r>
      <w:r w:rsidR="00180401">
        <w:rPr>
          <w:i/>
        </w:rPr>
        <w:t>Annual Price Review</w:t>
      </w:r>
      <w:r w:rsidRPr="00C110ED">
        <w:rPr>
          <w:i/>
        </w:rPr>
        <w:t xml:space="preserve"> 2020-21</w:t>
      </w:r>
      <w:r w:rsidRPr="00C110ED">
        <w:t xml:space="preserve"> is seeking the views of stakeholders on these issues and on any other issues t</w:t>
      </w:r>
      <w:r w:rsidR="00910838">
        <w:t>hat stakeholders wish to raise.</w:t>
      </w:r>
      <w:bookmarkStart w:id="30" w:name="_Ref23256544"/>
      <w:bookmarkStart w:id="31" w:name="_Ref24369092"/>
    </w:p>
    <w:p w:rsidR="00ED242A" w:rsidRPr="00EB7DBA" w:rsidRDefault="00ED242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2A67">
        <w:rPr>
          <w:b/>
        </w:rPr>
        <w:t>5. GUIDE QUESTIONS</w:t>
      </w:r>
    </w:p>
    <w:p w:rsidR="00ED242A" w:rsidRPr="00EB2A67" w:rsidRDefault="00ED242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rPr>
          <w:b/>
        </w:rPr>
        <w:t>Capacity Building Price Limits</w:t>
      </w:r>
    </w:p>
    <w:p w:rsidR="00ED242A" w:rsidRPr="003116CB" w:rsidRDefault="00ED242A" w:rsidP="00EB2A67">
      <w:pPr>
        <w:pStyle w:val="IntenseQuote"/>
        <w:numPr>
          <w:ilvl w:val="0"/>
          <w:numId w:val="48"/>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Are the current price limits for capacity building supports adequate? If not, why not? Please provide evidence. How should the National Disability Insurance Agency (NDIA) determine price limits for non-therapy capacity building supports?</w:t>
      </w:r>
    </w:p>
    <w:p w:rsidR="00ED242A" w:rsidRPr="00EB7DBA" w:rsidRDefault="00ED242A" w:rsidP="00EB2A67">
      <w:pPr>
        <w:pStyle w:val="IntenseQuote"/>
        <w:numPr>
          <w:ilvl w:val="0"/>
          <w:numId w:val="48"/>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 xml:space="preserve"> Should different price limits be introduced for capacity building supports delivered at different times of the day and days of the week, in line with the arrangements for core supports? If so, for which capacity- building supports should these differential price limits be introduced? How should they be calculated? Please provide evidence – for example, if award provisions drive salary costs for specific types of capacity building workers.</w:t>
      </w:r>
    </w:p>
    <w:p w:rsidR="00ED242A" w:rsidRPr="007818E4" w:rsidRDefault="00ED242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7818E4">
        <w:rPr>
          <w:b/>
        </w:rPr>
        <w:t>Consumables</w:t>
      </w:r>
    </w:p>
    <w:p w:rsidR="00ED242A" w:rsidRPr="00EB2A67" w:rsidRDefault="00ED242A" w:rsidP="00EB2A67">
      <w:pPr>
        <w:pStyle w:val="IntenseQuote"/>
        <w:numPr>
          <w:ilvl w:val="0"/>
          <w:numId w:val="48"/>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7818E4">
        <w:t xml:space="preserve"> Should the NDIA allow capacity-building providers to recover the cost of consumables as part of the service delivery costs in cases where this is a necessary part of the support offering? How should these costs be factored into the NDIS price control arrangements? How would any Safety and Quality issues be managed under this arrangement?</w:t>
      </w:r>
    </w:p>
    <w:p w:rsidR="00ED242A" w:rsidRPr="00EB2A67" w:rsidRDefault="00ED242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Indexation</w:t>
      </w:r>
    </w:p>
    <w:p w:rsidR="00ED242A" w:rsidRPr="00EB2A67" w:rsidRDefault="00ED242A" w:rsidP="00EB2A67">
      <w:pPr>
        <w:pStyle w:val="IntenseQuote"/>
        <w:numPr>
          <w:ilvl w:val="0"/>
          <w:numId w:val="48"/>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lastRenderedPageBreak/>
        <w:t xml:space="preserve"> Do the current indexation arrangements for the price limits for capacity building supports appropriately maintain their value? If not, what is the appropriate way to reset the price limits on these fees each year in order to maintain their value?</w:t>
      </w:r>
    </w:p>
    <w:p w:rsidR="00ED242A" w:rsidRPr="00EB2A67" w:rsidRDefault="00ED242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Other issues</w:t>
      </w:r>
    </w:p>
    <w:p w:rsidR="00ED242A" w:rsidRPr="00EB2A67" w:rsidRDefault="00ED242A" w:rsidP="00EB2A67">
      <w:pPr>
        <w:pStyle w:val="IntenseQuote"/>
        <w:numPr>
          <w:ilvl w:val="0"/>
          <w:numId w:val="48"/>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 xml:space="preserve"> Are there any other issues with the price limits for capacity building supports?</w:t>
      </w:r>
    </w:p>
    <w:p w:rsidR="00ED242A" w:rsidRDefault="00ED242A" w:rsidP="00ED242A"/>
    <w:p w:rsidR="00ED242A" w:rsidRPr="00ED242A" w:rsidRDefault="00ED242A" w:rsidP="00ED242A">
      <w:pPr>
        <w:sectPr w:rsidR="00ED242A" w:rsidRPr="00ED242A" w:rsidSect="0094258D">
          <w:pgSz w:w="11907" w:h="16839" w:code="9"/>
          <w:pgMar w:top="1440" w:right="1440" w:bottom="1440" w:left="1440" w:header="709" w:footer="709" w:gutter="0"/>
          <w:cols w:space="708"/>
          <w:titlePg/>
          <w:docGrid w:linePitch="360"/>
        </w:sectPr>
      </w:pPr>
    </w:p>
    <w:p w:rsidR="00820E7C" w:rsidRPr="00C110ED" w:rsidRDefault="006E4516" w:rsidP="00B12551">
      <w:pPr>
        <w:pStyle w:val="Heading1"/>
      </w:pPr>
      <w:bookmarkStart w:id="32" w:name="_Toc25182180"/>
      <w:r w:rsidRPr="00C110ED">
        <w:lastRenderedPageBreak/>
        <w:t>P</w:t>
      </w:r>
      <w:r w:rsidR="00CE091F" w:rsidRPr="00C110ED">
        <w:t xml:space="preserve">lan </w:t>
      </w:r>
      <w:r w:rsidRPr="00C110ED">
        <w:t>M</w:t>
      </w:r>
      <w:r w:rsidR="00CE091F" w:rsidRPr="00C110ED">
        <w:t xml:space="preserve">anagement </w:t>
      </w:r>
      <w:r w:rsidRPr="00C110ED">
        <w:t>S</w:t>
      </w:r>
      <w:r w:rsidR="00CE091F" w:rsidRPr="00C110ED">
        <w:t>upports</w:t>
      </w:r>
      <w:bookmarkEnd w:id="30"/>
      <w:bookmarkEnd w:id="31"/>
      <w:bookmarkEnd w:id="32"/>
    </w:p>
    <w:p w:rsidR="0023030C" w:rsidRPr="00C110ED" w:rsidRDefault="0023030C" w:rsidP="00B12551">
      <w:pPr>
        <w:pStyle w:val="Heading2"/>
        <w:numPr>
          <w:ilvl w:val="0"/>
          <w:numId w:val="0"/>
        </w:numPr>
      </w:pPr>
      <w:bookmarkStart w:id="33" w:name="_Toc25182181"/>
      <w:r w:rsidRPr="00C110ED">
        <w:t>Current arrangements</w:t>
      </w:r>
      <w:bookmarkEnd w:id="33"/>
    </w:p>
    <w:p w:rsidR="00D24715" w:rsidRPr="00C110ED" w:rsidRDefault="00D24715" w:rsidP="00307EFF">
      <w:r w:rsidRPr="00C110ED">
        <w:t xml:space="preserve">Participants can choose to have a registered Plan Management provider to manage their funding and budget for the supports in their </w:t>
      </w:r>
      <w:r w:rsidR="00D0491E">
        <w:t xml:space="preserve">National Disability Insurance Scheme (NDIS) </w:t>
      </w:r>
      <w:r w:rsidRPr="00C110ED">
        <w:t xml:space="preserve">plan. Plan Managers are </w:t>
      </w:r>
      <w:r w:rsidR="009E3A25">
        <w:t xml:space="preserve">bound to the NDIS Price Guide and are </w:t>
      </w:r>
      <w:r w:rsidRPr="00C110ED">
        <w:t>able to connect participants with both NDIS registered providers and providers that are</w:t>
      </w:r>
      <w:r w:rsidR="00D0491E">
        <w:t xml:space="preserve"> </w:t>
      </w:r>
      <w:r w:rsidRPr="00C110ED">
        <w:t>n</w:t>
      </w:r>
      <w:r w:rsidR="00D0491E">
        <w:t>o</w:t>
      </w:r>
      <w:r w:rsidRPr="00C110ED">
        <w:t xml:space="preserve">t registered with the NDIS. </w:t>
      </w:r>
    </w:p>
    <w:p w:rsidR="0023030C" w:rsidRPr="00C110ED" w:rsidRDefault="0023030C" w:rsidP="00307EFF">
      <w:r w:rsidRPr="00C110ED">
        <w:t>The NDIS Price Guide and Support Catalogue currently says</w:t>
      </w:r>
      <w:r w:rsidR="0016045A" w:rsidRPr="00C110ED">
        <w:t xml:space="preserve"> that</w:t>
      </w:r>
      <w:r w:rsidRPr="00C110ED">
        <w:t>:</w:t>
      </w:r>
    </w:p>
    <w:p w:rsidR="00820E7C" w:rsidRPr="00C110ED" w:rsidRDefault="00820E7C" w:rsidP="007C7FAB">
      <w:pPr>
        <w:ind w:left="284"/>
        <w:rPr>
          <w:b/>
          <w:i/>
        </w:rPr>
      </w:pPr>
      <w:r w:rsidRPr="00C110ED">
        <w:rPr>
          <w:b/>
          <w:i/>
        </w:rPr>
        <w:t xml:space="preserve">Plan Management – Financial Administration </w:t>
      </w:r>
    </w:p>
    <w:p w:rsidR="00820E7C" w:rsidRPr="00C110ED" w:rsidRDefault="00820E7C" w:rsidP="007C7FAB">
      <w:pPr>
        <w:ind w:left="284"/>
        <w:rPr>
          <w:i/>
        </w:rPr>
      </w:pPr>
      <w:r w:rsidRPr="00C110ED">
        <w:rPr>
          <w:i/>
        </w:rPr>
        <w:t xml:space="preserve">Plan Management – Financial Administration funding applies to registered providers who undertake financial administration of a plan on behalf of a participant. </w:t>
      </w:r>
    </w:p>
    <w:p w:rsidR="00820E7C" w:rsidRPr="00C110ED" w:rsidRDefault="00820E7C" w:rsidP="007C7FAB">
      <w:pPr>
        <w:ind w:left="284"/>
        <w:rPr>
          <w:i/>
        </w:rPr>
      </w:pPr>
      <w:r w:rsidRPr="00C110ED">
        <w:rPr>
          <w:i/>
        </w:rPr>
        <w:t xml:space="preserve">Plan Management – Financial Administration funding includes a setup fee to establish the payment arrangements with providers and a monthly processing fee. This support assists a participant by: </w:t>
      </w:r>
    </w:p>
    <w:p w:rsidR="00820E7C" w:rsidRPr="00C110ED" w:rsidRDefault="00820E7C" w:rsidP="007C7FAB">
      <w:pPr>
        <w:numPr>
          <w:ilvl w:val="0"/>
          <w:numId w:val="12"/>
        </w:numPr>
        <w:spacing w:before="0"/>
        <w:rPr>
          <w:i/>
        </w:rPr>
      </w:pPr>
      <w:r w:rsidRPr="00C110ED">
        <w:rPr>
          <w:i/>
        </w:rPr>
        <w:t xml:space="preserve">Giving increased control over plan implementation and utilisation with plan financial assistance </w:t>
      </w:r>
    </w:p>
    <w:p w:rsidR="00820E7C" w:rsidRPr="00C110ED" w:rsidRDefault="00820E7C" w:rsidP="007C7FAB">
      <w:pPr>
        <w:numPr>
          <w:ilvl w:val="0"/>
          <w:numId w:val="12"/>
        </w:numPr>
        <w:spacing w:before="0"/>
        <w:rPr>
          <w:i/>
        </w:rPr>
      </w:pPr>
      <w:r w:rsidRPr="00C110ED">
        <w:rPr>
          <w:i/>
        </w:rPr>
        <w:t xml:space="preserve">Managing and monitoring budgets over the course of the plan </w:t>
      </w:r>
    </w:p>
    <w:p w:rsidR="00820E7C" w:rsidRPr="00C110ED" w:rsidRDefault="00820E7C" w:rsidP="007C7FAB">
      <w:pPr>
        <w:numPr>
          <w:ilvl w:val="0"/>
          <w:numId w:val="12"/>
        </w:numPr>
        <w:spacing w:before="0"/>
        <w:rPr>
          <w:i/>
        </w:rPr>
      </w:pPr>
      <w:r w:rsidRPr="00C110ED">
        <w:rPr>
          <w:i/>
        </w:rPr>
        <w:t xml:space="preserve">Managing NDIS claims and paying providers for delivered service </w:t>
      </w:r>
    </w:p>
    <w:p w:rsidR="00820E7C" w:rsidRPr="00C110ED" w:rsidRDefault="00820E7C" w:rsidP="007C7FAB">
      <w:pPr>
        <w:numPr>
          <w:ilvl w:val="0"/>
          <w:numId w:val="12"/>
        </w:numPr>
        <w:spacing w:before="0"/>
        <w:rPr>
          <w:i/>
        </w:rPr>
      </w:pPr>
      <w:r w:rsidRPr="00C110ED">
        <w:rPr>
          <w:i/>
        </w:rPr>
        <w:t xml:space="preserve">Maintaining records and producing regular (at least monthly) statements showing the financial position of the plan </w:t>
      </w:r>
    </w:p>
    <w:p w:rsidR="00820E7C" w:rsidRPr="00C110ED" w:rsidRDefault="00820E7C" w:rsidP="007C7FAB">
      <w:pPr>
        <w:numPr>
          <w:ilvl w:val="0"/>
          <w:numId w:val="12"/>
        </w:numPr>
        <w:spacing w:before="0"/>
        <w:rPr>
          <w:i/>
        </w:rPr>
      </w:pPr>
      <w:r w:rsidRPr="00C110ED">
        <w:rPr>
          <w:i/>
        </w:rPr>
        <w:t xml:space="preserve">Providing access to a wider range of service providers, including non-registered providers whilst remaining in line with the price limits contained within this Guide. </w:t>
      </w:r>
    </w:p>
    <w:p w:rsidR="00820E7C" w:rsidRPr="00C110ED" w:rsidRDefault="00820E7C" w:rsidP="007C7FAB">
      <w:pPr>
        <w:ind w:left="284"/>
        <w:rPr>
          <w:i/>
        </w:rPr>
      </w:pPr>
      <w:r w:rsidRPr="00C110ED">
        <w:rPr>
          <w:i/>
        </w:rPr>
        <w:t xml:space="preserve">A Plan Management – Financial Administration provider will possess bookkeeping / accounting skills and qualifications. They will have systems in place for efficiently processing payments on behalf of a participant. </w:t>
      </w:r>
    </w:p>
    <w:p w:rsidR="00820E7C" w:rsidRPr="00C110ED" w:rsidRDefault="00820E7C" w:rsidP="007C7FAB">
      <w:pPr>
        <w:ind w:left="284"/>
        <w:rPr>
          <w:b/>
          <w:i/>
        </w:rPr>
      </w:pPr>
      <w:r w:rsidRPr="00C110ED">
        <w:rPr>
          <w:b/>
          <w:i/>
        </w:rPr>
        <w:t xml:space="preserve">Capacity Building and Training in Plan and Financial Management by a Plan Manager </w:t>
      </w:r>
    </w:p>
    <w:p w:rsidR="00820E7C" w:rsidRPr="00C110ED" w:rsidRDefault="00820E7C" w:rsidP="007C7FAB">
      <w:pPr>
        <w:ind w:left="284"/>
        <w:rPr>
          <w:i/>
        </w:rPr>
      </w:pPr>
      <w:r w:rsidRPr="00C110ED">
        <w:rPr>
          <w:i/>
        </w:rPr>
        <w:t xml:space="preserve">This reasonable and necessary support focusses on strengthening the participant’s ability to undertake tasks associated with the management of their supports. This includes: </w:t>
      </w:r>
    </w:p>
    <w:p w:rsidR="00820E7C" w:rsidRPr="00C110ED" w:rsidRDefault="00820E7C" w:rsidP="007C7FAB">
      <w:pPr>
        <w:numPr>
          <w:ilvl w:val="0"/>
          <w:numId w:val="12"/>
        </w:numPr>
        <w:spacing w:before="0"/>
        <w:rPr>
          <w:i/>
        </w:rPr>
      </w:pPr>
      <w:r w:rsidRPr="00C110ED">
        <w:rPr>
          <w:i/>
        </w:rPr>
        <w:t xml:space="preserve">Building financial skills </w:t>
      </w:r>
    </w:p>
    <w:p w:rsidR="00820E7C" w:rsidRPr="00C110ED" w:rsidRDefault="00820E7C" w:rsidP="007C7FAB">
      <w:pPr>
        <w:numPr>
          <w:ilvl w:val="0"/>
          <w:numId w:val="12"/>
        </w:numPr>
        <w:spacing w:before="0"/>
        <w:rPr>
          <w:i/>
        </w:rPr>
      </w:pPr>
      <w:r w:rsidRPr="00C110ED">
        <w:rPr>
          <w:i/>
        </w:rPr>
        <w:t xml:space="preserve">Organisational skills </w:t>
      </w:r>
    </w:p>
    <w:p w:rsidR="00820E7C" w:rsidRPr="00C110ED" w:rsidRDefault="00820E7C" w:rsidP="007C7FAB">
      <w:pPr>
        <w:numPr>
          <w:ilvl w:val="0"/>
          <w:numId w:val="12"/>
        </w:numPr>
        <w:spacing w:before="0"/>
        <w:rPr>
          <w:i/>
        </w:rPr>
      </w:pPr>
      <w:r w:rsidRPr="00C110ED">
        <w:rPr>
          <w:i/>
        </w:rPr>
        <w:t xml:space="preserve">Enhancing the participant’s ability to direct their supports </w:t>
      </w:r>
    </w:p>
    <w:p w:rsidR="00820E7C" w:rsidRPr="00C110ED" w:rsidRDefault="00820E7C" w:rsidP="007C7FAB">
      <w:pPr>
        <w:numPr>
          <w:ilvl w:val="0"/>
          <w:numId w:val="12"/>
        </w:numPr>
        <w:spacing w:before="0"/>
        <w:rPr>
          <w:i/>
        </w:rPr>
      </w:pPr>
      <w:r w:rsidRPr="00C110ED">
        <w:rPr>
          <w:i/>
        </w:rPr>
        <w:t xml:space="preserve">Develop self-management capabilities </w:t>
      </w:r>
    </w:p>
    <w:p w:rsidR="00820E7C" w:rsidRPr="00C110ED" w:rsidRDefault="00820E7C" w:rsidP="007C7FAB">
      <w:pPr>
        <w:ind w:left="284"/>
        <w:rPr>
          <w:i/>
        </w:rPr>
      </w:pPr>
      <w:r w:rsidRPr="00C110ED">
        <w:rPr>
          <w:i/>
        </w:rPr>
        <w:lastRenderedPageBreak/>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0F6088" w:rsidRPr="00C110ED" w:rsidRDefault="000F6088" w:rsidP="00307EFF">
      <w:r w:rsidRPr="00C110ED">
        <w:t>Plan managers are currently able to claim for three types of services. These are:</w:t>
      </w:r>
    </w:p>
    <w:p w:rsidR="000F6088" w:rsidRPr="00C110ED" w:rsidRDefault="000F6088" w:rsidP="007256A6">
      <w:pPr>
        <w:numPr>
          <w:ilvl w:val="0"/>
          <w:numId w:val="18"/>
        </w:numPr>
      </w:pPr>
      <w:r w:rsidRPr="00C110ED">
        <w:t>A one-off (per plan) establishment fee for setting up of the financial management arrangements for managing of funding of supports</w:t>
      </w:r>
      <w:r w:rsidR="007256A6" w:rsidRPr="00C110ED">
        <w:t xml:space="preserve"> – support item 14_033_0127_8_3, with a current price limit of $227.53</w:t>
      </w:r>
      <w:r w:rsidRPr="00C110ED">
        <w:t xml:space="preserve">; </w:t>
      </w:r>
    </w:p>
    <w:p w:rsidR="000F6088" w:rsidRPr="00C110ED" w:rsidRDefault="000F6088" w:rsidP="00040022">
      <w:pPr>
        <w:numPr>
          <w:ilvl w:val="0"/>
          <w:numId w:val="18"/>
        </w:numPr>
      </w:pPr>
      <w:r w:rsidRPr="00C110ED">
        <w:t>A monthly fee for the ongoing maintenance of the financial management arrangements for managing of funding of supports</w:t>
      </w:r>
      <w:r w:rsidR="007256A6" w:rsidRPr="00C110ED">
        <w:t xml:space="preserve"> – support item 14_034_0127_8_3 with a current price limit of $102.28</w:t>
      </w:r>
      <w:r w:rsidRPr="00C110ED">
        <w:t xml:space="preserve">; and </w:t>
      </w:r>
    </w:p>
    <w:p w:rsidR="000F6088" w:rsidRPr="00C110ED" w:rsidRDefault="000F6088" w:rsidP="007256A6">
      <w:pPr>
        <w:numPr>
          <w:ilvl w:val="0"/>
          <w:numId w:val="18"/>
        </w:numPr>
      </w:pPr>
      <w:r w:rsidRPr="00C110ED">
        <w:t>Capacity building and training in plan administration and management with a participant to strengthen their ability to undertake tasks associated with the management of their supports</w:t>
      </w:r>
      <w:r w:rsidR="007256A6" w:rsidRPr="00C110ED">
        <w:t xml:space="preserve"> – support item 14_031_0127_8_3 with a current price limit of $60.16 per hour</w:t>
      </w:r>
      <w:r w:rsidRPr="00C110ED">
        <w:t xml:space="preserve">. </w:t>
      </w:r>
    </w:p>
    <w:p w:rsidR="007256A6" w:rsidRPr="00C110ED" w:rsidRDefault="007256A6" w:rsidP="007256A6">
      <w:r w:rsidRPr="00C110ED">
        <w:t>Currently, plan mangers are not permitted to claim for provider travel and non-face-to-face activities with respect to support item 14_031_0127_8_3. The</w:t>
      </w:r>
      <w:r w:rsidR="00D0491E">
        <w:t>y</w:t>
      </w:r>
      <w:r w:rsidRPr="00C110ED">
        <w:t xml:space="preserve"> are permitted to claim for short notice cancellations.</w:t>
      </w:r>
    </w:p>
    <w:p w:rsidR="000F6088" w:rsidRPr="00C110ED" w:rsidRDefault="000F6088" w:rsidP="00B12551">
      <w:pPr>
        <w:pStyle w:val="Heading2"/>
        <w:numPr>
          <w:ilvl w:val="0"/>
          <w:numId w:val="0"/>
        </w:numPr>
        <w:ind w:left="576" w:hanging="576"/>
      </w:pPr>
      <w:bookmarkStart w:id="34" w:name="_Toc25182182"/>
      <w:r w:rsidRPr="00C110ED">
        <w:t>Issues</w:t>
      </w:r>
      <w:bookmarkEnd w:id="34"/>
    </w:p>
    <w:p w:rsidR="007256A6" w:rsidRPr="00C110ED" w:rsidRDefault="007256A6" w:rsidP="007256A6">
      <w:r w:rsidRPr="00C110ED">
        <w:t>Stakeholders have raised a number of issues with the current arrangements, including:</w:t>
      </w:r>
    </w:p>
    <w:p w:rsidR="007256A6" w:rsidRPr="00C110ED" w:rsidRDefault="007256A6" w:rsidP="007256A6">
      <w:pPr>
        <w:numPr>
          <w:ilvl w:val="0"/>
          <w:numId w:val="11"/>
        </w:numPr>
      </w:pPr>
      <w:r w:rsidRPr="00C110ED">
        <w:t xml:space="preserve">Whether the price limit for the establishment fee is reasonable, and whether more than one plan manager </w:t>
      </w:r>
      <w:r w:rsidR="00611DC7" w:rsidRPr="00C110ED">
        <w:t>should be able to</w:t>
      </w:r>
      <w:r w:rsidRPr="00C110ED">
        <w:t xml:space="preserve"> claim for an establishment fee if a participant changes plan managers?</w:t>
      </w:r>
    </w:p>
    <w:p w:rsidR="007256A6" w:rsidRPr="00C110ED" w:rsidRDefault="007256A6" w:rsidP="007256A6">
      <w:pPr>
        <w:numPr>
          <w:ilvl w:val="0"/>
          <w:numId w:val="11"/>
        </w:numPr>
      </w:pPr>
      <w:r w:rsidRPr="00C110ED">
        <w:t xml:space="preserve">Whether the price limit for the </w:t>
      </w:r>
      <w:r w:rsidR="003264B5" w:rsidRPr="00C110ED">
        <w:t>monthly fee for the ongoing maintenance of the financial management arrangements is reasonable?</w:t>
      </w:r>
    </w:p>
    <w:p w:rsidR="003264B5" w:rsidRDefault="003264B5" w:rsidP="007256A6">
      <w:pPr>
        <w:numPr>
          <w:ilvl w:val="0"/>
          <w:numId w:val="11"/>
        </w:numPr>
      </w:pPr>
      <w:r w:rsidRPr="00C110ED">
        <w:t xml:space="preserve">Whether the hourly </w:t>
      </w:r>
      <w:r w:rsidR="00D0491E">
        <w:t>price limit</w:t>
      </w:r>
      <w:r w:rsidRPr="00C110ED">
        <w:t xml:space="preserve"> for capacity building and training in plan administration and management is reasonable?</w:t>
      </w:r>
    </w:p>
    <w:p w:rsidR="006F39E8" w:rsidRDefault="006F39E8" w:rsidP="006F39E8">
      <w:pPr>
        <w:numPr>
          <w:ilvl w:val="0"/>
          <w:numId w:val="11"/>
        </w:numPr>
      </w:pPr>
      <w:r>
        <w:t xml:space="preserve">Whether the current indexation arrangements for the price limits for plan management supports appropriately maintain their value? </w:t>
      </w:r>
      <w:r w:rsidR="00D0491E" w:rsidRPr="00C110ED">
        <w:t>Currently</w:t>
      </w:r>
      <w:r w:rsidR="00D0491E">
        <w:t>,</w:t>
      </w:r>
      <w:r w:rsidR="00D0491E" w:rsidRPr="00C110ED">
        <w:t xml:space="preserve"> the price limits for </w:t>
      </w:r>
      <w:r w:rsidR="00D0491E">
        <w:t>capacity building supports</w:t>
      </w:r>
      <w:r w:rsidR="00D0491E" w:rsidRPr="00C110ED">
        <w:t xml:space="preserve"> are increased on 1 July each year in line the </w:t>
      </w:r>
      <w:r w:rsidR="00D0491E">
        <w:t xml:space="preserve">weighted increase </w:t>
      </w:r>
      <w:r w:rsidR="00D0491E" w:rsidRPr="00C110ED">
        <w:t xml:space="preserve">over the previous twelve months in the </w:t>
      </w:r>
      <w:r w:rsidR="00D0491E">
        <w:t>Australian Bureau of Statistics (</w:t>
      </w:r>
      <w:r w:rsidR="00D0491E" w:rsidRPr="00C110ED">
        <w:t>ABS</w:t>
      </w:r>
      <w:r w:rsidR="00D0491E">
        <w:t>)</w:t>
      </w:r>
      <w:r w:rsidR="00D0491E" w:rsidRPr="00C110ED">
        <w:t xml:space="preserve"> Wage Price Index </w:t>
      </w:r>
      <w:r w:rsidR="00D0491E">
        <w:t xml:space="preserve">(WPI) </w:t>
      </w:r>
      <w:r w:rsidR="00D0491E" w:rsidRPr="00C110ED">
        <w:t>(ABS 6354.0)</w:t>
      </w:r>
      <w:r w:rsidR="00D0491E">
        <w:t xml:space="preserve"> and the Consumer Price Index (CPI) (with an 80/20 weighting)</w:t>
      </w:r>
      <w:r w:rsidR="00D0491E" w:rsidRPr="00C110ED">
        <w:t>.</w:t>
      </w:r>
      <w:r w:rsidR="00D0491E">
        <w:t xml:space="preserve"> </w:t>
      </w:r>
    </w:p>
    <w:p w:rsidR="003264B5" w:rsidRPr="00C110ED" w:rsidRDefault="003264B5" w:rsidP="007256A6">
      <w:pPr>
        <w:numPr>
          <w:ilvl w:val="0"/>
          <w:numId w:val="11"/>
        </w:numPr>
      </w:pPr>
      <w:r w:rsidRPr="00C110ED">
        <w:t xml:space="preserve">Whether plan managers should be able to claim for provider travel and non-face-to-face activities with respect to support item 14_031_0127_8_3, with the agreement of the participant? </w:t>
      </w:r>
    </w:p>
    <w:p w:rsidR="001130EB" w:rsidRPr="00C110ED" w:rsidRDefault="0016045A" w:rsidP="0016045A">
      <w:r w:rsidRPr="00C110ED">
        <w:lastRenderedPageBreak/>
        <w:t xml:space="preserve">The </w:t>
      </w:r>
      <w:r w:rsidR="00180401">
        <w:rPr>
          <w:i/>
        </w:rPr>
        <w:t>Annual Price Review</w:t>
      </w:r>
      <w:r w:rsidRPr="00C110ED">
        <w:rPr>
          <w:i/>
        </w:rPr>
        <w:t xml:space="preserve"> 2020-21</w:t>
      </w:r>
      <w:r w:rsidRPr="00C110ED">
        <w:t xml:space="preserve"> is seeking the views of stakeholders on these issues and on any other issues that stakeholders wish to raise.</w:t>
      </w:r>
    </w:p>
    <w:p w:rsidR="00B47B29" w:rsidRPr="00EB7DBA" w:rsidRDefault="00B47B29"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F71316">
        <w:rPr>
          <w:b/>
        </w:rPr>
        <w:t>6. GUIDE QUESTIONS</w:t>
      </w:r>
    </w:p>
    <w:p w:rsidR="00B47B29" w:rsidRPr="00F71316" w:rsidRDefault="00B47B29"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3116CB">
        <w:rPr>
          <w:b/>
        </w:rPr>
        <w:t>Establishment fee</w:t>
      </w:r>
    </w:p>
    <w:p w:rsidR="00B47B29" w:rsidRPr="00EB7DBA"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Is the current price</w:t>
      </w:r>
      <w:r w:rsidRPr="00EB7DBA">
        <w:t xml:space="preserve"> limit for establishment fees for plan management appropriate? If not, why not? Please provide evidence of the labour and non-labour costs plan management providers face in establishing plan management arrangements for new clients.</w:t>
      </w:r>
    </w:p>
    <w:p w:rsidR="00B47B29" w:rsidRPr="00F71316" w:rsidRDefault="00B47B29"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F71316">
        <w:rPr>
          <w:b/>
        </w:rPr>
        <w:t>Monthly maintenance fee</w:t>
      </w:r>
    </w:p>
    <w:p w:rsidR="00B47B29" w:rsidRPr="00F71316"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F71316">
        <w:t>Is the current price limit for the monthly fee for the ongoing maintenance of the financial management arrangements appropriate? If no, why not? Please provide evidence of the labour and non-labour costs plan management providers face in providing this service.</w:t>
      </w:r>
    </w:p>
    <w:p w:rsidR="00B47B29" w:rsidRPr="00F71316"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F71316">
        <w:t xml:space="preserve"> Is a fixed monthly service fee the best pricing structure? Would it be better for the monthly service fee to be related to the number of transactions made on behalf of a participant or the value of those transactions?</w:t>
      </w:r>
    </w:p>
    <w:p w:rsidR="00B47B29" w:rsidRPr="003A3B58" w:rsidRDefault="00B47B29" w:rsidP="003A3B58">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bookmarkStart w:id="35" w:name="_GoBack"/>
      <w:r w:rsidRPr="003A3B58">
        <w:rPr>
          <w:b/>
        </w:rPr>
        <w:t>Capacity building and training in plan administration and management</w:t>
      </w:r>
      <w:bookmarkEnd w:id="35"/>
    </w:p>
    <w:p w:rsidR="00B47B29" w:rsidRPr="00EB7DBA"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Currently, the price limit (per hour) for capacity building and training in plan administration and management is higher</w:t>
      </w:r>
      <w:r w:rsidRPr="00EB7DBA">
        <w:t xml:space="preserve"> than the price limit (per hour) for core supports. Is this reasonable? If yes, why? If no, why not?</w:t>
      </w:r>
    </w:p>
    <w:p w:rsidR="00B47B29" w:rsidRPr="00F71316"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F71316">
        <w:t>Is the current price limit (per hour) for capacity building and training in plan administration and management reasonable? Please provide evidence of the costs of delivering this support.</w:t>
      </w:r>
    </w:p>
    <w:p w:rsidR="00B47B29" w:rsidRPr="00F71316" w:rsidRDefault="00B47B29"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F71316">
        <w:rPr>
          <w:b/>
        </w:rPr>
        <w:t>Indexation</w:t>
      </w:r>
    </w:p>
    <w:p w:rsidR="00B47B29" w:rsidRPr="00EB7DBA"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Do the current indexation arrangements for the price limits for plan management supports appropriately maintain their value? If not, what is the appropriate way to reset the price limits on these fees each year i</w:t>
      </w:r>
      <w:r w:rsidRPr="00EB7DBA">
        <w:t>n order to maintain their value?</w:t>
      </w:r>
    </w:p>
    <w:p w:rsidR="00B47B29" w:rsidRPr="007F5326" w:rsidRDefault="00B47B29" w:rsidP="007F532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7F5326">
        <w:rPr>
          <w:b/>
        </w:rPr>
        <w:t>Provider travel and non-face-to-face activities</w:t>
      </w:r>
    </w:p>
    <w:p w:rsidR="00B47B29" w:rsidRPr="00EB7DBA"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Should plan management providers be permitted to bill for provider travel when providing capacity building and training in plan administration and management supports? If yes,</w:t>
      </w:r>
      <w:r w:rsidRPr="00EB7DBA">
        <w:t xml:space="preserve"> why?</w:t>
      </w:r>
    </w:p>
    <w:p w:rsidR="00B47B29" w:rsidRPr="00F71316"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Should plan management providers be permitted to bill for non-face-to-face time when providing capacity building and training in plan administration and management supports? If yes, why? Please provide examples of non-face-to-face activities that should be billable.</w:t>
      </w:r>
    </w:p>
    <w:p w:rsidR="00B47B29" w:rsidRPr="00F71316" w:rsidRDefault="00B47B29"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F71316">
        <w:rPr>
          <w:b/>
        </w:rPr>
        <w:t>Other issues</w:t>
      </w:r>
    </w:p>
    <w:p w:rsidR="00B47B29" w:rsidRPr="00F71316" w:rsidRDefault="00B47B29" w:rsidP="00F71316">
      <w:pPr>
        <w:pStyle w:val="IntenseQuote"/>
        <w:numPr>
          <w:ilvl w:val="0"/>
          <w:numId w:val="49"/>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F71316">
        <w:t>Are there any other issues with the price limits for plan management supports?</w:t>
      </w:r>
    </w:p>
    <w:p w:rsidR="00820E7C" w:rsidRPr="00C110ED" w:rsidRDefault="00820E7C" w:rsidP="00307EFF"/>
    <w:p w:rsidR="00307EFF" w:rsidRPr="00C110ED" w:rsidRDefault="00307EFF" w:rsidP="005773DD">
      <w:pPr>
        <w:sectPr w:rsidR="00307EFF" w:rsidRPr="00C110ED" w:rsidSect="0094258D">
          <w:pgSz w:w="11907" w:h="16839" w:code="9"/>
          <w:pgMar w:top="1440" w:right="1440" w:bottom="1440" w:left="1440" w:header="709" w:footer="709" w:gutter="0"/>
          <w:cols w:space="708"/>
          <w:titlePg/>
          <w:docGrid w:linePitch="360"/>
        </w:sectPr>
      </w:pPr>
    </w:p>
    <w:p w:rsidR="00CE091F" w:rsidRPr="009657D7" w:rsidRDefault="00307EFF" w:rsidP="00B12551">
      <w:pPr>
        <w:pStyle w:val="Heading1"/>
      </w:pPr>
      <w:bookmarkStart w:id="36" w:name="_Ref24369082"/>
      <w:bookmarkStart w:id="37" w:name="_Toc25182183"/>
      <w:r w:rsidRPr="009657D7">
        <w:lastRenderedPageBreak/>
        <w:t>Classifying Regional, Remote and Very Remote</w:t>
      </w:r>
      <w:bookmarkEnd w:id="36"/>
      <w:bookmarkEnd w:id="37"/>
      <w:r w:rsidRPr="009657D7">
        <w:t xml:space="preserve"> </w:t>
      </w:r>
    </w:p>
    <w:p w:rsidR="0016045A" w:rsidRPr="00C110ED" w:rsidRDefault="0016045A" w:rsidP="0016045A">
      <w:pPr>
        <w:pStyle w:val="Heading2"/>
        <w:numPr>
          <w:ilvl w:val="0"/>
          <w:numId w:val="0"/>
        </w:numPr>
        <w:ind w:left="576" w:hanging="576"/>
      </w:pPr>
      <w:bookmarkStart w:id="38" w:name="_Toc25182184"/>
      <w:r w:rsidRPr="00C110ED">
        <w:t>Current arrangements</w:t>
      </w:r>
      <w:bookmarkEnd w:id="38"/>
    </w:p>
    <w:p w:rsidR="003466C4" w:rsidRDefault="003466C4" w:rsidP="003466C4">
      <w:r w:rsidRPr="00C110ED">
        <w:t xml:space="preserve">The </w:t>
      </w:r>
      <w:r w:rsidR="00D0491E">
        <w:t>National Disability Insurance Agency (</w:t>
      </w:r>
      <w:r w:rsidRPr="00C110ED">
        <w:t>NDIA</w:t>
      </w:r>
      <w:r w:rsidR="00D0491E">
        <w:t>)</w:t>
      </w:r>
      <w:r w:rsidRPr="00C110ED">
        <w:t xml:space="preserve"> uses the </w:t>
      </w:r>
      <w:r w:rsidR="00FE07D5">
        <w:t xml:space="preserve">2015 version of the </w:t>
      </w:r>
      <w:r w:rsidRPr="00C110ED">
        <w:t>Modified Monash Model (MMM</w:t>
      </w:r>
      <w:r w:rsidR="00FE07D5">
        <w:t>2015</w:t>
      </w:r>
      <w:r w:rsidRPr="00C110ED">
        <w:t>) to determine regional, remote and very remote areas</w:t>
      </w:r>
      <w:r w:rsidR="00FE07D5">
        <w:t xml:space="preserve">. MMM2015 classified areas </w:t>
      </w:r>
      <w:r w:rsidR="00931E7C">
        <w:t xml:space="preserve">are </w:t>
      </w:r>
      <w:r w:rsidR="00FE07D5">
        <w:t>based on</w:t>
      </w:r>
      <w:r w:rsidRPr="00C110ED">
        <w:t xml:space="preserve"> a scale</w:t>
      </w:r>
      <w:r w:rsidR="00FE07D5">
        <w:t xml:space="preserve"> that is principally</w:t>
      </w:r>
      <w:r w:rsidRPr="00C110ED">
        <w:t xml:space="preserve"> </w:t>
      </w:r>
      <w:r w:rsidR="00FE07D5">
        <w:t>concerned with the</w:t>
      </w:r>
      <w:r w:rsidRPr="00C110ED">
        <w:t xml:space="preserve"> </w:t>
      </w:r>
      <w:r w:rsidR="00FE07D5">
        <w:t xml:space="preserve">distance from the area to the nearest </w:t>
      </w:r>
      <w:r w:rsidR="00112D6B">
        <w:t xml:space="preserve">population centre and the size of that population centre </w:t>
      </w:r>
      <w:r w:rsidRPr="00C110ED">
        <w:t xml:space="preserve">(see Table below). </w:t>
      </w:r>
    </w:p>
    <w:tbl>
      <w:tblPr>
        <w:tblStyle w:val="GridTable4-Accent4"/>
        <w:tblW w:w="8814" w:type="dxa"/>
        <w:tblLook w:val="04A0" w:firstRow="1" w:lastRow="0" w:firstColumn="1" w:lastColumn="0" w:noHBand="0" w:noVBand="1"/>
        <w:tblCaption w:val="MMM Descriptions"/>
        <w:tblDescription w:val="This table gives a breakdown of the different classifications and zones for the Modified Monash Model."/>
      </w:tblPr>
      <w:tblGrid>
        <w:gridCol w:w="1666"/>
        <w:gridCol w:w="1023"/>
        <w:gridCol w:w="739"/>
        <w:gridCol w:w="5386"/>
      </w:tblGrid>
      <w:tr w:rsidR="005C673B" w:rsidTr="00675AF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66" w:type="dxa"/>
          </w:tcPr>
          <w:p w:rsidR="005C673B" w:rsidRPr="003455BF" w:rsidRDefault="005C673B" w:rsidP="005C673B">
            <w:pPr>
              <w:pStyle w:val="NoSpacing"/>
              <w:spacing w:before="60" w:after="60" w:line="240" w:lineRule="atLeast"/>
              <w:rPr>
                <w:rFonts w:asciiTheme="majorHAnsi" w:hAnsiTheme="majorHAnsi" w:cstheme="majorHAnsi"/>
                <w:sz w:val="16"/>
                <w:szCs w:val="16"/>
                <w:lang w:val="en-AU"/>
              </w:rPr>
            </w:pPr>
            <w:r w:rsidRPr="003455BF">
              <w:rPr>
                <w:rFonts w:asciiTheme="majorHAnsi" w:hAnsiTheme="majorHAnsi" w:cstheme="majorHAnsi"/>
                <w:sz w:val="16"/>
                <w:szCs w:val="16"/>
                <w:lang w:val="en-AU"/>
              </w:rPr>
              <w:t>Description</w:t>
            </w:r>
          </w:p>
        </w:tc>
        <w:tc>
          <w:tcPr>
            <w:tcW w:w="1023" w:type="dxa"/>
          </w:tcPr>
          <w:p w:rsidR="005C673B" w:rsidRPr="003455BF" w:rsidRDefault="005C673B" w:rsidP="005C673B">
            <w:pPr>
              <w:pStyle w:val="NoSpacing"/>
              <w:spacing w:before="60" w:after="60" w:line="24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AU"/>
              </w:rPr>
            </w:pPr>
            <w:r w:rsidRPr="003455BF">
              <w:rPr>
                <w:rFonts w:asciiTheme="majorHAnsi" w:hAnsiTheme="majorHAnsi" w:cstheme="majorHAnsi"/>
                <w:sz w:val="16"/>
                <w:szCs w:val="16"/>
                <w:lang w:val="en-AU"/>
              </w:rPr>
              <w:t>Zones</w:t>
            </w:r>
          </w:p>
        </w:tc>
        <w:tc>
          <w:tcPr>
            <w:tcW w:w="739" w:type="dxa"/>
          </w:tcPr>
          <w:p w:rsidR="005C673B" w:rsidRPr="003455BF" w:rsidRDefault="005C673B" w:rsidP="005C673B">
            <w:pPr>
              <w:pStyle w:val="NoSpacing"/>
              <w:spacing w:before="60" w:after="60" w:line="24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AU"/>
              </w:rPr>
            </w:pPr>
            <w:r w:rsidRPr="003455BF">
              <w:rPr>
                <w:rFonts w:asciiTheme="majorHAnsi" w:hAnsiTheme="majorHAnsi" w:cstheme="majorHAnsi"/>
                <w:sz w:val="16"/>
                <w:szCs w:val="16"/>
                <w:lang w:val="en-AU"/>
              </w:rPr>
              <w:t>MMM</w:t>
            </w:r>
          </w:p>
        </w:tc>
        <w:tc>
          <w:tcPr>
            <w:tcW w:w="5386" w:type="dxa"/>
          </w:tcPr>
          <w:p w:rsidR="005C673B" w:rsidRPr="003455BF" w:rsidRDefault="005C673B" w:rsidP="005C673B">
            <w:pPr>
              <w:pStyle w:val="NoSpacing"/>
              <w:spacing w:before="60" w:after="60" w:line="24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lang w:val="en-AU"/>
              </w:rPr>
            </w:pPr>
            <w:r w:rsidRPr="003455BF">
              <w:rPr>
                <w:rFonts w:asciiTheme="majorHAnsi" w:hAnsiTheme="majorHAnsi" w:cstheme="majorHAnsi"/>
                <w:sz w:val="16"/>
                <w:szCs w:val="16"/>
                <w:lang w:val="en-AU"/>
              </w:rPr>
              <w:t>Inclusion</w:t>
            </w:r>
          </w:p>
        </w:tc>
      </w:tr>
      <w:tr w:rsidR="005C673B" w:rsidTr="00675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Metropolitan</w:t>
            </w:r>
          </w:p>
        </w:tc>
        <w:tc>
          <w:tcPr>
            <w:tcW w:w="1023"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MMM1-3</w:t>
            </w:r>
          </w:p>
        </w:tc>
        <w:tc>
          <w:tcPr>
            <w:tcW w:w="739"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1</w:t>
            </w:r>
          </w:p>
        </w:tc>
        <w:tc>
          <w:tcPr>
            <w:tcW w:w="5386"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All areas categorised as Major Cities of Australia.</w:t>
            </w:r>
          </w:p>
        </w:tc>
      </w:tr>
      <w:tr w:rsidR="005C673B" w:rsidTr="00675AFB">
        <w:tc>
          <w:tcPr>
            <w:cnfStyle w:val="001000000000" w:firstRow="0" w:lastRow="0" w:firstColumn="1" w:lastColumn="0" w:oddVBand="0" w:evenVBand="0" w:oddHBand="0" w:evenHBand="0" w:firstRowFirstColumn="0" w:firstRowLastColumn="0" w:lastRowFirstColumn="0" w:lastRowLastColumn="0"/>
            <w:tcW w:w="1666" w:type="dxa"/>
            <w:shd w:val="clear" w:color="auto" w:fill="E7CAED" w:themeFill="accent4" w:themeFillTint="33"/>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Regional Centres</w:t>
            </w:r>
          </w:p>
        </w:tc>
        <w:tc>
          <w:tcPr>
            <w:tcW w:w="1023"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MMM1-3</w:t>
            </w:r>
          </w:p>
        </w:tc>
        <w:tc>
          <w:tcPr>
            <w:tcW w:w="739"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2</w:t>
            </w:r>
          </w:p>
        </w:tc>
        <w:tc>
          <w:tcPr>
            <w:tcW w:w="5386"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Areas categorised as Inner Regional Australia or Outer Regional Australia that are in, or within 20km road distance, of a town with population &gt;50,000.</w:t>
            </w:r>
          </w:p>
        </w:tc>
      </w:tr>
      <w:tr w:rsidR="005C673B" w:rsidTr="00675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Regional Centres</w:t>
            </w:r>
          </w:p>
        </w:tc>
        <w:tc>
          <w:tcPr>
            <w:tcW w:w="1023"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MMM1-3</w:t>
            </w:r>
          </w:p>
        </w:tc>
        <w:tc>
          <w:tcPr>
            <w:tcW w:w="739"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3</w:t>
            </w:r>
          </w:p>
        </w:tc>
        <w:tc>
          <w:tcPr>
            <w:tcW w:w="5386" w:type="dxa"/>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Areas categorised as Inner Regional Australia or Outer Regional Australia that are not in MMM 2 and are in, or within 15km road distance, of a town with population between 15,000 and 50,000.</w:t>
            </w:r>
          </w:p>
        </w:tc>
      </w:tr>
      <w:tr w:rsidR="005C673B" w:rsidTr="00675AFB">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Regional Areas</w:t>
            </w:r>
          </w:p>
        </w:tc>
        <w:tc>
          <w:tcPr>
            <w:tcW w:w="1023" w:type="dxa"/>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MMM4-5</w:t>
            </w:r>
          </w:p>
        </w:tc>
        <w:tc>
          <w:tcPr>
            <w:tcW w:w="739" w:type="dxa"/>
            <w:shd w:val="clear" w:color="auto" w:fill="auto"/>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4</w:t>
            </w:r>
          </w:p>
        </w:tc>
        <w:tc>
          <w:tcPr>
            <w:tcW w:w="5386" w:type="dxa"/>
            <w:shd w:val="clear" w:color="auto" w:fill="auto"/>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Areas categorised as Inner Regional Australia or Outer Regional Australia that are not in MMM 2 or MMM 3, and are in, or within 10km road distance, of a town with population between 5,000 and 15,000.</w:t>
            </w:r>
          </w:p>
        </w:tc>
      </w:tr>
      <w:tr w:rsidR="005C673B" w:rsidTr="00675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Regional Areas</w:t>
            </w:r>
          </w:p>
        </w:tc>
        <w:tc>
          <w:tcPr>
            <w:tcW w:w="1023"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MMM4-5</w:t>
            </w:r>
          </w:p>
        </w:tc>
        <w:tc>
          <w:tcPr>
            <w:tcW w:w="739"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5</w:t>
            </w:r>
          </w:p>
        </w:tc>
        <w:tc>
          <w:tcPr>
            <w:tcW w:w="5386"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All other areas in Inner Regional Australia or Outer Regional Australia.</w:t>
            </w:r>
          </w:p>
        </w:tc>
      </w:tr>
      <w:tr w:rsidR="005C673B" w:rsidTr="00675AFB">
        <w:tc>
          <w:tcPr>
            <w:cnfStyle w:val="001000000000" w:firstRow="0" w:lastRow="0" w:firstColumn="1" w:lastColumn="0" w:oddVBand="0" w:evenVBand="0" w:oddHBand="0" w:evenHBand="0" w:firstRowFirstColumn="0" w:firstRowLastColumn="0" w:lastRowFirstColumn="0" w:lastRowLastColumn="0"/>
            <w:tcW w:w="1666" w:type="dxa"/>
            <w:shd w:val="clear" w:color="auto" w:fill="E7CAED" w:themeFill="accent4" w:themeFillTint="33"/>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Remote</w:t>
            </w:r>
          </w:p>
        </w:tc>
        <w:tc>
          <w:tcPr>
            <w:tcW w:w="1023"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MMM6</w:t>
            </w:r>
          </w:p>
        </w:tc>
        <w:tc>
          <w:tcPr>
            <w:tcW w:w="739"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6</w:t>
            </w:r>
          </w:p>
        </w:tc>
        <w:tc>
          <w:tcPr>
            <w:tcW w:w="5386" w:type="dxa"/>
            <w:shd w:val="clear" w:color="auto" w:fill="E7CAED" w:themeFill="accent4" w:themeFillTint="33"/>
          </w:tcPr>
          <w:p w:rsidR="005C673B" w:rsidRPr="003455BF" w:rsidRDefault="005C673B" w:rsidP="00675AFB">
            <w:pPr>
              <w:pStyle w:val="NoSpacing"/>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All areas categorised Remote Australia that are not on a populated island that is separated from the mainland and is more than 5km offshore.</w:t>
            </w:r>
          </w:p>
        </w:tc>
      </w:tr>
      <w:tr w:rsidR="005C673B" w:rsidTr="00675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rsidR="005C673B" w:rsidRPr="003455BF" w:rsidRDefault="005C673B" w:rsidP="00675AFB">
            <w:pPr>
              <w:pStyle w:val="NoSpacing"/>
              <w:spacing w:before="60" w:after="60" w:line="240" w:lineRule="atLeast"/>
              <w:rPr>
                <w:rFonts w:asciiTheme="majorHAnsi" w:hAnsiTheme="majorHAnsi" w:cstheme="majorHAnsi"/>
                <w:b w:val="0"/>
                <w:sz w:val="16"/>
                <w:szCs w:val="16"/>
              </w:rPr>
            </w:pPr>
            <w:r w:rsidRPr="003455BF">
              <w:rPr>
                <w:rFonts w:asciiTheme="majorHAnsi" w:hAnsiTheme="majorHAnsi" w:cstheme="majorHAnsi"/>
                <w:sz w:val="16"/>
                <w:szCs w:val="16"/>
                <w:lang w:val="en-AU"/>
              </w:rPr>
              <w:t>Very Remote</w:t>
            </w:r>
          </w:p>
        </w:tc>
        <w:tc>
          <w:tcPr>
            <w:tcW w:w="1023"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MMM7</w:t>
            </w:r>
          </w:p>
        </w:tc>
        <w:tc>
          <w:tcPr>
            <w:tcW w:w="739"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7</w:t>
            </w:r>
          </w:p>
        </w:tc>
        <w:tc>
          <w:tcPr>
            <w:tcW w:w="5386" w:type="dxa"/>
            <w:shd w:val="clear" w:color="auto" w:fill="auto"/>
          </w:tcPr>
          <w:p w:rsidR="005C673B" w:rsidRPr="003455BF" w:rsidRDefault="005C673B" w:rsidP="00675AFB">
            <w:pPr>
              <w:pStyle w:val="NoSpacing"/>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3455BF">
              <w:rPr>
                <w:rFonts w:asciiTheme="majorHAnsi" w:hAnsiTheme="majorHAnsi" w:cstheme="majorHAnsi"/>
                <w:sz w:val="16"/>
                <w:szCs w:val="16"/>
                <w:lang w:val="en-AU"/>
              </w:rPr>
              <w:t>All other areas – that being Very Remote Australia and areas on a populated island that is separated from the mainland in the ABS geography and is more than 5km offshore.</w:t>
            </w:r>
          </w:p>
        </w:tc>
      </w:tr>
    </w:tbl>
    <w:p w:rsidR="003466C4" w:rsidRPr="00C110ED" w:rsidRDefault="003466C4" w:rsidP="003466C4">
      <w:r w:rsidRPr="00C110ED">
        <w:t xml:space="preserve">Providers and participants can determine the MMM rating of a location using the </w:t>
      </w:r>
      <w:hyperlink r:id="rId21" w:anchor="hwc-map" w:history="1">
        <w:r w:rsidRPr="003D61D1">
          <w:rPr>
            <w:rStyle w:val="Hyperlink"/>
          </w:rPr>
          <w:t>Health Workforce Locator tool on the Department of Health’s website</w:t>
        </w:r>
      </w:hyperlink>
      <w:r w:rsidRPr="00C110ED">
        <w:t>.</w:t>
      </w:r>
    </w:p>
    <w:p w:rsidR="003466C4" w:rsidRPr="00C110ED" w:rsidRDefault="003466C4" w:rsidP="003466C4">
      <w:r w:rsidRPr="00C110ED">
        <w:t>In general, price limits are 40</w:t>
      </w:r>
      <w:r w:rsidR="00D0491E">
        <w:t xml:space="preserve"> per cent</w:t>
      </w:r>
      <w:r w:rsidRPr="00C110ED">
        <w:t xml:space="preserve"> higher in remote areas and 50</w:t>
      </w:r>
      <w:r w:rsidR="00D0491E">
        <w:t xml:space="preserve"> per cent</w:t>
      </w:r>
      <w:r w:rsidRPr="00C110ED">
        <w:t xml:space="preserve"> higher in very remote areas. There is no additional loading applied for supports in </w:t>
      </w:r>
      <w:r w:rsidR="00D0491E">
        <w:t>m</w:t>
      </w:r>
      <w:r w:rsidRPr="00C110ED">
        <w:t>etropolitan areas, regional centres or regional areas.</w:t>
      </w:r>
    </w:p>
    <w:p w:rsidR="003466C4" w:rsidRPr="00C110ED" w:rsidRDefault="00C110ED" w:rsidP="003466C4">
      <w:r w:rsidRPr="00C110ED">
        <w:t>Price</w:t>
      </w:r>
      <w:r w:rsidR="003466C4" w:rsidRPr="00C110ED">
        <w:t xml:space="preserve"> limits </w:t>
      </w:r>
      <w:r w:rsidRPr="00C110ED">
        <w:t xml:space="preserve">are </w:t>
      </w:r>
      <w:r w:rsidR="003466C4" w:rsidRPr="00C110ED">
        <w:t xml:space="preserve">based on where the support is delivered, which is not necessarily where the participant lives. For example, if a participant living in a </w:t>
      </w:r>
      <w:r w:rsidR="00D0491E">
        <w:t>r</w:t>
      </w:r>
      <w:r w:rsidR="003466C4" w:rsidRPr="00C110ED">
        <w:t xml:space="preserve">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w:t>
      </w:r>
      <w:r w:rsidR="00D0491E">
        <w:t xml:space="preserve">‘remote’ price </w:t>
      </w:r>
      <w:r w:rsidR="003466C4" w:rsidRPr="00C110ED">
        <w:t>limit</w:t>
      </w:r>
      <w:r w:rsidR="00D0491E">
        <w:t>.</w:t>
      </w:r>
    </w:p>
    <w:p w:rsidR="003466C4" w:rsidRPr="00C110ED" w:rsidRDefault="003466C4" w:rsidP="003466C4">
      <w:pPr>
        <w:pStyle w:val="Heading3"/>
      </w:pPr>
      <w:bookmarkStart w:id="39" w:name="_Isolated_Towns"/>
      <w:bookmarkStart w:id="40" w:name="_Toc18605676"/>
      <w:bookmarkStart w:id="41" w:name="_Toc18605754"/>
      <w:bookmarkStart w:id="42" w:name="_Toc20081272"/>
      <w:bookmarkStart w:id="43" w:name="_Ref20130784"/>
      <w:bookmarkStart w:id="44" w:name="_Ref20130809"/>
      <w:bookmarkStart w:id="45" w:name="_Ref20479189"/>
      <w:bookmarkStart w:id="46" w:name="_Toc20834124"/>
      <w:bookmarkEnd w:id="39"/>
      <w:r w:rsidRPr="00C110ED">
        <w:t>Isolated Towns</w:t>
      </w:r>
      <w:bookmarkEnd w:id="40"/>
      <w:bookmarkEnd w:id="41"/>
      <w:bookmarkEnd w:id="42"/>
      <w:bookmarkEnd w:id="43"/>
      <w:bookmarkEnd w:id="44"/>
      <w:bookmarkEnd w:id="45"/>
      <w:bookmarkEnd w:id="46"/>
    </w:p>
    <w:p w:rsidR="003466C4" w:rsidRPr="003455BF" w:rsidRDefault="003466C4" w:rsidP="003466C4">
      <w:pPr>
        <w:rPr>
          <w:rFonts w:asciiTheme="minorHAnsi" w:hAnsiTheme="minorHAnsi" w:cstheme="minorHAnsi"/>
        </w:rPr>
      </w:pPr>
      <w:r w:rsidRPr="00C110ED">
        <w:t xml:space="preserve">From 1 August 2019, the NDIA has amended its geographic </w:t>
      </w:r>
      <w:r w:rsidR="00FE07D5">
        <w:t>classification</w:t>
      </w:r>
      <w:r w:rsidRPr="00C110ED">
        <w:t xml:space="preserve"> so that areas </w:t>
      </w:r>
      <w:r w:rsidR="00FF4CB1">
        <w:t xml:space="preserve">(or groups of areas) that are </w:t>
      </w:r>
      <w:r w:rsidRPr="00C110ED">
        <w:t xml:space="preserve">classified as ‘regional’ </w:t>
      </w:r>
      <w:r w:rsidR="00FF4CB1">
        <w:t xml:space="preserve">under the MMM and </w:t>
      </w:r>
      <w:r w:rsidRPr="00C110ED">
        <w:t xml:space="preserve">that are completely </w:t>
      </w:r>
      <w:r w:rsidRPr="00C110ED">
        <w:lastRenderedPageBreak/>
        <w:t xml:space="preserve">surrounded by ‘remote’ or ‘very remote’ areas are classified as ‘remote’ for </w:t>
      </w:r>
      <w:r w:rsidR="00D0491E">
        <w:t>National Disability Insurance Scheme (</w:t>
      </w:r>
      <w:r w:rsidR="00FF4CB1">
        <w:t>NDIS</w:t>
      </w:r>
      <w:r w:rsidR="00D0491E">
        <w:t>)</w:t>
      </w:r>
      <w:r w:rsidR="00FF4CB1">
        <w:t xml:space="preserve"> planning and price control</w:t>
      </w:r>
      <w:r w:rsidRPr="00C110ED">
        <w:t xml:space="preserve"> purposes.</w:t>
      </w:r>
      <w:r w:rsidR="00FF4CB1">
        <w:t xml:space="preserve"> The following Table sets out all of the areas that are currently reclassified under this arrang</w:t>
      </w:r>
      <w:r w:rsidR="00FF4CB1" w:rsidRPr="003455BF">
        <w:rPr>
          <w:rFonts w:asciiTheme="minorHAnsi" w:hAnsiTheme="minorHAnsi" w:cstheme="minorHAnsi"/>
        </w:rPr>
        <w:t>ement.</w:t>
      </w:r>
    </w:p>
    <w:tbl>
      <w:tblPr>
        <w:tblStyle w:val="GridTable4-Accent4"/>
        <w:tblW w:w="5000" w:type="pct"/>
        <w:tblLook w:val="04A0" w:firstRow="1" w:lastRow="0" w:firstColumn="1" w:lastColumn="0" w:noHBand="0" w:noVBand="1"/>
        <w:tblCaption w:val="List of reclassified locations"/>
      </w:tblPr>
      <w:tblGrid>
        <w:gridCol w:w="1791"/>
        <w:gridCol w:w="1079"/>
        <w:gridCol w:w="1769"/>
        <w:gridCol w:w="1459"/>
        <w:gridCol w:w="1459"/>
        <w:gridCol w:w="1460"/>
      </w:tblGrid>
      <w:tr w:rsidR="008B15EB" w:rsidRPr="003455BF" w:rsidTr="0034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82376" w:rsidP="008B15EB">
            <w:pPr>
              <w:tabs>
                <w:tab w:val="left" w:pos="1215"/>
              </w:tabs>
              <w:spacing w:before="60" w:after="60"/>
              <w:rPr>
                <w:rFonts w:asciiTheme="minorHAnsi" w:hAnsiTheme="minorHAnsi" w:cstheme="minorHAnsi"/>
                <w:sz w:val="16"/>
                <w:szCs w:val="16"/>
              </w:rPr>
            </w:pPr>
            <w:r>
              <w:rPr>
                <w:rFonts w:asciiTheme="minorHAnsi" w:hAnsiTheme="minorHAnsi" w:cstheme="minorHAnsi"/>
                <w:sz w:val="16"/>
                <w:szCs w:val="16"/>
              </w:rPr>
              <w:t>NDIA Area</w:t>
            </w:r>
          </w:p>
        </w:tc>
        <w:tc>
          <w:tcPr>
            <w:tcW w:w="708" w:type="dxa"/>
          </w:tcPr>
          <w:p w:rsidR="008B15EB" w:rsidRPr="003455BF" w:rsidRDefault="008B15EB" w:rsidP="008B15EB">
            <w:pPr>
              <w:tabs>
                <w:tab w:val="left" w:pos="1215"/>
              </w:tab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Postcode</w:t>
            </w:r>
          </w:p>
        </w:tc>
        <w:tc>
          <w:tcPr>
            <w:tcW w:w="1535" w:type="dxa"/>
          </w:tcPr>
          <w:p w:rsidR="008B15EB" w:rsidRPr="003455BF" w:rsidRDefault="00EB2A67" w:rsidP="00EB2A67">
            <w:pPr>
              <w:tabs>
                <w:tab w:val="left" w:pos="1215"/>
              </w:tab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Location</w:t>
            </w:r>
          </w:p>
        </w:tc>
        <w:tc>
          <w:tcPr>
            <w:tcW w:w="1266" w:type="dxa"/>
            <w:hideMark/>
          </w:tcPr>
          <w:p w:rsidR="008B15EB" w:rsidRPr="003455BF" w:rsidRDefault="008B15EB" w:rsidP="008B15EB">
            <w:pPr>
              <w:tabs>
                <w:tab w:val="left" w:pos="1215"/>
              </w:tab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State</w:t>
            </w:r>
          </w:p>
        </w:tc>
        <w:tc>
          <w:tcPr>
            <w:tcW w:w="1266" w:type="dxa"/>
            <w:hideMark/>
          </w:tcPr>
          <w:p w:rsidR="008B15EB" w:rsidRPr="003455BF" w:rsidRDefault="008B15EB" w:rsidP="00EB2A67">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MMM Rating</w:t>
            </w:r>
          </w:p>
        </w:tc>
        <w:tc>
          <w:tcPr>
            <w:tcW w:w="1267" w:type="dxa"/>
            <w:hideMark/>
          </w:tcPr>
          <w:p w:rsidR="008B15EB" w:rsidRPr="003455BF" w:rsidRDefault="008B15EB" w:rsidP="00EB2A67">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Reclassified</w:t>
            </w:r>
            <w:r w:rsidRPr="003455BF">
              <w:rPr>
                <w:rFonts w:asciiTheme="minorHAnsi" w:hAnsiTheme="minorHAnsi" w:cstheme="minorHAnsi"/>
                <w:sz w:val="16"/>
                <w:szCs w:val="16"/>
              </w:rPr>
              <w:br/>
              <w:t>MMM Rating</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Hay</w:t>
            </w:r>
          </w:p>
        </w:tc>
        <w:tc>
          <w:tcPr>
            <w:tcW w:w="708"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2711</w:t>
            </w:r>
          </w:p>
        </w:tc>
        <w:tc>
          <w:tcPr>
            <w:tcW w:w="1535"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Hay</w:t>
            </w:r>
          </w:p>
        </w:tc>
        <w:tc>
          <w:tcPr>
            <w:tcW w:w="1266" w:type="dxa"/>
            <w:shd w:val="clear" w:color="auto" w:fill="FFFFFF" w:themeFill="background1"/>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NSW</w:t>
            </w:r>
          </w:p>
        </w:tc>
        <w:tc>
          <w:tcPr>
            <w:tcW w:w="1266" w:type="dxa"/>
            <w:shd w:val="clear" w:color="auto" w:fill="FFFFFF" w:themeFill="background1"/>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Hay</w:t>
            </w:r>
          </w:p>
        </w:tc>
        <w:tc>
          <w:tcPr>
            <w:tcW w:w="708"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2711</w:t>
            </w:r>
          </w:p>
        </w:tc>
        <w:tc>
          <w:tcPr>
            <w:tcW w:w="1535"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Hay South</w:t>
            </w:r>
          </w:p>
        </w:tc>
        <w:tc>
          <w:tcPr>
            <w:tcW w:w="1266"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NSW</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Balranald</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2715</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Balranald</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NSW</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Broken Hill</w:t>
            </w:r>
          </w:p>
        </w:tc>
        <w:tc>
          <w:tcPr>
            <w:tcW w:w="708"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2880</w:t>
            </w:r>
          </w:p>
        </w:tc>
        <w:tc>
          <w:tcPr>
            <w:tcW w:w="1535"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Broken Hill</w:t>
            </w:r>
          </w:p>
        </w:tc>
        <w:tc>
          <w:tcPr>
            <w:tcW w:w="1266"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NSW</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Roma</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4455</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Roma</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Roma</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4455</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Blythdale</w:t>
            </w:r>
            <w:proofErr w:type="spellEnd"/>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Roma</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4455</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Euthulla</w:t>
            </w:r>
            <w:proofErr w:type="spellEnd"/>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Roma</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4455</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Orange Hill</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Emerald</w:t>
            </w:r>
          </w:p>
        </w:tc>
        <w:tc>
          <w:tcPr>
            <w:tcW w:w="708"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4702</w:t>
            </w:r>
          </w:p>
        </w:tc>
        <w:tc>
          <w:tcPr>
            <w:tcW w:w="1535"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Comet</w:t>
            </w:r>
          </w:p>
        </w:tc>
        <w:tc>
          <w:tcPr>
            <w:tcW w:w="1266"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Emerald</w:t>
            </w:r>
          </w:p>
        </w:tc>
        <w:tc>
          <w:tcPr>
            <w:tcW w:w="708"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4717</w:t>
            </w:r>
          </w:p>
        </w:tc>
        <w:tc>
          <w:tcPr>
            <w:tcW w:w="1535"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Blackwater</w:t>
            </w:r>
          </w:p>
        </w:tc>
        <w:tc>
          <w:tcPr>
            <w:tcW w:w="1266"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Emerald</w:t>
            </w:r>
          </w:p>
        </w:tc>
        <w:tc>
          <w:tcPr>
            <w:tcW w:w="708"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4720</w:t>
            </w:r>
          </w:p>
        </w:tc>
        <w:tc>
          <w:tcPr>
            <w:tcW w:w="1535"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Emerald</w:t>
            </w:r>
          </w:p>
        </w:tc>
        <w:tc>
          <w:tcPr>
            <w:tcW w:w="1266"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Moranbah</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4741</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Coppabella</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Moranbah</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4744</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Moranbah</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Dysart</w:t>
            </w:r>
          </w:p>
        </w:tc>
        <w:tc>
          <w:tcPr>
            <w:tcW w:w="708"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4745</w:t>
            </w:r>
          </w:p>
        </w:tc>
        <w:tc>
          <w:tcPr>
            <w:tcW w:w="1535"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Dysart</w:t>
            </w:r>
          </w:p>
        </w:tc>
        <w:tc>
          <w:tcPr>
            <w:tcW w:w="1266"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Queenton</w:t>
            </w:r>
            <w:proofErr w:type="spellEnd"/>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Charters Towers</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Alabama Hill</w:t>
            </w:r>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Breddan</w:t>
            </w:r>
            <w:proofErr w:type="spellEnd"/>
          </w:p>
        </w:tc>
        <w:tc>
          <w:tcPr>
            <w:tcW w:w="1266" w:type="dxa"/>
            <w:shd w:val="clear" w:color="auto" w:fill="E7CAED" w:themeFill="accent4" w:themeFillTint="33"/>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Broughton</w:t>
            </w:r>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Grand Secret</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Millchester</w:t>
            </w:r>
            <w:proofErr w:type="spellEnd"/>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Mosman Park</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Richmond Hill</w:t>
            </w:r>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Southern Cross</w:t>
            </w:r>
          </w:p>
        </w:tc>
        <w:tc>
          <w:tcPr>
            <w:tcW w:w="1266" w:type="dxa"/>
            <w:shd w:val="clear" w:color="auto" w:fill="E7CAED" w:themeFill="accent4" w:themeFillTint="33"/>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Toll</w:t>
            </w:r>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Charters Towers</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4820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Towers Hill</w:t>
            </w:r>
          </w:p>
        </w:tc>
        <w:tc>
          <w:tcPr>
            <w:tcW w:w="1266" w:type="dxa"/>
            <w:shd w:val="clear" w:color="auto" w:fill="E7CAED" w:themeFill="accent4" w:themeFillTint="33"/>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QLD</w:t>
            </w:r>
          </w:p>
        </w:tc>
        <w:tc>
          <w:tcPr>
            <w:tcW w:w="1266"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4</w:t>
            </w:r>
          </w:p>
        </w:tc>
        <w:tc>
          <w:tcPr>
            <w:tcW w:w="1267"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Merredin</w:t>
            </w:r>
          </w:p>
        </w:tc>
        <w:tc>
          <w:tcPr>
            <w:tcW w:w="708"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6415</w:t>
            </w:r>
          </w:p>
        </w:tc>
        <w:tc>
          <w:tcPr>
            <w:tcW w:w="1535"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Merredin</w:t>
            </w:r>
          </w:p>
        </w:tc>
        <w:tc>
          <w:tcPr>
            <w:tcW w:w="1266"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Kalgoorlie</w:t>
            </w:r>
          </w:p>
        </w:tc>
        <w:tc>
          <w:tcPr>
            <w:tcW w:w="1266" w:type="dxa"/>
            <w:shd w:val="clear" w:color="auto" w:fill="E7CAED" w:themeFill="accent4" w:themeFillTint="33"/>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Broadwood</w:t>
            </w:r>
            <w:proofErr w:type="spellEnd"/>
          </w:p>
        </w:tc>
        <w:tc>
          <w:tcPr>
            <w:tcW w:w="1266" w:type="dxa"/>
            <w:hideMark/>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hideMark/>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Hannans</w:t>
            </w:r>
            <w:proofErr w:type="spellEnd"/>
          </w:p>
        </w:tc>
        <w:tc>
          <w:tcPr>
            <w:tcW w:w="1266" w:type="dxa"/>
            <w:shd w:val="clear" w:color="auto" w:fill="E7CAED" w:themeFill="accent4" w:themeFillTint="33"/>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roofErr w:type="spellStart"/>
            <w:r w:rsidRPr="003455BF">
              <w:rPr>
                <w:rFonts w:asciiTheme="minorHAnsi" w:hAnsiTheme="minorHAnsi" w:cstheme="minorHAnsi"/>
                <w:sz w:val="16"/>
                <w:szCs w:val="16"/>
              </w:rPr>
              <w:t>Karlkurla</w:t>
            </w:r>
            <w:proofErr w:type="spellEnd"/>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Lamington</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Mullingar</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Piccadilly</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Somerville</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South Kalgoorlie</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West Kalgoorlie</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West Lamington</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6430</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Williamstown</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lastRenderedPageBreak/>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6432</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Boulder</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6432</w:t>
            </w:r>
          </w:p>
        </w:tc>
        <w:tc>
          <w:tcPr>
            <w:tcW w:w="1535"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South Boulder</w:t>
            </w:r>
          </w:p>
        </w:tc>
        <w:tc>
          <w:tcPr>
            <w:tcW w:w="1266" w:type="dxa"/>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E7CAED" w:themeFill="accent4" w:themeFillTint="33"/>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Kalgoorlie</w:t>
            </w:r>
          </w:p>
        </w:tc>
        <w:tc>
          <w:tcPr>
            <w:tcW w:w="708"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6432</w:t>
            </w:r>
          </w:p>
        </w:tc>
        <w:tc>
          <w:tcPr>
            <w:tcW w:w="1535"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Victory Heights</w:t>
            </w:r>
          </w:p>
        </w:tc>
        <w:tc>
          <w:tcPr>
            <w:tcW w:w="1266" w:type="dxa"/>
            <w:shd w:val="clear" w:color="auto" w:fill="E7CAED" w:themeFill="accent4" w:themeFillTint="33"/>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3</w:t>
            </w:r>
          </w:p>
        </w:tc>
        <w:tc>
          <w:tcPr>
            <w:tcW w:w="1267" w:type="dxa"/>
            <w:shd w:val="clear" w:color="auto" w:fill="E7CAED" w:themeFill="accent4" w:themeFillTint="33"/>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Kambalda</w:t>
            </w:r>
          </w:p>
        </w:tc>
        <w:tc>
          <w:tcPr>
            <w:tcW w:w="708"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6442</w:t>
            </w:r>
          </w:p>
        </w:tc>
        <w:tc>
          <w:tcPr>
            <w:tcW w:w="1535"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Kambalda West</w:t>
            </w:r>
          </w:p>
        </w:tc>
        <w:tc>
          <w:tcPr>
            <w:tcW w:w="1266" w:type="dxa"/>
            <w:shd w:val="clear" w:color="auto" w:fill="FFFFFF" w:themeFill="background1"/>
          </w:tcPr>
          <w:p w:rsidR="008B15EB" w:rsidRPr="003455BF" w:rsidRDefault="008B15EB" w:rsidP="008B15EB">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tcPr>
          <w:p w:rsidR="008B15EB" w:rsidRPr="003455BF" w:rsidRDefault="008B15EB" w:rsidP="00EB2A67">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r w:rsidR="008B15EB" w:rsidRPr="003455BF" w:rsidTr="003455BF">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rsidR="008B15EB" w:rsidRPr="003455BF" w:rsidRDefault="008B15EB" w:rsidP="008B15EB">
            <w:pPr>
              <w:tabs>
                <w:tab w:val="left" w:pos="1215"/>
              </w:tabs>
              <w:spacing w:before="60" w:after="60"/>
              <w:rPr>
                <w:rFonts w:asciiTheme="minorHAnsi" w:hAnsiTheme="minorHAnsi" w:cstheme="minorHAnsi"/>
                <w:b w:val="0"/>
                <w:sz w:val="16"/>
                <w:szCs w:val="16"/>
              </w:rPr>
            </w:pPr>
            <w:r w:rsidRPr="003455BF">
              <w:rPr>
                <w:rFonts w:asciiTheme="minorHAnsi" w:hAnsiTheme="minorHAnsi" w:cstheme="minorHAnsi"/>
                <w:sz w:val="16"/>
                <w:szCs w:val="16"/>
              </w:rPr>
              <w:t>Kambalda</w:t>
            </w:r>
          </w:p>
        </w:tc>
        <w:tc>
          <w:tcPr>
            <w:tcW w:w="708"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6442</w:t>
            </w:r>
          </w:p>
        </w:tc>
        <w:tc>
          <w:tcPr>
            <w:tcW w:w="1535" w:type="dxa"/>
            <w:shd w:val="clear" w:color="auto" w:fill="FFFFFF" w:themeFill="background1"/>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Kambalda East</w:t>
            </w:r>
          </w:p>
        </w:tc>
        <w:tc>
          <w:tcPr>
            <w:tcW w:w="1266" w:type="dxa"/>
            <w:shd w:val="clear" w:color="auto" w:fill="FFFFFF" w:themeFill="background1"/>
            <w:hideMark/>
          </w:tcPr>
          <w:p w:rsidR="008B15EB" w:rsidRPr="003455BF" w:rsidRDefault="008B15EB" w:rsidP="008B15EB">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WA</w:t>
            </w:r>
          </w:p>
        </w:tc>
        <w:tc>
          <w:tcPr>
            <w:tcW w:w="1266" w:type="dxa"/>
            <w:shd w:val="clear" w:color="auto" w:fill="FFFFFF" w:themeFill="background1"/>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5</w:t>
            </w:r>
          </w:p>
        </w:tc>
        <w:tc>
          <w:tcPr>
            <w:tcW w:w="1267" w:type="dxa"/>
            <w:shd w:val="clear" w:color="auto" w:fill="FFFFFF" w:themeFill="background1"/>
            <w:hideMark/>
          </w:tcPr>
          <w:p w:rsidR="008B15EB" w:rsidRPr="003455BF" w:rsidRDefault="008B15EB" w:rsidP="00EB2A67">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455BF">
              <w:rPr>
                <w:rFonts w:asciiTheme="minorHAnsi" w:hAnsiTheme="minorHAnsi" w:cstheme="minorHAnsi"/>
                <w:sz w:val="16"/>
                <w:szCs w:val="16"/>
              </w:rPr>
              <w:t>6</w:t>
            </w:r>
          </w:p>
        </w:tc>
      </w:tr>
    </w:tbl>
    <w:p w:rsidR="003466C4" w:rsidRPr="00C110ED" w:rsidRDefault="00FE07D5" w:rsidP="00FE07D5">
      <w:pPr>
        <w:pStyle w:val="Heading2"/>
        <w:numPr>
          <w:ilvl w:val="0"/>
          <w:numId w:val="0"/>
        </w:numPr>
        <w:ind w:left="576" w:hanging="576"/>
      </w:pPr>
      <w:bookmarkStart w:id="47" w:name="_Toc25182185"/>
      <w:r>
        <w:t>Issues</w:t>
      </w:r>
      <w:bookmarkEnd w:id="47"/>
    </w:p>
    <w:p w:rsidR="00FE07D5" w:rsidRDefault="00FF4CB1" w:rsidP="00307EFF">
      <w:r>
        <w:t>A</w:t>
      </w:r>
      <w:r w:rsidR="00FE07D5">
        <w:t xml:space="preserve"> new version of the Modified Monash Model </w:t>
      </w:r>
      <w:r>
        <w:t>(MMM2019) based</w:t>
      </w:r>
      <w:r w:rsidR="00FE07D5">
        <w:t xml:space="preserve"> on the results of the most recent census</w:t>
      </w:r>
      <w:r>
        <w:t xml:space="preserve"> is now available</w:t>
      </w:r>
      <w:r w:rsidR="00FE07D5">
        <w:t>.</w:t>
      </w:r>
      <w:r>
        <w:t xml:space="preserve"> From 1 </w:t>
      </w:r>
      <w:r w:rsidRPr="00C110ED">
        <w:t xml:space="preserve">January 2020, programs in the </w:t>
      </w:r>
      <w:r>
        <w:t xml:space="preserve">Australian Department of Health will transition </w:t>
      </w:r>
      <w:r w:rsidRPr="00C110ED">
        <w:t>to the MMM</w:t>
      </w:r>
      <w:r>
        <w:t>2019</w:t>
      </w:r>
      <w:r w:rsidRPr="00C110ED">
        <w:t xml:space="preserve"> classification system.</w:t>
      </w:r>
    </w:p>
    <w:p w:rsidR="008E4EEB" w:rsidRDefault="00FF4CB1" w:rsidP="00FF4CB1">
      <w:r w:rsidRPr="00C110ED">
        <w:t xml:space="preserve">A </w:t>
      </w:r>
      <w:r>
        <w:t>number of locations have different MMM classifications under the MMM2015 and the MM</w:t>
      </w:r>
      <w:r w:rsidR="00670E44">
        <w:t>M</w:t>
      </w:r>
      <w:r>
        <w:t xml:space="preserve">2019 systems. This is because some labour supply centres have changed size, and so areas are now closer to or further from the nearest labour supply centre of a given size. </w:t>
      </w:r>
      <w:r w:rsidR="009657D7">
        <w:t>It is also because</w:t>
      </w:r>
      <w:r w:rsidR="008E4EEB">
        <w:t>, i</w:t>
      </w:r>
      <w:r w:rsidR="008E4EEB" w:rsidRPr="008E4EEB">
        <w:t xml:space="preserve">slands </w:t>
      </w:r>
      <w:r w:rsidR="008E4EEB">
        <w:t xml:space="preserve">(not connected to the mainland by a bridge) </w:t>
      </w:r>
      <w:r w:rsidR="008E4EEB" w:rsidRPr="008E4EEB">
        <w:t>that have an M</w:t>
      </w:r>
      <w:r w:rsidR="008E4EEB">
        <w:t>M</w:t>
      </w:r>
      <w:r w:rsidR="008E4EEB" w:rsidRPr="008E4EEB">
        <w:t xml:space="preserve">M5 classification </w:t>
      </w:r>
      <w:r w:rsidR="008E4EEB">
        <w:t>and that have</w:t>
      </w:r>
      <w:r w:rsidR="008E4EEB" w:rsidRPr="008E4EEB">
        <w:t xml:space="preserve"> a population of less than 1,000 </w:t>
      </w:r>
      <w:r w:rsidR="008E4EEB">
        <w:t>are classified as MMM6</w:t>
      </w:r>
      <w:r w:rsidR="009657D7">
        <w:t xml:space="preserve"> under the new MMM2019</w:t>
      </w:r>
      <w:r w:rsidR="008E4EEB">
        <w:t>.</w:t>
      </w:r>
    </w:p>
    <w:p w:rsidR="00FF4CB1" w:rsidRDefault="00FF4CB1" w:rsidP="00FF4CB1">
      <w:r>
        <w:t>The following Table provides details of the Urban Centres and Localities that will change classification between MMM2015 and MMM2019</w:t>
      </w:r>
      <w:r w:rsidR="00933CD9">
        <w:t xml:space="preserve"> to such an extent that </w:t>
      </w:r>
      <w:r w:rsidR="009657D7">
        <w:t xml:space="preserve">the </w:t>
      </w:r>
      <w:r w:rsidR="00933CD9">
        <w:t>loading that the NDIS applies for planning and price control purposes</w:t>
      </w:r>
      <w:r w:rsidR="009657D7">
        <w:t xml:space="preserve"> will be affected</w:t>
      </w:r>
      <w:r>
        <w:t>.</w:t>
      </w:r>
      <w:r w:rsidR="00F7685B">
        <w:t xml:space="preserve"> Note, however, that some of these locations would be eligible to be classified as remote under the isolated town policy. </w:t>
      </w:r>
    </w:p>
    <w:tbl>
      <w:tblPr>
        <w:tblStyle w:val="GridTable4-Accent4"/>
        <w:tblW w:w="5000" w:type="pct"/>
        <w:tblLayout w:type="fixed"/>
        <w:tblLook w:val="0420" w:firstRow="1" w:lastRow="0" w:firstColumn="0" w:lastColumn="0" w:noHBand="0" w:noVBand="1"/>
        <w:tblCaption w:val="Differences between MMM2015 and MMM2019"/>
        <w:tblDescription w:val="This table displays the urban centres and localities that have a classification change under the Modified Monash Model that will impact the loading that the NDIS applies in its planning and price controls."/>
      </w:tblPr>
      <w:tblGrid>
        <w:gridCol w:w="902"/>
        <w:gridCol w:w="2480"/>
        <w:gridCol w:w="1127"/>
        <w:gridCol w:w="1127"/>
        <w:gridCol w:w="1127"/>
        <w:gridCol w:w="1127"/>
        <w:gridCol w:w="1127"/>
      </w:tblGrid>
      <w:tr w:rsidR="008B15EB" w:rsidTr="00F71316">
        <w:trPr>
          <w:cnfStyle w:val="100000000000" w:firstRow="1" w:lastRow="0" w:firstColumn="0" w:lastColumn="0" w:oddVBand="0" w:evenVBand="0" w:oddHBand="0" w:evenHBand="0" w:firstRowFirstColumn="0" w:firstRowLastColumn="0" w:lastRowFirstColumn="0" w:lastRowLastColumn="0"/>
          <w:tblHeader/>
        </w:trPr>
        <w:tc>
          <w:tcPr>
            <w:tcW w:w="500" w:type="pct"/>
          </w:tcPr>
          <w:p w:rsidR="008B15EB" w:rsidRPr="003455BF" w:rsidRDefault="008B15EB" w:rsidP="003116CB">
            <w:pPr>
              <w:spacing w:before="60" w:after="60" w:line="240" w:lineRule="atLeast"/>
              <w:rPr>
                <w:rFonts w:asciiTheme="minorHAnsi" w:hAnsiTheme="minorHAnsi" w:cstheme="minorHAnsi"/>
                <w:sz w:val="16"/>
                <w:szCs w:val="16"/>
                <w:lang w:eastAsia="en-AU"/>
              </w:rPr>
            </w:pPr>
            <w:r w:rsidRPr="003455BF">
              <w:rPr>
                <w:rFonts w:asciiTheme="minorHAnsi" w:hAnsiTheme="minorHAnsi" w:cstheme="minorHAnsi"/>
                <w:sz w:val="16"/>
                <w:szCs w:val="16"/>
                <w:lang w:eastAsia="en-AU"/>
              </w:rPr>
              <w:t>State</w:t>
            </w:r>
          </w:p>
        </w:tc>
        <w:tc>
          <w:tcPr>
            <w:tcW w:w="1375" w:type="pct"/>
          </w:tcPr>
          <w:p w:rsidR="008B15EB" w:rsidRPr="003455BF" w:rsidRDefault="008B15EB">
            <w:pPr>
              <w:spacing w:before="60" w:after="60" w:line="240" w:lineRule="atLeast"/>
              <w:rPr>
                <w:rFonts w:asciiTheme="minorHAnsi" w:hAnsiTheme="minorHAnsi" w:cstheme="minorHAnsi"/>
                <w:sz w:val="16"/>
                <w:szCs w:val="16"/>
                <w:lang w:eastAsia="en-AU"/>
              </w:rPr>
            </w:pPr>
            <w:r w:rsidRPr="003455BF">
              <w:rPr>
                <w:rFonts w:asciiTheme="minorHAnsi" w:hAnsiTheme="minorHAnsi" w:cstheme="minorHAnsi"/>
                <w:sz w:val="16"/>
                <w:szCs w:val="16"/>
                <w:lang w:eastAsia="en-AU"/>
              </w:rPr>
              <w:t>Urban Centres and Localities</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sz w:val="16"/>
                <w:szCs w:val="16"/>
                <w:lang w:eastAsia="en-AU"/>
              </w:rPr>
            </w:pPr>
            <w:r w:rsidRPr="003455BF">
              <w:rPr>
                <w:rFonts w:asciiTheme="minorHAnsi" w:hAnsiTheme="minorHAnsi" w:cstheme="minorHAnsi"/>
                <w:sz w:val="16"/>
                <w:szCs w:val="16"/>
                <w:lang w:eastAsia="en-AU"/>
              </w:rPr>
              <w:t>MMM2015</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sz w:val="16"/>
                <w:szCs w:val="16"/>
                <w:lang w:eastAsia="en-AU"/>
              </w:rPr>
            </w:pPr>
            <w:r w:rsidRPr="003455BF">
              <w:rPr>
                <w:rFonts w:asciiTheme="minorHAnsi" w:hAnsiTheme="minorHAnsi" w:cstheme="minorHAnsi"/>
                <w:sz w:val="16"/>
                <w:szCs w:val="16"/>
                <w:lang w:eastAsia="en-AU"/>
              </w:rPr>
              <w:t>MMM2019</w:t>
            </w:r>
          </w:p>
        </w:tc>
        <w:tc>
          <w:tcPr>
            <w:tcW w:w="625" w:type="pct"/>
          </w:tcPr>
          <w:p w:rsidR="008B15EB" w:rsidRPr="003455BF" w:rsidRDefault="008B15EB" w:rsidP="00F71316">
            <w:pPr>
              <w:spacing w:before="60" w:after="60" w:line="240" w:lineRule="atLeast"/>
              <w:jc w:val="center"/>
              <w:rPr>
                <w:rFonts w:asciiTheme="minorHAnsi" w:hAnsiTheme="minorHAnsi" w:cstheme="minorHAnsi"/>
                <w:bCs w:val="0"/>
                <w:sz w:val="16"/>
                <w:szCs w:val="16"/>
                <w:lang w:eastAsia="en-AU"/>
              </w:rPr>
            </w:pPr>
            <w:r w:rsidRPr="003455BF">
              <w:rPr>
                <w:rFonts w:asciiTheme="minorHAnsi" w:hAnsiTheme="minorHAnsi" w:cstheme="minorHAnsi"/>
                <w:sz w:val="16"/>
                <w:szCs w:val="16"/>
                <w:lang w:eastAsia="en-AU"/>
              </w:rPr>
              <w:t>MMM2015</w:t>
            </w:r>
            <w:r w:rsidRPr="003455BF">
              <w:rPr>
                <w:rFonts w:asciiTheme="minorHAnsi" w:hAnsiTheme="minorHAnsi" w:cstheme="minorHAnsi"/>
                <w:sz w:val="16"/>
                <w:szCs w:val="16"/>
                <w:lang w:eastAsia="en-AU"/>
              </w:rPr>
              <w:br/>
              <w:t>Loading</w:t>
            </w:r>
          </w:p>
        </w:tc>
        <w:tc>
          <w:tcPr>
            <w:tcW w:w="625" w:type="pct"/>
          </w:tcPr>
          <w:p w:rsidR="008B15EB" w:rsidRPr="003455BF" w:rsidRDefault="008B15EB" w:rsidP="00F71316">
            <w:pPr>
              <w:spacing w:before="60" w:after="60" w:line="240" w:lineRule="atLeast"/>
              <w:jc w:val="center"/>
              <w:rPr>
                <w:rFonts w:asciiTheme="minorHAnsi" w:hAnsiTheme="minorHAnsi" w:cstheme="minorHAnsi"/>
                <w:bCs w:val="0"/>
                <w:sz w:val="16"/>
                <w:szCs w:val="16"/>
                <w:lang w:eastAsia="en-AU"/>
              </w:rPr>
            </w:pPr>
            <w:r w:rsidRPr="003455BF">
              <w:rPr>
                <w:rFonts w:asciiTheme="minorHAnsi" w:hAnsiTheme="minorHAnsi" w:cstheme="minorHAnsi"/>
                <w:sz w:val="16"/>
                <w:szCs w:val="16"/>
                <w:lang w:eastAsia="en-AU"/>
              </w:rPr>
              <w:t>MMM2019</w:t>
            </w:r>
            <w:r w:rsidRPr="003455BF">
              <w:rPr>
                <w:rFonts w:asciiTheme="minorHAnsi" w:hAnsiTheme="minorHAnsi" w:cstheme="minorHAnsi"/>
                <w:sz w:val="16"/>
                <w:szCs w:val="16"/>
                <w:lang w:eastAsia="en-AU"/>
              </w:rPr>
              <w:br/>
              <w:t>Loading</w:t>
            </w:r>
          </w:p>
        </w:tc>
        <w:tc>
          <w:tcPr>
            <w:tcW w:w="625" w:type="pct"/>
          </w:tcPr>
          <w:p w:rsidR="008B15EB" w:rsidRPr="003455BF" w:rsidRDefault="008B15EB" w:rsidP="00F71316">
            <w:pPr>
              <w:spacing w:before="60" w:after="60" w:line="240" w:lineRule="atLeast"/>
              <w:jc w:val="center"/>
              <w:rPr>
                <w:rFonts w:asciiTheme="minorHAnsi" w:hAnsiTheme="minorHAnsi" w:cstheme="minorHAnsi"/>
                <w:bCs w:val="0"/>
                <w:sz w:val="16"/>
                <w:szCs w:val="16"/>
                <w:lang w:eastAsia="en-AU"/>
              </w:rPr>
            </w:pPr>
            <w:r w:rsidRPr="003455BF">
              <w:rPr>
                <w:rFonts w:asciiTheme="minorHAnsi" w:hAnsiTheme="minorHAnsi" w:cstheme="minorHAnsi"/>
                <w:sz w:val="16"/>
                <w:szCs w:val="16"/>
                <w:lang w:eastAsia="en-AU"/>
              </w:rPr>
              <w:t>MMM2019 Loading (Isolated Towns)</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NSW</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Bourke</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NSW</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Cobar</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NSW</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Dangar Island</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Vic</w:t>
            </w:r>
          </w:p>
        </w:tc>
        <w:tc>
          <w:tcPr>
            <w:tcW w:w="1375" w:type="pct"/>
          </w:tcPr>
          <w:p w:rsidR="008B15EB" w:rsidRPr="003455BF" w:rsidRDefault="00F71316">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Hopetoun</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Arcadia Bay, Magnetic Island</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Cardwell</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Coochiemudlo Island</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Duaringa</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Dunwich</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Glenden</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Hideaway Bay - Dingo Beach</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Horseshoe Bay, Magnetic Island</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lastRenderedPageBreak/>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Injune</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Karragarra Island</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Lamb Island</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Nebo</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Nelly Bay, Magnetic Island</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Qld</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Picnic Bay, Magnetic Island</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E7CAED" w:themeFill="accent4" w:themeFillTint="33"/>
            <w:noWrap/>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shd w:val="clear" w:color="auto" w:fill="auto"/>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SA</w:t>
            </w:r>
          </w:p>
        </w:tc>
        <w:tc>
          <w:tcPr>
            <w:tcW w:w="1375" w:type="pct"/>
            <w:shd w:val="clear" w:color="auto" w:fill="auto"/>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Penneshaw</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auto"/>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WA</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Broome</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WA</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Carnarvon</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WA</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Green Head</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WA</w:t>
            </w:r>
          </w:p>
        </w:tc>
        <w:tc>
          <w:tcPr>
            <w:tcW w:w="1375" w:type="pct"/>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Kununurra</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r>
      <w:tr w:rsidR="008B15EB" w:rsidRPr="00933CD9" w:rsidTr="00F71316">
        <w:tc>
          <w:tcPr>
            <w:tcW w:w="500" w:type="pct"/>
            <w:shd w:val="clear" w:color="auto" w:fill="E7CAED" w:themeFill="accent4" w:themeFillTint="33"/>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WA</w:t>
            </w:r>
          </w:p>
        </w:tc>
        <w:tc>
          <w:tcPr>
            <w:tcW w:w="1375" w:type="pct"/>
            <w:shd w:val="clear" w:color="auto" w:fill="E7CAED" w:themeFill="accent4" w:themeFillTint="33"/>
          </w:tcPr>
          <w:p w:rsidR="008B15EB" w:rsidRPr="003455BF" w:rsidRDefault="008B15E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Leeman</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E7CAED" w:themeFill="accent4" w:themeFillTint="33"/>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0%</w:t>
            </w:r>
          </w:p>
        </w:tc>
        <w:tc>
          <w:tcPr>
            <w:tcW w:w="625" w:type="pct"/>
            <w:shd w:val="clear" w:color="auto" w:fill="E7CAED" w:themeFill="accent4" w:themeFillTint="33"/>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r w:rsidR="008B15EB" w:rsidRPr="00933CD9" w:rsidTr="00F71316">
        <w:trPr>
          <w:cnfStyle w:val="000000100000" w:firstRow="0" w:lastRow="0" w:firstColumn="0" w:lastColumn="0" w:oddVBand="0" w:evenVBand="0" w:oddHBand="1" w:evenHBand="0" w:firstRowFirstColumn="0" w:firstRowLastColumn="0" w:lastRowFirstColumn="0" w:lastRowLastColumn="0"/>
        </w:trPr>
        <w:tc>
          <w:tcPr>
            <w:tcW w:w="500" w:type="pct"/>
            <w:shd w:val="clear" w:color="auto" w:fill="auto"/>
          </w:tcPr>
          <w:p w:rsidR="008B15EB" w:rsidRPr="003455BF" w:rsidRDefault="008B15EB" w:rsidP="003116CB">
            <w:pPr>
              <w:spacing w:before="60" w:after="60" w:line="240" w:lineRule="atLeast"/>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NT</w:t>
            </w:r>
          </w:p>
        </w:tc>
        <w:tc>
          <w:tcPr>
            <w:tcW w:w="1375" w:type="pct"/>
            <w:shd w:val="clear" w:color="auto" w:fill="auto"/>
          </w:tcPr>
          <w:p w:rsidR="008B15EB" w:rsidRPr="003455BF" w:rsidRDefault="008B15EB">
            <w:pPr>
              <w:spacing w:before="60" w:after="60" w:line="240" w:lineRule="atLeast"/>
              <w:rPr>
                <w:rFonts w:asciiTheme="minorHAnsi" w:hAnsiTheme="minorHAnsi" w:cstheme="minorHAnsi"/>
                <w:color w:val="000000"/>
                <w:sz w:val="16"/>
                <w:szCs w:val="16"/>
                <w:lang w:eastAsia="en-AU"/>
              </w:rPr>
            </w:pPr>
            <w:proofErr w:type="spellStart"/>
            <w:r w:rsidRPr="003455BF">
              <w:rPr>
                <w:rFonts w:asciiTheme="minorHAnsi" w:hAnsiTheme="minorHAnsi" w:cstheme="minorHAnsi"/>
                <w:color w:val="000000"/>
                <w:sz w:val="16"/>
                <w:szCs w:val="16"/>
                <w:lang w:eastAsia="en-AU"/>
              </w:rPr>
              <w:t>Gunbalanya</w:t>
            </w:r>
            <w:proofErr w:type="spellEnd"/>
            <w:r w:rsidRPr="003455BF">
              <w:rPr>
                <w:rFonts w:asciiTheme="minorHAnsi" w:hAnsiTheme="minorHAnsi" w:cstheme="minorHAnsi"/>
                <w:color w:val="000000"/>
                <w:sz w:val="16"/>
                <w:szCs w:val="16"/>
                <w:lang w:eastAsia="en-AU"/>
              </w:rPr>
              <w:t xml:space="preserve"> (Oenpelli)</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7</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6</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50%</w:t>
            </w:r>
          </w:p>
        </w:tc>
        <w:tc>
          <w:tcPr>
            <w:tcW w:w="625" w:type="pct"/>
            <w:shd w:val="clear" w:color="auto" w:fill="auto"/>
            <w:hideMark/>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c>
          <w:tcPr>
            <w:tcW w:w="625" w:type="pct"/>
            <w:shd w:val="clear" w:color="auto" w:fill="auto"/>
          </w:tcPr>
          <w:p w:rsidR="008B15EB" w:rsidRPr="003455BF" w:rsidRDefault="008B15EB" w:rsidP="00F71316">
            <w:pPr>
              <w:spacing w:before="60" w:after="60" w:line="240" w:lineRule="atLeast"/>
              <w:jc w:val="center"/>
              <w:rPr>
                <w:rFonts w:asciiTheme="minorHAnsi" w:hAnsiTheme="minorHAnsi" w:cstheme="minorHAnsi"/>
                <w:color w:val="000000"/>
                <w:sz w:val="16"/>
                <w:szCs w:val="16"/>
                <w:lang w:eastAsia="en-AU"/>
              </w:rPr>
            </w:pPr>
            <w:r w:rsidRPr="003455BF">
              <w:rPr>
                <w:rFonts w:asciiTheme="minorHAnsi" w:hAnsiTheme="minorHAnsi" w:cstheme="minorHAnsi"/>
                <w:color w:val="000000"/>
                <w:sz w:val="16"/>
                <w:szCs w:val="16"/>
                <w:lang w:eastAsia="en-AU"/>
              </w:rPr>
              <w:t>40%</w:t>
            </w:r>
          </w:p>
        </w:tc>
      </w:tr>
    </w:tbl>
    <w:p w:rsidR="00FF4CB1" w:rsidRDefault="00670E44" w:rsidP="00FF4CB1">
      <w:r>
        <w:t>T</w:t>
      </w:r>
      <w:r w:rsidR="00D5434E">
        <w:t>his raises the issue of</w:t>
      </w:r>
      <w:r>
        <w:t xml:space="preserve"> whether transitional measures are required for those locations that are</w:t>
      </w:r>
      <w:r w:rsidR="009657D7">
        <w:t xml:space="preserve"> currently classified as remote under MMM2015 and would</w:t>
      </w:r>
      <w:r>
        <w:t xml:space="preserve"> no longer </w:t>
      </w:r>
      <w:r w:rsidR="009657D7">
        <w:t xml:space="preserve">be </w:t>
      </w:r>
      <w:r>
        <w:t>classified as remote</w:t>
      </w:r>
      <w:r w:rsidR="009657D7">
        <w:t xml:space="preserve"> under MMM2019</w:t>
      </w:r>
      <w:r w:rsidR="008E4EEB">
        <w:t>.</w:t>
      </w:r>
      <w:r w:rsidR="00D5434E">
        <w:t xml:space="preserve"> </w:t>
      </w:r>
    </w:p>
    <w:p w:rsidR="008E4EEB" w:rsidRDefault="008E4EEB" w:rsidP="00FF4CB1">
      <w:r>
        <w:t>One particular group of areas that are affected by the change from MMM2015 to MMM2019 are locations on Magnet</w:t>
      </w:r>
      <w:r w:rsidR="00C06B4D">
        <w:t>ic</w:t>
      </w:r>
      <w:r>
        <w:t xml:space="preserve"> Island in Queensland. This is because Magnetic Island is only 4.9 km from the mainland. It is arguable that islands that are not connected to the mainland by a bridge do not offer an appropriate level of access for the delivery of daily disability supports and should therefore be classified at a more remote level for NDIA purposes than they are for health purposes.</w:t>
      </w:r>
    </w:p>
    <w:p w:rsidR="000C092E" w:rsidRDefault="009657D7" w:rsidP="0016045A">
      <w:r>
        <w:t>T</w:t>
      </w:r>
      <w:r w:rsidR="0016045A" w:rsidRPr="00C110ED">
        <w:t xml:space="preserve">he </w:t>
      </w:r>
      <w:r w:rsidR="00180401">
        <w:rPr>
          <w:i/>
        </w:rPr>
        <w:t>Annual Price Review</w:t>
      </w:r>
      <w:r w:rsidR="0016045A" w:rsidRPr="00C110ED">
        <w:rPr>
          <w:i/>
        </w:rPr>
        <w:t xml:space="preserve"> 2020-21</w:t>
      </w:r>
      <w:r w:rsidR="0016045A" w:rsidRPr="00C110ED">
        <w:t xml:space="preserve"> is seeking the views of stakeholders on these issues and on any other issues that stakeholders wish to raise.</w:t>
      </w:r>
    </w:p>
    <w:p w:rsidR="000C092E" w:rsidRPr="00F71316" w:rsidRDefault="000C092E" w:rsidP="00F71316">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F71316">
        <w:rPr>
          <w:b/>
        </w:rPr>
        <w:t>7. GUIDE QUESTIONS</w:t>
      </w:r>
    </w:p>
    <w:p w:rsidR="000C092E" w:rsidRPr="003116CB" w:rsidRDefault="000C092E" w:rsidP="00F71316">
      <w:pPr>
        <w:pStyle w:val="IntenseQuote"/>
        <w:numPr>
          <w:ilvl w:val="0"/>
          <w:numId w:val="50"/>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What transitional arrangements, if any, should be put in place for locations that are currently classified as remote under MMM2015 and would no longer be classified as remote under MMM2019?</w:t>
      </w:r>
    </w:p>
    <w:p w:rsidR="000C092E" w:rsidRPr="00EB7DBA" w:rsidRDefault="000C092E" w:rsidP="00F71316">
      <w:pPr>
        <w:pStyle w:val="IntenseQuote"/>
        <w:numPr>
          <w:ilvl w:val="0"/>
          <w:numId w:val="50"/>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Are there any other issues with the geographic classification system used by the NDIS for pricing and planning purposes?</w:t>
      </w:r>
    </w:p>
    <w:p w:rsidR="000C092E" w:rsidRPr="00C110ED" w:rsidRDefault="000C092E" w:rsidP="0016045A"/>
    <w:p w:rsidR="00B54F7C" w:rsidRPr="00C110ED" w:rsidRDefault="00B54F7C" w:rsidP="005773DD">
      <w:pPr>
        <w:sectPr w:rsidR="00B54F7C" w:rsidRPr="00C110ED" w:rsidSect="0094258D">
          <w:pgSz w:w="11907" w:h="16839" w:code="9"/>
          <w:pgMar w:top="1440" w:right="1440" w:bottom="1440" w:left="1440" w:header="709" w:footer="709" w:gutter="0"/>
          <w:cols w:space="708"/>
          <w:titlePg/>
          <w:docGrid w:linePitch="360"/>
        </w:sectPr>
      </w:pPr>
    </w:p>
    <w:p w:rsidR="00AA6BA4" w:rsidRPr="00C110ED" w:rsidRDefault="00307EFF" w:rsidP="00307EFF">
      <w:pPr>
        <w:pStyle w:val="Heading1"/>
      </w:pPr>
      <w:bookmarkStart w:id="48" w:name="_Ref24369072"/>
      <w:bookmarkStart w:id="49" w:name="_Toc25182186"/>
      <w:r w:rsidRPr="00C110ED">
        <w:lastRenderedPageBreak/>
        <w:t>Costs in outer regional areas</w:t>
      </w:r>
      <w:bookmarkEnd w:id="48"/>
      <w:bookmarkEnd w:id="49"/>
    </w:p>
    <w:p w:rsidR="00915575" w:rsidRPr="00C110ED" w:rsidRDefault="00915575" w:rsidP="00B12551">
      <w:pPr>
        <w:pStyle w:val="Heading2"/>
        <w:numPr>
          <w:ilvl w:val="0"/>
          <w:numId w:val="0"/>
        </w:numPr>
        <w:ind w:left="576" w:hanging="576"/>
      </w:pPr>
      <w:bookmarkStart w:id="50" w:name="_Toc25182187"/>
      <w:r w:rsidRPr="00C110ED">
        <w:t>Current arrangements</w:t>
      </w:r>
      <w:bookmarkEnd w:id="50"/>
    </w:p>
    <w:p w:rsidR="00AA6BA4" w:rsidRPr="00C110ED" w:rsidRDefault="00307EFF" w:rsidP="00307EFF">
      <w:r w:rsidRPr="00C110ED">
        <w:t>The</w:t>
      </w:r>
      <w:r w:rsidR="00AA6BA4" w:rsidRPr="00C110ED">
        <w:t xml:space="preserve"> </w:t>
      </w:r>
      <w:r w:rsidR="001130EB">
        <w:t xml:space="preserve">National Disability Insurance Scheme (NDIS) </w:t>
      </w:r>
      <w:r w:rsidR="00AA6BA4" w:rsidRPr="00C110ED">
        <w:t>W</w:t>
      </w:r>
      <w:r w:rsidR="00947426" w:rsidRPr="00C110ED">
        <w:t xml:space="preserve">estern </w:t>
      </w:r>
      <w:r w:rsidR="00AA6BA4" w:rsidRPr="00C110ED">
        <w:t>A</w:t>
      </w:r>
      <w:r w:rsidR="00947426" w:rsidRPr="00C110ED">
        <w:t>ustralian (WA)</w:t>
      </w:r>
      <w:r w:rsidR="00AA6BA4" w:rsidRPr="00C110ED">
        <w:t xml:space="preserve"> Market Review</w:t>
      </w:r>
      <w:r w:rsidR="00A519D8" w:rsidRPr="00C110ED">
        <w:t xml:space="preserve"> found that costs in remote and very remote areas</w:t>
      </w:r>
      <w:r w:rsidR="00AA6BA4" w:rsidRPr="00C110ED">
        <w:t xml:space="preserve"> </w:t>
      </w:r>
      <w:r w:rsidR="00A519D8" w:rsidRPr="00C110ED">
        <w:t>were substantially</w:t>
      </w:r>
      <w:r w:rsidRPr="00C110ED">
        <w:t xml:space="preserve"> higher than those in other area</w:t>
      </w:r>
      <w:r w:rsidR="00D0491E">
        <w:t>s</w:t>
      </w:r>
      <w:r w:rsidRPr="00C110ED">
        <w:t>.</w:t>
      </w:r>
      <w:r w:rsidR="00054BB2">
        <w:t xml:space="preserve"> Refer to the </w:t>
      </w:r>
      <w:hyperlink r:id="rId22" w:history="1">
        <w:r w:rsidR="00054BB2" w:rsidRPr="00054BB2">
          <w:rPr>
            <w:rStyle w:val="Hyperlink"/>
          </w:rPr>
          <w:t>NDIS WA Market Review Final Report June 2019</w:t>
        </w:r>
      </w:hyperlink>
      <w:r w:rsidR="00054BB2">
        <w:t xml:space="preserve">. </w:t>
      </w:r>
      <w:r w:rsidR="00915575" w:rsidRPr="00C110ED">
        <w:t xml:space="preserve">As a result, the NDIS increased the </w:t>
      </w:r>
      <w:r w:rsidR="00947426" w:rsidRPr="00C110ED">
        <w:t xml:space="preserve">price limit </w:t>
      </w:r>
      <w:r w:rsidR="00915575" w:rsidRPr="00C110ED">
        <w:t xml:space="preserve">and plan funding </w:t>
      </w:r>
      <w:r w:rsidR="00A519D8" w:rsidRPr="00C110ED">
        <w:t xml:space="preserve">loadings for </w:t>
      </w:r>
      <w:r w:rsidR="00947426" w:rsidRPr="00C110ED">
        <w:t xml:space="preserve">remote and very remote </w:t>
      </w:r>
      <w:r w:rsidR="00915575" w:rsidRPr="00C110ED">
        <w:t xml:space="preserve">areas </w:t>
      </w:r>
      <w:r w:rsidR="00947426" w:rsidRPr="00C110ED">
        <w:t xml:space="preserve">from 20 per cent and 25 per cent </w:t>
      </w:r>
      <w:r w:rsidR="00A519D8" w:rsidRPr="00C110ED">
        <w:t>to 40</w:t>
      </w:r>
      <w:r w:rsidR="00947426" w:rsidRPr="00C110ED">
        <w:t xml:space="preserve"> per cent</w:t>
      </w:r>
      <w:r w:rsidR="00A519D8" w:rsidRPr="00C110ED">
        <w:t xml:space="preserve"> and 50</w:t>
      </w:r>
      <w:r w:rsidR="00947426" w:rsidRPr="00C110ED">
        <w:t xml:space="preserve"> per cent,</w:t>
      </w:r>
      <w:r w:rsidR="00A519D8" w:rsidRPr="00C110ED">
        <w:t xml:space="preserve"> respectively.</w:t>
      </w:r>
    </w:p>
    <w:p w:rsidR="00915575" w:rsidRPr="00C110ED" w:rsidRDefault="00915575" w:rsidP="00B12551">
      <w:pPr>
        <w:pStyle w:val="Heading2"/>
        <w:numPr>
          <w:ilvl w:val="0"/>
          <w:numId w:val="0"/>
        </w:numPr>
        <w:ind w:left="576" w:hanging="576"/>
      </w:pPr>
      <w:bookmarkStart w:id="51" w:name="_Toc25182188"/>
      <w:r w:rsidRPr="00C110ED">
        <w:t>Issues</w:t>
      </w:r>
      <w:bookmarkEnd w:id="51"/>
    </w:p>
    <w:p w:rsidR="00A519D8" w:rsidRPr="00C110ED" w:rsidRDefault="00915575" w:rsidP="00915575">
      <w:r w:rsidRPr="00C110ED">
        <w:t>The WA Market Review also found</w:t>
      </w:r>
      <w:r w:rsidR="00A519D8" w:rsidRPr="00C110ED">
        <w:t xml:space="preserve"> that costs did not suddenly rise when </w:t>
      </w:r>
      <w:r w:rsidR="00947426" w:rsidRPr="00C110ED">
        <w:t>a provider</w:t>
      </w:r>
      <w:r w:rsidR="00A519D8" w:rsidRPr="00C110ED">
        <w:t xml:space="preserve"> crossed the boundary from an outer regional area</w:t>
      </w:r>
      <w:r w:rsidR="00D0491E">
        <w:t>,</w:t>
      </w:r>
      <w:r w:rsidRPr="00C110ED">
        <w:t xml:space="preserve"> Modified Monash Model</w:t>
      </w:r>
      <w:r w:rsidR="00D0491E">
        <w:t xml:space="preserve"> (MMM)</w:t>
      </w:r>
      <w:r w:rsidRPr="00C110ED">
        <w:t xml:space="preserve"> regions 4 and 5</w:t>
      </w:r>
      <w:r w:rsidR="00D0491E">
        <w:t>,</w:t>
      </w:r>
      <w:r w:rsidR="00A519D8" w:rsidRPr="00C110ED">
        <w:t xml:space="preserve"> to a remote area. Rather, costs rose in line with </w:t>
      </w:r>
      <w:r w:rsidR="00947426" w:rsidRPr="00C110ED">
        <w:t xml:space="preserve">the </w:t>
      </w:r>
      <w:r w:rsidR="00A519D8" w:rsidRPr="00C110ED">
        <w:t xml:space="preserve">distance from capital cities – although not </w:t>
      </w:r>
      <w:r w:rsidRPr="00C110ED">
        <w:t>necessarily in a linear manner</w:t>
      </w:r>
      <w:r w:rsidR="00A519D8" w:rsidRPr="00C110ED">
        <w:t>.</w:t>
      </w:r>
      <w:r w:rsidR="005E6766" w:rsidRPr="00C110ED">
        <w:t xml:space="preserve"> </w:t>
      </w:r>
    </w:p>
    <w:p w:rsidR="001130EB" w:rsidRDefault="00915575" w:rsidP="00307EFF">
      <w:r w:rsidRPr="00C110ED">
        <w:t xml:space="preserve">The </w:t>
      </w:r>
      <w:r w:rsidR="00180401">
        <w:rPr>
          <w:i/>
        </w:rPr>
        <w:t>Annual Price Review</w:t>
      </w:r>
      <w:r w:rsidRPr="00C110ED">
        <w:rPr>
          <w:i/>
        </w:rPr>
        <w:t xml:space="preserve"> 2020-21</w:t>
      </w:r>
      <w:r w:rsidRPr="00C110ED">
        <w:t xml:space="preserve"> is seeking the views of stakeholders on the relative costs of delivering supports into outer regional areas.</w:t>
      </w:r>
    </w:p>
    <w:p w:rsidR="00D4588E" w:rsidRPr="00EB2A67" w:rsidRDefault="00D4588E"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2A67">
        <w:rPr>
          <w:b/>
        </w:rPr>
        <w:t>8. GUIDE QUESTIONS</w:t>
      </w:r>
    </w:p>
    <w:p w:rsidR="00D4588E" w:rsidRPr="00EB7DBA" w:rsidRDefault="00D4588E" w:rsidP="00EB2A67">
      <w:pPr>
        <w:pStyle w:val="IntenseQuote"/>
        <w:numPr>
          <w:ilvl w:val="0"/>
          <w:numId w:val="51"/>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Are the costs of delivering supports in outer regional areas higher than in metropolitan areas? If Yes, why and by how much? Please provide evidence.</w:t>
      </w:r>
    </w:p>
    <w:p w:rsidR="00D4588E" w:rsidRPr="00EB2A67" w:rsidRDefault="00D4588E" w:rsidP="00EB2A67">
      <w:pPr>
        <w:pStyle w:val="IntenseQuote"/>
        <w:numPr>
          <w:ilvl w:val="0"/>
          <w:numId w:val="51"/>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7DBA">
        <w:t>If you consider that price limits and plan funding amounts need to be raised in outer regional areas what would be an appropriate loading to cover the additional costs? (A broad range estimate is sufficient). What is the basis of your estimate?</w:t>
      </w:r>
    </w:p>
    <w:p w:rsidR="00B54F7C" w:rsidRPr="00C110ED" w:rsidRDefault="00B54F7C" w:rsidP="00307EFF"/>
    <w:p w:rsidR="00A51588" w:rsidRPr="00C110ED" w:rsidRDefault="00A51588" w:rsidP="005773DD">
      <w:pPr>
        <w:sectPr w:rsidR="00A51588" w:rsidRPr="00C110ED" w:rsidSect="0094258D">
          <w:pgSz w:w="11907" w:h="16839" w:code="9"/>
          <w:pgMar w:top="1440" w:right="1440" w:bottom="1440" w:left="1440" w:header="709" w:footer="709" w:gutter="0"/>
          <w:cols w:space="708"/>
          <w:titlePg/>
          <w:docGrid w:linePitch="360"/>
        </w:sectPr>
      </w:pPr>
      <w:bookmarkStart w:id="52" w:name="_Toc5290937"/>
    </w:p>
    <w:p w:rsidR="00457522" w:rsidRPr="00C110ED" w:rsidRDefault="00457522" w:rsidP="00307EFF">
      <w:pPr>
        <w:pStyle w:val="Heading1"/>
      </w:pPr>
      <w:bookmarkStart w:id="53" w:name="_Ref23256609"/>
      <w:bookmarkStart w:id="54" w:name="_Toc25182189"/>
      <w:r w:rsidRPr="00C110ED">
        <w:lastRenderedPageBreak/>
        <w:t>Cancellation rules</w:t>
      </w:r>
      <w:bookmarkEnd w:id="53"/>
      <w:bookmarkEnd w:id="54"/>
    </w:p>
    <w:p w:rsidR="00457522" w:rsidRPr="00C110ED" w:rsidRDefault="00457522" w:rsidP="00B12551">
      <w:pPr>
        <w:pStyle w:val="Heading2"/>
        <w:numPr>
          <w:ilvl w:val="0"/>
          <w:numId w:val="0"/>
        </w:numPr>
        <w:ind w:left="576" w:hanging="576"/>
      </w:pPr>
      <w:bookmarkStart w:id="55" w:name="_Toc25182190"/>
      <w:r w:rsidRPr="00C110ED">
        <w:t>Current arrangements</w:t>
      </w:r>
      <w:bookmarkEnd w:id="55"/>
    </w:p>
    <w:p w:rsidR="00457522" w:rsidRPr="00C110ED" w:rsidRDefault="00D0491E" w:rsidP="00307EFF">
      <w:r>
        <w:t>National Disability Insurance Scheme (</w:t>
      </w:r>
      <w:r w:rsidR="00457522" w:rsidRPr="00C110ED">
        <w:t>NDIS</w:t>
      </w:r>
      <w:r>
        <w:t>)</w:t>
      </w:r>
      <w:r w:rsidR="00457522" w:rsidRPr="00C110ED">
        <w:t xml:space="preserve"> providers are not permitted to collect deposits or bonds from participants, or to retain these funds in the event of the participant cancelling a service booking for a support or failing to turn up for a support. </w:t>
      </w:r>
      <w:r>
        <w:t>However, t</w:t>
      </w:r>
      <w:r w:rsidR="00457522" w:rsidRPr="00C110ED">
        <w:t>hey are permitted to charge cancellation fees against a participant’s</w:t>
      </w:r>
      <w:r w:rsidR="00112D6B">
        <w:t xml:space="preserve"> plans in certain circumstances</w:t>
      </w:r>
      <w:r w:rsidR="00457522" w:rsidRPr="00C110ED">
        <w:t>.</w:t>
      </w:r>
    </w:p>
    <w:p w:rsidR="00457522" w:rsidRPr="00C110ED" w:rsidRDefault="00457522" w:rsidP="00307EFF">
      <w:r w:rsidRPr="00C110ED">
        <w:t>The NDIS Price Guide and Support Catalogue currently says:</w:t>
      </w:r>
    </w:p>
    <w:p w:rsidR="00457522" w:rsidRPr="00C110ED" w:rsidRDefault="00457522" w:rsidP="00E76573">
      <w:pPr>
        <w:ind w:left="284"/>
        <w:rPr>
          <w:i/>
        </w:rPr>
      </w:pPr>
      <w:bookmarkStart w:id="56" w:name="_Toc485131953"/>
      <w:bookmarkStart w:id="57" w:name="_Toc504114426"/>
      <w:bookmarkStart w:id="58" w:name="_Toc504137194"/>
      <w:bookmarkStart w:id="59" w:name="_Toc536784151"/>
      <w:r w:rsidRPr="00C110ED">
        <w:rPr>
          <w:i/>
        </w:rPr>
        <w:t>Where a provider has a short notice cancellation (or no show) they are able to recover 90% of the fee associated with the activity, subject to the terms of the service agreement with the participant. Providers are only permitted to charge for a short notice cancellation (or no show) if they have not found alternative billable work for the relevant worker and are required to pay the worker for the time that would have been spent providing the support.</w:t>
      </w:r>
    </w:p>
    <w:p w:rsidR="00457522" w:rsidRPr="00C110ED" w:rsidRDefault="00457522" w:rsidP="00E76573">
      <w:pPr>
        <w:ind w:left="284"/>
        <w:rPr>
          <w:i/>
        </w:rPr>
      </w:pPr>
      <w:r w:rsidRPr="00C110ED">
        <w:rPr>
          <w:i/>
        </w:rPr>
        <w:t>A cancellation is a short notice cancellation if the participant:</w:t>
      </w:r>
    </w:p>
    <w:p w:rsidR="00457522" w:rsidRPr="00C110ED" w:rsidRDefault="00457522" w:rsidP="00E76573">
      <w:pPr>
        <w:numPr>
          <w:ilvl w:val="0"/>
          <w:numId w:val="12"/>
        </w:numPr>
        <w:spacing w:before="0"/>
        <w:rPr>
          <w:rFonts w:cs="Arial"/>
          <w:i/>
          <w:szCs w:val="18"/>
        </w:rPr>
      </w:pPr>
      <w:r w:rsidRPr="00C110ED">
        <w:rPr>
          <w:i/>
        </w:rPr>
        <w:t xml:space="preserve">does not show up for a scheduled support within a reasonable time, or is not present at the </w:t>
      </w:r>
      <w:r w:rsidRPr="00C110ED">
        <w:rPr>
          <w:rFonts w:cs="Arial"/>
          <w:i/>
          <w:szCs w:val="18"/>
        </w:rPr>
        <w:t>agreed place and within a reasonable time when the provider is travelling to deliver the support; or</w:t>
      </w:r>
    </w:p>
    <w:p w:rsidR="00457522" w:rsidRPr="00C110ED" w:rsidRDefault="00457522" w:rsidP="00E76573">
      <w:pPr>
        <w:numPr>
          <w:ilvl w:val="0"/>
          <w:numId w:val="12"/>
        </w:numPr>
        <w:spacing w:before="0"/>
        <w:rPr>
          <w:rFonts w:cs="Arial"/>
          <w:i/>
          <w:szCs w:val="18"/>
        </w:rPr>
      </w:pPr>
      <w:r w:rsidRPr="00C110ED">
        <w:rPr>
          <w:rFonts w:cs="Arial"/>
          <w:i/>
          <w:szCs w:val="18"/>
        </w:rPr>
        <w:t>has given less than two (2) clear business days’ notice for a support that meets both of the following conditions:</w:t>
      </w:r>
    </w:p>
    <w:p w:rsidR="00457522" w:rsidRPr="00C110ED" w:rsidRDefault="00457522" w:rsidP="00040022">
      <w:pPr>
        <w:numPr>
          <w:ilvl w:val="1"/>
          <w:numId w:val="12"/>
        </w:numPr>
        <w:spacing w:before="0"/>
        <w:rPr>
          <w:rFonts w:cs="Arial"/>
          <w:i/>
          <w:szCs w:val="18"/>
        </w:rPr>
      </w:pPr>
      <w:r w:rsidRPr="00C110ED">
        <w:rPr>
          <w:rFonts w:cs="Arial"/>
          <w:i/>
          <w:szCs w:val="18"/>
        </w:rPr>
        <w:t>the support is less than 8 hours continuous duration; AND</w:t>
      </w:r>
    </w:p>
    <w:p w:rsidR="00457522" w:rsidRPr="00C110ED" w:rsidRDefault="00457522" w:rsidP="00040022">
      <w:pPr>
        <w:numPr>
          <w:ilvl w:val="1"/>
          <w:numId w:val="12"/>
        </w:numPr>
        <w:spacing w:before="0"/>
        <w:rPr>
          <w:rFonts w:cs="Arial"/>
          <w:i/>
          <w:szCs w:val="18"/>
        </w:rPr>
      </w:pPr>
      <w:r w:rsidRPr="00C110ED">
        <w:rPr>
          <w:rFonts w:cs="Arial"/>
          <w:i/>
          <w:szCs w:val="18"/>
        </w:rPr>
        <w:t>the agreed total price for the support is less than $1000; or</w:t>
      </w:r>
    </w:p>
    <w:p w:rsidR="00457522" w:rsidRPr="00C110ED" w:rsidRDefault="00457522" w:rsidP="00E76573">
      <w:pPr>
        <w:numPr>
          <w:ilvl w:val="0"/>
          <w:numId w:val="12"/>
        </w:numPr>
        <w:spacing w:before="0"/>
        <w:rPr>
          <w:i/>
        </w:rPr>
      </w:pPr>
      <w:proofErr w:type="gramStart"/>
      <w:r w:rsidRPr="00C110ED">
        <w:rPr>
          <w:rFonts w:cs="Arial"/>
          <w:i/>
          <w:szCs w:val="18"/>
        </w:rPr>
        <w:t>has</w:t>
      </w:r>
      <w:proofErr w:type="gramEnd"/>
      <w:r w:rsidRPr="00C110ED">
        <w:rPr>
          <w:rFonts w:cs="Arial"/>
          <w:i/>
          <w:szCs w:val="18"/>
        </w:rPr>
        <w:t xml:space="preserve"> given less</w:t>
      </w:r>
      <w:r w:rsidRPr="00C110ED">
        <w:rPr>
          <w:i/>
        </w:rPr>
        <w:t xml:space="preserve"> than five (5) clear business days’ notice for any other support.</w:t>
      </w:r>
    </w:p>
    <w:p w:rsidR="00457522" w:rsidRPr="00C110ED" w:rsidRDefault="00457522" w:rsidP="00E76573">
      <w:pPr>
        <w:ind w:left="284"/>
        <w:rPr>
          <w:i/>
        </w:rPr>
      </w:pPr>
      <w:r w:rsidRPr="00C110ED">
        <w:rPr>
          <w:i/>
        </w:rPr>
        <w:t xml:space="preserve">Claims for a short notice cancellation should made using the same support item as would have been used if the support had been delivered, using the “Cancellation” option in </w:t>
      </w:r>
      <w:r w:rsidR="00CD4FF3">
        <w:rPr>
          <w:i/>
        </w:rPr>
        <w:t xml:space="preserve">the </w:t>
      </w:r>
      <w:proofErr w:type="spellStart"/>
      <w:r w:rsidR="00CD4FF3">
        <w:rPr>
          <w:i/>
        </w:rPr>
        <w:t>m</w:t>
      </w:r>
      <w:r w:rsidRPr="00C110ED">
        <w:rPr>
          <w:i/>
        </w:rPr>
        <w:t>yplace</w:t>
      </w:r>
      <w:proofErr w:type="spellEnd"/>
      <w:r w:rsidRPr="00C110ED">
        <w:rPr>
          <w:i/>
        </w:rPr>
        <w:t xml:space="preserve"> portal. When making a claim for a cancelled support the provider should claim for the full-agreed price of the support and indicate in the payment system that the claim is for a cancellation. The payment system will reduce the claim to 90% of the full-agreed price.</w:t>
      </w:r>
    </w:p>
    <w:p w:rsidR="00457522" w:rsidRPr="00C110ED" w:rsidRDefault="00457522" w:rsidP="00E76573">
      <w:pPr>
        <w:ind w:left="284"/>
        <w:rPr>
          <w:i/>
        </w:rPr>
      </w:pPr>
      <w:r w:rsidRPr="00C110ED">
        <w:rPr>
          <w:i/>
        </w:rPr>
        <w:t>There is no limit on the number of short notice cancellations (or no shows) that a provider can claim in respect of a participant. However, providers have a duty of care to their participants and if a participant has an unusual number of cancellations then the provider should seek to understand why they are occurring.</w:t>
      </w:r>
    </w:p>
    <w:p w:rsidR="00457522" w:rsidRPr="00C110ED" w:rsidRDefault="00457522" w:rsidP="00E76573">
      <w:pPr>
        <w:ind w:left="284"/>
        <w:rPr>
          <w:i/>
        </w:rPr>
      </w:pPr>
      <w:r w:rsidRPr="00C110ED">
        <w:rPr>
          <w:i/>
        </w:rPr>
        <w:t>The NDIA will monitor claims for cancellations and may contact providers who have a participant with an unusual number of cancellations.</w:t>
      </w:r>
    </w:p>
    <w:p w:rsidR="00457522" w:rsidRPr="00C110ED" w:rsidRDefault="00457522" w:rsidP="00B12551">
      <w:pPr>
        <w:pStyle w:val="Heading2"/>
        <w:numPr>
          <w:ilvl w:val="0"/>
          <w:numId w:val="0"/>
        </w:numPr>
        <w:ind w:left="576" w:hanging="576"/>
      </w:pPr>
      <w:bookmarkStart w:id="60" w:name="_Toc25182191"/>
      <w:bookmarkEnd w:id="56"/>
      <w:bookmarkEnd w:id="57"/>
      <w:bookmarkEnd w:id="58"/>
      <w:bookmarkEnd w:id="59"/>
      <w:r w:rsidRPr="00C110ED">
        <w:lastRenderedPageBreak/>
        <w:t>Issues</w:t>
      </w:r>
      <w:bookmarkEnd w:id="60"/>
    </w:p>
    <w:p w:rsidR="00457522" w:rsidRPr="00C110ED" w:rsidRDefault="00457522" w:rsidP="00307EFF">
      <w:r w:rsidRPr="00C110ED">
        <w:t xml:space="preserve">Providers </w:t>
      </w:r>
      <w:r w:rsidR="00BD590D">
        <w:t xml:space="preserve">and participants </w:t>
      </w:r>
      <w:r w:rsidRPr="00C110ED">
        <w:t>have raised a number of issue</w:t>
      </w:r>
      <w:r w:rsidR="00E76573">
        <w:t>s with the current arrangements.</w:t>
      </w:r>
      <w:r w:rsidRPr="00C110ED">
        <w:t xml:space="preserve"> </w:t>
      </w:r>
    </w:p>
    <w:p w:rsidR="00457522" w:rsidRPr="00C110ED" w:rsidRDefault="00E65788" w:rsidP="0013788E">
      <w:pPr>
        <w:numPr>
          <w:ilvl w:val="0"/>
          <w:numId w:val="11"/>
        </w:numPr>
      </w:pPr>
      <w:r>
        <w:t xml:space="preserve">Some providers have argued that the current arrangements whereby they are required </w:t>
      </w:r>
      <w:r w:rsidR="00457522" w:rsidRPr="00C110ED">
        <w:t>to bill for 100</w:t>
      </w:r>
      <w:r w:rsidR="00D0491E">
        <w:t xml:space="preserve"> per cent</w:t>
      </w:r>
      <w:r w:rsidR="00457522" w:rsidRPr="00C110ED">
        <w:t xml:space="preserve"> of the agreed fee for </w:t>
      </w:r>
      <w:r>
        <w:t>a cancelled</w:t>
      </w:r>
      <w:r w:rsidR="00457522" w:rsidRPr="00C110ED">
        <w:t xml:space="preserve"> service but the NDIS only pa</w:t>
      </w:r>
      <w:r w:rsidR="00E76573">
        <w:t>ys them 90</w:t>
      </w:r>
      <w:r w:rsidR="00D0491E">
        <w:t xml:space="preserve"> per cent</w:t>
      </w:r>
      <w:r w:rsidR="00E76573">
        <w:t xml:space="preserve"> of the agreed fee</w:t>
      </w:r>
      <w:r>
        <w:t xml:space="preserve"> re</w:t>
      </w:r>
      <w:r w:rsidR="00CD4FF3">
        <w:t>sults in accounting anomalies</w:t>
      </w:r>
      <w:r>
        <w:t xml:space="preserve"> in</w:t>
      </w:r>
      <w:r w:rsidR="00457522" w:rsidRPr="00C110ED">
        <w:t xml:space="preserve"> their accounts showing the NDIS as bad debtor. Plan managers </w:t>
      </w:r>
      <w:r>
        <w:t xml:space="preserve">have </w:t>
      </w:r>
      <w:r w:rsidR="00457522" w:rsidRPr="00C110ED">
        <w:t xml:space="preserve">also </w:t>
      </w:r>
      <w:r w:rsidR="00E76573">
        <w:t>report</w:t>
      </w:r>
      <w:r>
        <w:t>ed</w:t>
      </w:r>
      <w:r w:rsidR="00E76573">
        <w:t xml:space="preserve"> that they </w:t>
      </w:r>
      <w:r w:rsidR="00457522" w:rsidRPr="00C110ED">
        <w:t>face difficulties in balancing their accounts when the invoices presented by providers, which they pass onto the NDIS, do not match the payments made by the NDIS.</w:t>
      </w:r>
      <w:r w:rsidR="00E76573">
        <w:t xml:space="preserve"> </w:t>
      </w:r>
      <w:r w:rsidR="00457522" w:rsidRPr="00C110ED">
        <w:t>Some providers have also argue</w:t>
      </w:r>
      <w:r w:rsidR="007E38D6">
        <w:t>d</w:t>
      </w:r>
      <w:r w:rsidR="00457522" w:rsidRPr="00C110ED">
        <w:t xml:space="preserve"> that they should be able to recover the full cost of the service that was cancelled, where they have not been able to replace the participant, as they face all of the costs associated with the appointment.</w:t>
      </w:r>
    </w:p>
    <w:p w:rsidR="00457522" w:rsidRPr="00C110ED" w:rsidRDefault="00E76573" w:rsidP="0013788E">
      <w:pPr>
        <w:numPr>
          <w:ilvl w:val="0"/>
          <w:numId w:val="11"/>
        </w:numPr>
      </w:pPr>
      <w:r>
        <w:t>Some stakeholders have</w:t>
      </w:r>
      <w:r w:rsidR="00E65788">
        <w:t xml:space="preserve"> questioned whether the NDIS cancellation rules should not be better aligned to those that apply in the general economy.</w:t>
      </w:r>
    </w:p>
    <w:p w:rsidR="001130EB" w:rsidRDefault="00457522" w:rsidP="005773DD">
      <w:r w:rsidRPr="00C110ED">
        <w:t xml:space="preserve">The </w:t>
      </w:r>
      <w:r w:rsidR="00180401">
        <w:rPr>
          <w:i/>
        </w:rPr>
        <w:t>Annual Price Review</w:t>
      </w:r>
      <w:r w:rsidRPr="00C110ED">
        <w:rPr>
          <w:i/>
        </w:rPr>
        <w:t xml:space="preserve"> 2020-21</w:t>
      </w:r>
      <w:r w:rsidRPr="00C110ED">
        <w:t xml:space="preserve"> is seeking the views of stakeholders on these issues and on any other issues with </w:t>
      </w:r>
      <w:r w:rsidR="00D0491E">
        <w:t>cancellation</w:t>
      </w:r>
      <w:r w:rsidRPr="00C110ED">
        <w:t xml:space="preserve">s that </w:t>
      </w:r>
      <w:r w:rsidR="003A021A">
        <w:t>stakeholders may wish to raise.</w:t>
      </w:r>
    </w:p>
    <w:p w:rsidR="003A021A" w:rsidRPr="00EB2A67" w:rsidRDefault="003A021A"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2A67">
        <w:rPr>
          <w:b/>
        </w:rPr>
        <w:t>9. GUIDE QUESTIONS</w:t>
      </w:r>
    </w:p>
    <w:p w:rsidR="003A021A" w:rsidRPr="00EB7DBA"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Is the 90 per cent thresh</w:t>
      </w:r>
      <w:r w:rsidRPr="00EB7DBA">
        <w:t>old appropriate to recover the costs of a cancelled appointment? Should this threshold be raised or lowered?</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Does the two business days’ notice provide adequate time to providers to make alternative arrangements (for example, rearranging staff or finding a replacement participant)?</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When a short notice cancellation occurs, how often are alternative arrangements able to be made?</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What are the costs incurred by a provider when alternative arrangements cannot be made?</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 xml:space="preserve">What level of administration is involved in replacing a short notice cancellation? What is considered to be appropriate steps in following up and contacting a participant? </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What are some of the challenges for participants and their representatives in providing two business days’ notice for a cancellation? For example, falling ill on the day of an appointment?</w:t>
      </w:r>
    </w:p>
    <w:p w:rsidR="003A021A" w:rsidRPr="00EB2A67" w:rsidRDefault="003A021A" w:rsidP="00EB2A67">
      <w:pPr>
        <w:pStyle w:val="IntenseQuote"/>
        <w:numPr>
          <w:ilvl w:val="0"/>
          <w:numId w:val="52"/>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Currently the same cancellation rules apply to all supports. Is this appropriate?</w:t>
      </w:r>
    </w:p>
    <w:p w:rsidR="003A021A" w:rsidRPr="00C110ED" w:rsidRDefault="003A021A" w:rsidP="003A021A"/>
    <w:p w:rsidR="003A021A" w:rsidRPr="00C110ED" w:rsidRDefault="003A021A" w:rsidP="005773DD">
      <w:pPr>
        <w:sectPr w:rsidR="003A021A" w:rsidRPr="00C110ED" w:rsidSect="0094258D">
          <w:pgSz w:w="11907" w:h="16839" w:code="9"/>
          <w:pgMar w:top="1440" w:right="1440" w:bottom="1440" w:left="1440" w:header="709" w:footer="709" w:gutter="0"/>
          <w:cols w:space="708"/>
          <w:titlePg/>
          <w:docGrid w:linePitch="360"/>
        </w:sectPr>
      </w:pPr>
    </w:p>
    <w:p w:rsidR="00E86057" w:rsidRPr="00C110ED" w:rsidRDefault="00E86057" w:rsidP="00307EFF">
      <w:pPr>
        <w:pStyle w:val="Heading1"/>
      </w:pPr>
      <w:bookmarkStart w:id="61" w:name="_Ref23256880"/>
      <w:bookmarkStart w:id="62" w:name="_Toc25182192"/>
      <w:r w:rsidRPr="00C110ED">
        <w:lastRenderedPageBreak/>
        <w:t xml:space="preserve">Provider travel </w:t>
      </w:r>
      <w:r w:rsidR="00081216" w:rsidRPr="00C110ED">
        <w:t>rules</w:t>
      </w:r>
      <w:bookmarkEnd w:id="61"/>
      <w:bookmarkEnd w:id="62"/>
    </w:p>
    <w:p w:rsidR="00A51588" w:rsidRPr="00C110ED" w:rsidRDefault="00A51588" w:rsidP="00B12551">
      <w:pPr>
        <w:pStyle w:val="Heading2"/>
        <w:numPr>
          <w:ilvl w:val="0"/>
          <w:numId w:val="0"/>
        </w:numPr>
        <w:ind w:left="576" w:hanging="576"/>
      </w:pPr>
      <w:bookmarkStart w:id="63" w:name="_Toc25182193"/>
      <w:r w:rsidRPr="00C110ED">
        <w:t>Current arrangements</w:t>
      </w:r>
      <w:bookmarkEnd w:id="63"/>
    </w:p>
    <w:p w:rsidR="00112D6B" w:rsidRDefault="00E76573" w:rsidP="0043127F">
      <w:r>
        <w:t xml:space="preserve">The </w:t>
      </w:r>
      <w:r w:rsidR="00D0491E">
        <w:t>National Disability Insurance Agency (NDIA)</w:t>
      </w:r>
      <w:r>
        <w:t xml:space="preserve"> recognises that supports are often best delivered in the community or the participant’s own home. The price control arrangements therefore allow providers to charge for the time spent travelling to participants to deliver supports in some case. </w:t>
      </w:r>
    </w:p>
    <w:p w:rsidR="00A51588" w:rsidRPr="00C110ED" w:rsidRDefault="00A51588" w:rsidP="0043127F">
      <w:r w:rsidRPr="00C110ED">
        <w:t xml:space="preserve">The </w:t>
      </w:r>
      <w:r w:rsidR="00D0491E">
        <w:t>National Disability Insurance Scheme (</w:t>
      </w:r>
      <w:r w:rsidR="00D0491E" w:rsidRPr="00C110ED">
        <w:t>NDIS</w:t>
      </w:r>
      <w:r w:rsidR="00D0491E">
        <w:t>)</w:t>
      </w:r>
      <w:r w:rsidRPr="00C110ED">
        <w:t xml:space="preserve"> Price Guide and Support Catalogue currently says:</w:t>
      </w:r>
    </w:p>
    <w:p w:rsidR="00E86057" w:rsidRPr="00C110ED" w:rsidRDefault="00E86057" w:rsidP="00E76573">
      <w:pPr>
        <w:ind w:left="284"/>
        <w:rPr>
          <w:i/>
        </w:rPr>
      </w:pPr>
      <w:r w:rsidRPr="00C110ED">
        <w:rPr>
          <w:i/>
        </w:rPr>
        <w:t xml:space="preserve">Providers can only claim travel costs from a participant in respect of the delivery of a support item if: </w:t>
      </w:r>
    </w:p>
    <w:p w:rsidR="00E86057" w:rsidRPr="00C110ED" w:rsidRDefault="00E86057" w:rsidP="00E76573">
      <w:pPr>
        <w:numPr>
          <w:ilvl w:val="0"/>
          <w:numId w:val="12"/>
        </w:numPr>
        <w:spacing w:before="0"/>
        <w:rPr>
          <w:i/>
        </w:rPr>
      </w:pPr>
      <w:r w:rsidRPr="00C110ED">
        <w:rPr>
          <w:i/>
        </w:rPr>
        <w:t xml:space="preserve">the Support Catalogue indicates that providers can claim for Provider Travel in respect of that support item; </w:t>
      </w:r>
    </w:p>
    <w:p w:rsidR="00E86057" w:rsidRPr="00C110ED" w:rsidRDefault="00E86057" w:rsidP="00E76573">
      <w:pPr>
        <w:numPr>
          <w:ilvl w:val="0"/>
          <w:numId w:val="12"/>
        </w:numPr>
        <w:spacing w:before="0"/>
        <w:rPr>
          <w:i/>
        </w:rPr>
      </w:pPr>
      <w:r w:rsidRPr="00C110ED">
        <w:rPr>
          <w:i/>
        </w:rPr>
        <w:t xml:space="preserve">the provider has the agreement of the participant in advance (i.e. the service agreement between the participant and provider should specify the travel costs that can be claimed); and </w:t>
      </w:r>
    </w:p>
    <w:p w:rsidR="00E86057" w:rsidRPr="00C110ED" w:rsidRDefault="00E86057" w:rsidP="00E76573">
      <w:pPr>
        <w:numPr>
          <w:ilvl w:val="0"/>
          <w:numId w:val="12"/>
        </w:numPr>
        <w:spacing w:before="0"/>
        <w:rPr>
          <w:i/>
        </w:rPr>
      </w:pPr>
      <w:proofErr w:type="gramStart"/>
      <w:r w:rsidRPr="00C110ED">
        <w:rPr>
          <w:i/>
        </w:rPr>
        <w:t>the</w:t>
      </w:r>
      <w:proofErr w:type="gramEnd"/>
      <w:r w:rsidRPr="00C110ED">
        <w:rPr>
          <w:i/>
        </w:rPr>
        <w:t xml:space="preserv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 </w:t>
      </w:r>
    </w:p>
    <w:p w:rsidR="00E86057" w:rsidRPr="00C110ED" w:rsidRDefault="00E86057" w:rsidP="00E76573">
      <w:pPr>
        <w:ind w:left="284"/>
        <w:rPr>
          <w:i/>
        </w:rPr>
      </w:pPr>
      <w:r w:rsidRPr="00C110ED">
        <w:rPr>
          <w:i/>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support is delivered.) </w:t>
      </w:r>
    </w:p>
    <w:p w:rsidR="00E86057" w:rsidRPr="00C110ED" w:rsidRDefault="00E86057" w:rsidP="00E76573">
      <w:pPr>
        <w:ind w:left="284"/>
        <w:rPr>
          <w:i/>
        </w:rPr>
      </w:pPr>
      <w:r w:rsidRPr="00C110ED">
        <w:rPr>
          <w:i/>
        </w:rPr>
        <w:t xml:space="preserve">In addition </w:t>
      </w:r>
      <w:r w:rsidR="00CD4FF3">
        <w:rPr>
          <w:i/>
        </w:rPr>
        <w:t xml:space="preserve">to the above travel, capacity </w:t>
      </w:r>
      <w:r w:rsidRPr="00C110ED">
        <w:rPr>
          <w:i/>
        </w:rPr>
        <w:t xml:space="preserve">building providers who are permitted to claim for provider travel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support is delivered.) </w:t>
      </w:r>
    </w:p>
    <w:p w:rsidR="00E86057" w:rsidRPr="00C110ED" w:rsidRDefault="00E86057" w:rsidP="00E76573">
      <w:pPr>
        <w:ind w:left="284"/>
        <w:rPr>
          <w:i/>
        </w:rPr>
      </w:pPr>
      <w:r w:rsidRPr="00C110ED">
        <w:rPr>
          <w:i/>
        </w:rPr>
        <w:t>Where a worker is travelling to provide services to more than one participant in a ‘region’ then the provider can apportion that travel time (including the return journey where applicable) between the participants, with the agreement of each participant in advance.</w:t>
      </w:r>
    </w:p>
    <w:p w:rsidR="00E86057" w:rsidRPr="00C110ED" w:rsidRDefault="00E86057" w:rsidP="00E76573">
      <w:pPr>
        <w:ind w:left="284"/>
        <w:rPr>
          <w:i/>
        </w:rPr>
      </w:pPr>
      <w:r w:rsidRPr="00C110ED">
        <w:rPr>
          <w:i/>
        </w:rPr>
        <w:t>Claims for travel in respect of a support must be made separately to the claim for the primary support (the support for which the travel is necessary) using the same line item as the primary support and the “</w:t>
      </w:r>
      <w:r w:rsidR="00CD4FF3">
        <w:rPr>
          <w:i/>
        </w:rPr>
        <w:t xml:space="preserve">Provider Travel” option in the </w:t>
      </w:r>
      <w:proofErr w:type="spellStart"/>
      <w:r w:rsidR="00CD4FF3">
        <w:rPr>
          <w:i/>
        </w:rPr>
        <w:t>m</w:t>
      </w:r>
      <w:r w:rsidRPr="00C110ED">
        <w:rPr>
          <w:i/>
        </w:rPr>
        <w:t>yplace</w:t>
      </w:r>
      <w:proofErr w:type="spellEnd"/>
      <w:r w:rsidRPr="00C110ED">
        <w:rPr>
          <w:i/>
        </w:rPr>
        <w:t xml:space="preserve"> portal. When claiming for travel in respect of a support, a provider should use the same hourly rate as </w:t>
      </w:r>
      <w:r w:rsidRPr="00C110ED">
        <w:rPr>
          <w:i/>
        </w:rPr>
        <w:lastRenderedPageBreak/>
        <w:t xml:space="preserve">they have agreed with the participant for the primary support (or a lower hourly rate for the travel if that is what they have agreed with the participant) in calculating the claimable travel cost. </w:t>
      </w:r>
    </w:p>
    <w:p w:rsidR="00081216" w:rsidRPr="00C110ED" w:rsidRDefault="00081216" w:rsidP="00B12551">
      <w:pPr>
        <w:pStyle w:val="Heading2"/>
        <w:numPr>
          <w:ilvl w:val="0"/>
          <w:numId w:val="0"/>
        </w:numPr>
        <w:ind w:left="576" w:hanging="576"/>
      </w:pPr>
      <w:bookmarkStart w:id="64" w:name="_Toc25182194"/>
      <w:r w:rsidRPr="00C110ED">
        <w:t>Issues</w:t>
      </w:r>
      <w:bookmarkEnd w:id="64"/>
    </w:p>
    <w:p w:rsidR="0043127F" w:rsidRPr="00C110ED" w:rsidRDefault="003466C4" w:rsidP="0043127F">
      <w:r w:rsidRPr="00C110ED">
        <w:t>Stakeholders</w:t>
      </w:r>
      <w:r w:rsidR="0043127F" w:rsidRPr="00C110ED">
        <w:t xml:space="preserve"> have raised a number of issues with the current arrangements, including:</w:t>
      </w:r>
    </w:p>
    <w:p w:rsidR="003466C4" w:rsidRPr="00C110ED" w:rsidRDefault="003466C4" w:rsidP="0043127F">
      <w:pPr>
        <w:numPr>
          <w:ilvl w:val="0"/>
          <w:numId w:val="11"/>
        </w:numPr>
      </w:pPr>
      <w:r w:rsidRPr="00C110ED">
        <w:t>T</w:t>
      </w:r>
      <w:r w:rsidR="0043127F" w:rsidRPr="00C110ED">
        <w:t>he current limits on the bil</w:t>
      </w:r>
      <w:r w:rsidRPr="00C110ED">
        <w:t>lable travel time</w:t>
      </w:r>
      <w:r w:rsidR="00074426" w:rsidRPr="00C110ED">
        <w:t xml:space="preserve"> may</w:t>
      </w:r>
      <w:r w:rsidRPr="00C110ED">
        <w:t xml:space="preserve"> restrict </w:t>
      </w:r>
      <w:r w:rsidR="0043127F" w:rsidRPr="00C110ED">
        <w:t>services to participants</w:t>
      </w:r>
      <w:r w:rsidR="00074426" w:rsidRPr="00C110ED">
        <w:t xml:space="preserve"> because providers will be unwilling to deliver services if they are unable to recover their travel costs</w:t>
      </w:r>
      <w:r w:rsidRPr="00C110ED">
        <w:t>.</w:t>
      </w:r>
    </w:p>
    <w:p w:rsidR="00457522" w:rsidRDefault="003466C4" w:rsidP="00077BE4">
      <w:pPr>
        <w:numPr>
          <w:ilvl w:val="0"/>
          <w:numId w:val="11"/>
        </w:numPr>
      </w:pPr>
      <w:r w:rsidRPr="00C110ED">
        <w:t>Providers</w:t>
      </w:r>
      <w:r w:rsidR="0043127F" w:rsidRPr="00C110ED">
        <w:t xml:space="preserve"> are not currently permitted to claim for </w:t>
      </w:r>
      <w:r w:rsidRPr="00C110ED">
        <w:t xml:space="preserve">unavoidable </w:t>
      </w:r>
      <w:r w:rsidR="0043127F" w:rsidRPr="00C110ED">
        <w:t>non-labour travel costs, which include the overall general cost for running and mainta</w:t>
      </w:r>
      <w:r w:rsidR="00077BE4" w:rsidRPr="00C110ED">
        <w:t>ining the cost of the vehicle, including allowances payable to work</w:t>
      </w:r>
      <w:r w:rsidR="00BD590D">
        <w:t>ers</w:t>
      </w:r>
      <w:r w:rsidR="00077BE4" w:rsidRPr="00C110ED">
        <w:t xml:space="preserve"> for</w:t>
      </w:r>
      <w:r w:rsidR="00074426" w:rsidRPr="00C110ED">
        <w:t xml:space="preserve"> the use of their own cars, or </w:t>
      </w:r>
      <w:r w:rsidR="00077BE4" w:rsidRPr="00C110ED">
        <w:t xml:space="preserve">the cost of </w:t>
      </w:r>
      <w:r w:rsidR="006C19FB" w:rsidRPr="00C110ED">
        <w:t>maintaining fleet vehicles and r</w:t>
      </w:r>
      <w:r w:rsidR="00077BE4" w:rsidRPr="00C110ED">
        <w:t>oad tolls.</w:t>
      </w:r>
    </w:p>
    <w:p w:rsidR="001130EB" w:rsidRDefault="00E76573" w:rsidP="005773DD">
      <w:r w:rsidRPr="00C110ED">
        <w:t xml:space="preserve">The </w:t>
      </w:r>
      <w:r w:rsidR="00180401">
        <w:rPr>
          <w:i/>
        </w:rPr>
        <w:t>Annual Price Review</w:t>
      </w:r>
      <w:r w:rsidRPr="00E76573">
        <w:rPr>
          <w:i/>
        </w:rPr>
        <w:t xml:space="preserve"> 2020-21</w:t>
      </w:r>
      <w:r w:rsidRPr="00C110ED">
        <w:t xml:space="preserve"> is seeking the views of stakeholders on these issues and on any other issues with the price control arrangements for </w:t>
      </w:r>
      <w:r>
        <w:t>provider travel</w:t>
      </w:r>
      <w:r w:rsidRPr="00C110ED">
        <w:t xml:space="preserve"> that stakeholders wish to raise.</w:t>
      </w:r>
      <w:bookmarkStart w:id="65" w:name="_Ref23256570"/>
      <w:bookmarkStart w:id="66" w:name="_Ref23256857"/>
      <w:bookmarkEnd w:id="11"/>
      <w:bookmarkEnd w:id="52"/>
    </w:p>
    <w:p w:rsidR="00F06C86" w:rsidRDefault="00F06C86" w:rsidP="005773DD"/>
    <w:p w:rsidR="00B92A45" w:rsidRPr="00EB2A67" w:rsidRDefault="00B92A45"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2A67">
        <w:rPr>
          <w:b/>
        </w:rPr>
        <w:t>10. GUIDE QUESTIONS</w:t>
      </w:r>
    </w:p>
    <w:p w:rsidR="00B92A45" w:rsidRPr="00EB2A67" w:rsidRDefault="00B92A45"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rPr>
          <w:b/>
        </w:rPr>
        <w:t>Provider travel time l</w:t>
      </w:r>
      <w:r w:rsidRPr="00EB7DBA">
        <w:rPr>
          <w:b/>
        </w:rPr>
        <w:t>imits</w:t>
      </w:r>
    </w:p>
    <w:p w:rsidR="00B92A45" w:rsidRPr="00EB7DBA"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What proportion of travel episode</w:t>
      </w:r>
      <w:r w:rsidRPr="00EB7DBA">
        <w:t>s related to the delivery of NDIS supports by your organisation exceed the claimable time limits specified in the NDIS Price Guide and Support Catalogue? Please provide evidence.</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On average, what proportion of the travel costs assisted with the delivery of an NDIS support (labour and non-labour costs) do you currently recover from the NDIS? Please provide evidence.</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What areas, if any, are unviable to service due to costs involved in travel? Please explain.</w:t>
      </w:r>
    </w:p>
    <w:p w:rsidR="00B92A45" w:rsidRPr="00EB2A67" w:rsidRDefault="00B92A45"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Non-labour costs</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On average, what proportion of the total travel costs assisted with the delivery of an NDIS (labour and non-labour costs) are represented by non-labour costs? Please provide evidence.</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On average, what additional non-labour costs per kilometre travelled do you incur because of provider travel? Please provide evidence.</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Does the additional cost per kilometre depend on the type of vehicle or other factors? If so, please provide more details? Please provide evidence.</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 xml:space="preserve"> If providers were able to claim for non-labour costs associated with travel, would this be best done on a per kilometre basis or some other basis? Please provide details.</w:t>
      </w:r>
    </w:p>
    <w:p w:rsidR="00B92A45" w:rsidRPr="00EB2A67" w:rsidRDefault="00B92A45"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Other issues</w:t>
      </w:r>
    </w:p>
    <w:p w:rsidR="00B92A45" w:rsidRPr="00EB2A67" w:rsidRDefault="00B92A45" w:rsidP="00EB2A67">
      <w:pPr>
        <w:pStyle w:val="IntenseQuote"/>
        <w:numPr>
          <w:ilvl w:val="0"/>
          <w:numId w:val="53"/>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Are there any other issues that you would like to raise with the price control arrangements for provider travel?</w:t>
      </w:r>
    </w:p>
    <w:p w:rsidR="00B92A45" w:rsidRPr="00C110ED" w:rsidRDefault="00B92A45" w:rsidP="005773DD">
      <w:pPr>
        <w:sectPr w:rsidR="00B92A45" w:rsidRPr="00C110ED" w:rsidSect="0094258D">
          <w:pgSz w:w="11907" w:h="16839" w:code="9"/>
          <w:pgMar w:top="1440" w:right="1440" w:bottom="1440" w:left="1440" w:header="709" w:footer="709" w:gutter="0"/>
          <w:cols w:space="708"/>
          <w:titlePg/>
          <w:docGrid w:linePitch="360"/>
        </w:sectPr>
      </w:pPr>
    </w:p>
    <w:p w:rsidR="00546B3A" w:rsidRPr="00C110ED" w:rsidRDefault="00546B3A" w:rsidP="00307EFF">
      <w:pPr>
        <w:pStyle w:val="Heading1"/>
      </w:pPr>
      <w:bookmarkStart w:id="67" w:name="_Ref24368307"/>
      <w:bookmarkStart w:id="68" w:name="_Toc25182195"/>
      <w:r w:rsidRPr="00C110ED">
        <w:lastRenderedPageBreak/>
        <w:t>Establishment fees</w:t>
      </w:r>
      <w:bookmarkEnd w:id="65"/>
      <w:bookmarkEnd w:id="66"/>
      <w:bookmarkEnd w:id="67"/>
      <w:bookmarkEnd w:id="68"/>
    </w:p>
    <w:p w:rsidR="00270902" w:rsidRPr="00C110ED" w:rsidRDefault="00307EFF" w:rsidP="00B12551">
      <w:pPr>
        <w:pStyle w:val="Heading2"/>
        <w:numPr>
          <w:ilvl w:val="0"/>
          <w:numId w:val="0"/>
        </w:numPr>
        <w:ind w:left="576" w:hanging="576"/>
      </w:pPr>
      <w:bookmarkStart w:id="69" w:name="_Toc25182196"/>
      <w:r w:rsidRPr="00C110ED">
        <w:t>Current arrangements</w:t>
      </w:r>
      <w:bookmarkEnd w:id="69"/>
    </w:p>
    <w:p w:rsidR="00302A72" w:rsidRPr="00C110ED" w:rsidRDefault="008A54D2" w:rsidP="00307EFF">
      <w:r>
        <w:t>National Disability Insurance Scheme (</w:t>
      </w:r>
      <w:r w:rsidRPr="00C110ED">
        <w:t>NDIS</w:t>
      </w:r>
      <w:r>
        <w:t>)</w:t>
      </w:r>
      <w:r w:rsidR="003833A0" w:rsidRPr="00C110ED">
        <w:t xml:space="preserve"> providers </w:t>
      </w:r>
      <w:r w:rsidR="00270902" w:rsidRPr="00C110ED">
        <w:t xml:space="preserve">who are providing a significant amount (at least 20 hours per month) of daily activity and community participation supports to a participant </w:t>
      </w:r>
      <w:r w:rsidR="003833A0" w:rsidRPr="00C110ED">
        <w:t xml:space="preserve">are </w:t>
      </w:r>
      <w:r w:rsidR="00270902" w:rsidRPr="00C110ED">
        <w:t>permitted to charge that</w:t>
      </w:r>
      <w:r w:rsidR="003833A0" w:rsidRPr="00C110ED">
        <w:t xml:space="preserve"> participant’s plan an establishment fee when they commence providing </w:t>
      </w:r>
      <w:r w:rsidR="00270902" w:rsidRPr="00C110ED">
        <w:t>services to the</w:t>
      </w:r>
      <w:r w:rsidR="003833A0" w:rsidRPr="00C110ED">
        <w:t xml:space="preserve"> participant.</w:t>
      </w:r>
      <w:r w:rsidR="00270902" w:rsidRPr="00C110ED">
        <w:t xml:space="preserve"> This recognises </w:t>
      </w:r>
      <w:r w:rsidR="00302A72" w:rsidRPr="00C110ED">
        <w:t>the</w:t>
      </w:r>
      <w:r w:rsidR="00307EFF" w:rsidRPr="00C110ED">
        <w:t xml:space="preserve"> non-ongoing and not otherwise billable</w:t>
      </w:r>
      <w:r w:rsidR="00302A72" w:rsidRPr="00C110ED">
        <w:t xml:space="preserve"> costs that providers incur in establishing arrangements and assisting participants in implementing their plan. </w:t>
      </w:r>
    </w:p>
    <w:p w:rsidR="001A6084" w:rsidRPr="00C110ED" w:rsidRDefault="00270902" w:rsidP="00307EFF">
      <w:r w:rsidRPr="00C110ED">
        <w:t>The NDIS Price Guide and Support Catalogue currently says:</w:t>
      </w:r>
    </w:p>
    <w:p w:rsidR="001A6084" w:rsidRPr="00C110ED" w:rsidRDefault="00307EFF" w:rsidP="00E76573">
      <w:pPr>
        <w:ind w:left="284"/>
        <w:rPr>
          <w:i/>
        </w:rPr>
      </w:pPr>
      <w:r w:rsidRPr="00C110ED">
        <w:rPr>
          <w:i/>
        </w:rPr>
        <w:t>[The Establishment Fee arrangements apply]</w:t>
      </w:r>
      <w:r w:rsidR="001A6084" w:rsidRPr="00C110ED">
        <w:rPr>
          <w:i/>
        </w:rPr>
        <w:t xml:space="preserve">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rsidR="001A6084" w:rsidRPr="00C110ED" w:rsidRDefault="001A6084" w:rsidP="00E76573">
      <w:pPr>
        <w:ind w:left="284"/>
        <w:rPr>
          <w:i/>
        </w:rPr>
      </w:pPr>
      <w:r w:rsidRPr="00C110ED">
        <w:rPr>
          <w:i/>
        </w:rPr>
        <w:t xml:space="preserve">An establishment fee is claimable by the provider who assists the participant with the implementation of their NDIS Plan, delivers a minimum of 20 hours per month of personal care/community access support and has made an agreement with the participant to supply these services. </w:t>
      </w:r>
    </w:p>
    <w:p w:rsidR="001A6084" w:rsidRPr="00C110ED" w:rsidRDefault="001A6084" w:rsidP="00E76573">
      <w:pPr>
        <w:ind w:left="284"/>
        <w:rPr>
          <w:i/>
        </w:rPr>
      </w:pPr>
      <w:r w:rsidRPr="00C110ED">
        <w:rPr>
          <w:i/>
        </w:rPr>
        <w:t>A budget of $750 is included in the first plan for NDIS participants, in case they need this type of assistance from providers to design and implement support arrangements. Providers can draw against this budget as follows:</w:t>
      </w:r>
    </w:p>
    <w:p w:rsidR="001A6084" w:rsidRPr="00C110ED" w:rsidRDefault="001A6084" w:rsidP="00E76573">
      <w:pPr>
        <w:numPr>
          <w:ilvl w:val="0"/>
          <w:numId w:val="12"/>
        </w:numPr>
        <w:spacing w:before="0"/>
        <w:rPr>
          <w:rFonts w:cs="Arial"/>
          <w:i/>
          <w:szCs w:val="18"/>
        </w:rPr>
      </w:pPr>
      <w:r w:rsidRPr="00C110ED">
        <w:rPr>
          <w:rFonts w:cs="Arial"/>
          <w:i/>
          <w:szCs w:val="18"/>
        </w:rPr>
        <w:t>If the participant is new to the NDIS and new to the provider, then the provider can charge a maximum of $500 against the participant’s plan;</w:t>
      </w:r>
    </w:p>
    <w:p w:rsidR="001A6084" w:rsidRPr="00C110ED" w:rsidRDefault="001A6084" w:rsidP="00E76573">
      <w:pPr>
        <w:numPr>
          <w:ilvl w:val="0"/>
          <w:numId w:val="12"/>
        </w:numPr>
        <w:spacing w:before="0"/>
        <w:rPr>
          <w:rFonts w:cs="Arial"/>
          <w:i/>
          <w:szCs w:val="18"/>
        </w:rPr>
      </w:pPr>
      <w:r w:rsidRPr="00C110ED">
        <w:rPr>
          <w:rFonts w:cs="Arial"/>
          <w:i/>
          <w:szCs w:val="18"/>
        </w:rPr>
        <w:t>If the participant is new to the NDIS but is an existing client of the provider, then the provider can charge a maximum of $250 against the participant’s plan; and</w:t>
      </w:r>
    </w:p>
    <w:p w:rsidR="001A6084" w:rsidRDefault="001A6084" w:rsidP="00E76573">
      <w:pPr>
        <w:numPr>
          <w:ilvl w:val="0"/>
          <w:numId w:val="12"/>
        </w:numPr>
        <w:spacing w:before="0"/>
        <w:rPr>
          <w:rFonts w:cs="Arial"/>
          <w:i/>
          <w:szCs w:val="18"/>
        </w:rPr>
      </w:pPr>
      <w:r w:rsidRPr="00C110ED">
        <w:rPr>
          <w:rFonts w:cs="Arial"/>
          <w:i/>
          <w:szCs w:val="18"/>
        </w:rPr>
        <w:t>If the participant is choosing to change providers, then the new provider can charge a maximum of $250 against the participant’s plan to assist the participant in changing providers.</w:t>
      </w:r>
    </w:p>
    <w:p w:rsidR="00270902" w:rsidRPr="00C110ED" w:rsidRDefault="00270902" w:rsidP="00B12551">
      <w:pPr>
        <w:pStyle w:val="Heading2"/>
        <w:numPr>
          <w:ilvl w:val="0"/>
          <w:numId w:val="0"/>
        </w:numPr>
        <w:ind w:left="576" w:hanging="576"/>
      </w:pPr>
      <w:bookmarkStart w:id="70" w:name="_Toc25182197"/>
      <w:r w:rsidRPr="00C110ED">
        <w:t>Issues</w:t>
      </w:r>
      <w:bookmarkEnd w:id="70"/>
    </w:p>
    <w:p w:rsidR="00270902" w:rsidRPr="00C110ED" w:rsidRDefault="005669D7" w:rsidP="00307EFF">
      <w:r>
        <w:t>Stakeholders</w:t>
      </w:r>
      <w:r w:rsidR="00270902" w:rsidRPr="00C110ED">
        <w:t xml:space="preserve"> have raised a number of issues with the curren</w:t>
      </w:r>
      <w:r w:rsidR="00302A72" w:rsidRPr="00C110ED">
        <w:t xml:space="preserve">t </w:t>
      </w:r>
      <w:r w:rsidR="00307EFF" w:rsidRPr="00C110ED">
        <w:t xml:space="preserve">price control </w:t>
      </w:r>
      <w:r w:rsidR="00302A72" w:rsidRPr="00C110ED">
        <w:t>arran</w:t>
      </w:r>
      <w:r w:rsidR="00270902" w:rsidRPr="00C110ED">
        <w:t>gements</w:t>
      </w:r>
      <w:r w:rsidR="00307EFF" w:rsidRPr="00C110ED">
        <w:t xml:space="preserve"> for establishment fees</w:t>
      </w:r>
      <w:r w:rsidR="00270902" w:rsidRPr="00C110ED">
        <w:t>, including:</w:t>
      </w:r>
    </w:p>
    <w:p w:rsidR="00270902" w:rsidRPr="00C110ED" w:rsidRDefault="00270902" w:rsidP="00040022">
      <w:pPr>
        <w:numPr>
          <w:ilvl w:val="0"/>
          <w:numId w:val="11"/>
        </w:numPr>
      </w:pPr>
      <w:r w:rsidRPr="00C110ED">
        <w:t xml:space="preserve">Whether providers can charge an establishment fee to a participant if they commence to provide services to the participant </w:t>
      </w:r>
      <w:r w:rsidR="00307EFF" w:rsidRPr="00C110ED">
        <w:t>in their second or subsequent</w:t>
      </w:r>
      <w:r w:rsidRPr="00C110ED">
        <w:t xml:space="preserve"> plan?</w:t>
      </w:r>
    </w:p>
    <w:p w:rsidR="00270902" w:rsidRPr="00C110ED" w:rsidRDefault="00270902" w:rsidP="00040022">
      <w:pPr>
        <w:numPr>
          <w:ilvl w:val="0"/>
          <w:numId w:val="11"/>
        </w:numPr>
      </w:pPr>
      <w:r w:rsidRPr="00C110ED">
        <w:t xml:space="preserve">Whether more than one provider can charge an </w:t>
      </w:r>
      <w:r w:rsidR="00CF703C" w:rsidRPr="00C110ED">
        <w:t>establishment fee at the same time – if, for example, a participant has more than one provider who is supplying a</w:t>
      </w:r>
      <w:r w:rsidR="00BD590D">
        <w:t>t</w:t>
      </w:r>
      <w:r w:rsidR="00CF703C" w:rsidRPr="00C110ED">
        <w:t xml:space="preserve"> least 20 hours per month of daily activity and community participation supports</w:t>
      </w:r>
      <w:r w:rsidR="00302A72" w:rsidRPr="00C110ED">
        <w:t>?</w:t>
      </w:r>
    </w:p>
    <w:p w:rsidR="00302A72" w:rsidRPr="00C110ED" w:rsidRDefault="00302A72" w:rsidP="00040022">
      <w:pPr>
        <w:numPr>
          <w:ilvl w:val="0"/>
          <w:numId w:val="11"/>
        </w:numPr>
      </w:pPr>
      <w:r w:rsidRPr="00C110ED">
        <w:lastRenderedPageBreak/>
        <w:t>Whether a third or subsequent provider in a given year can charge an establishment fee if a participant chooses to change provider more than once?</w:t>
      </w:r>
    </w:p>
    <w:p w:rsidR="00302A72" w:rsidRPr="00C110ED" w:rsidRDefault="00302A72" w:rsidP="00806D1D">
      <w:pPr>
        <w:numPr>
          <w:ilvl w:val="0"/>
          <w:numId w:val="11"/>
        </w:numPr>
      </w:pPr>
      <w:r w:rsidRPr="00C110ED">
        <w:t xml:space="preserve">Whether the current price limits for establishment fees </w:t>
      </w:r>
      <w:r w:rsidR="00806D1D" w:rsidRPr="00806D1D">
        <w:t xml:space="preserve">represent value for money for participants and allow providers to recover the costs of </w:t>
      </w:r>
      <w:r w:rsidR="00806D1D">
        <w:t>cancellations?</w:t>
      </w:r>
    </w:p>
    <w:p w:rsidR="00302A72" w:rsidRPr="00C110ED" w:rsidRDefault="00302A72" w:rsidP="00040022">
      <w:pPr>
        <w:numPr>
          <w:ilvl w:val="0"/>
          <w:numId w:val="11"/>
        </w:numPr>
      </w:pPr>
      <w:r w:rsidRPr="00C110ED">
        <w:t>Whether other types of providers should be able to charge an establishment fee?</w:t>
      </w:r>
    </w:p>
    <w:p w:rsidR="001130EB" w:rsidRPr="00C110ED" w:rsidRDefault="00381C96" w:rsidP="00307EFF">
      <w:r w:rsidRPr="00C110ED">
        <w:t xml:space="preserve">The </w:t>
      </w:r>
      <w:r w:rsidR="00180401">
        <w:rPr>
          <w:i/>
        </w:rPr>
        <w:t>Annual Price Review</w:t>
      </w:r>
      <w:r w:rsidRPr="00C110ED">
        <w:rPr>
          <w:i/>
        </w:rPr>
        <w:t xml:space="preserve"> 2020-21</w:t>
      </w:r>
      <w:r w:rsidRPr="00C110ED">
        <w:t xml:space="preserve"> is seeking the views of stakeholders on </w:t>
      </w:r>
      <w:r w:rsidR="007304EC" w:rsidRPr="00C110ED">
        <w:t>these issues and on</w:t>
      </w:r>
      <w:r w:rsidRPr="00C110ED">
        <w:t xml:space="preserve"> any other issues with </w:t>
      </w:r>
      <w:r w:rsidR="00307EFF" w:rsidRPr="00C110ED">
        <w:t xml:space="preserve">the price control arrangements for </w:t>
      </w:r>
      <w:r w:rsidRPr="00C110ED">
        <w:t>establishment fee</w:t>
      </w:r>
      <w:r w:rsidR="00307EFF" w:rsidRPr="00C110ED">
        <w:t xml:space="preserve">s </w:t>
      </w:r>
      <w:r w:rsidRPr="00C110ED">
        <w:t xml:space="preserve">that </w:t>
      </w:r>
      <w:r w:rsidR="007304EC" w:rsidRPr="00C110ED">
        <w:t>stakeholders</w:t>
      </w:r>
      <w:r w:rsidRPr="00C110ED">
        <w:t xml:space="preserve"> </w:t>
      </w:r>
      <w:r w:rsidR="007304EC" w:rsidRPr="00C110ED">
        <w:t>wish to raise.</w:t>
      </w:r>
    </w:p>
    <w:p w:rsidR="00CB4B0B" w:rsidRDefault="00CB4B0B"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jc w:val="center"/>
      </w:pPr>
      <w:r w:rsidRPr="00EB2A67">
        <w:rPr>
          <w:b/>
        </w:rPr>
        <w:t>11. GUIDE QUESTIONS</w:t>
      </w:r>
    </w:p>
    <w:p w:rsidR="00CB4B0B" w:rsidRPr="00EB2A67" w:rsidRDefault="00CB4B0B"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rPr>
          <w:b/>
        </w:rPr>
        <w:t>Establishment Fees</w:t>
      </w:r>
    </w:p>
    <w:p w:rsidR="00CB4B0B" w:rsidRPr="00EB7DBA" w:rsidRDefault="00CB4B0B" w:rsidP="00EB2A67">
      <w:pPr>
        <w:pStyle w:val="IntenseQuote"/>
        <w:numPr>
          <w:ilvl w:val="0"/>
          <w:numId w:val="54"/>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3116CB">
        <w:t>Are the current rules about who can charge es</w:t>
      </w:r>
      <w:r w:rsidRPr="00EB7DBA">
        <w:t xml:space="preserve">tablishment fees appropriate?  If no, why not? </w:t>
      </w:r>
    </w:p>
    <w:p w:rsidR="00CB4B0B" w:rsidRPr="00675AFB" w:rsidRDefault="00CB4B0B" w:rsidP="00EB2A67">
      <w:pPr>
        <w:pStyle w:val="IntenseQuote"/>
        <w:numPr>
          <w:ilvl w:val="0"/>
          <w:numId w:val="54"/>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675AFB">
        <w:t>Are there any other supports where it might be appropriate for providers to charge establishment fees? Please explain why establishment fees would be appropriate in these cases?</w:t>
      </w:r>
    </w:p>
    <w:p w:rsidR="00CB4B0B" w:rsidRPr="00EB2A67" w:rsidRDefault="00CB4B0B" w:rsidP="00EB2A67">
      <w:pPr>
        <w:pStyle w:val="IntenseQuote"/>
        <w:numPr>
          <w:ilvl w:val="0"/>
          <w:numId w:val="54"/>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F71316">
        <w:t xml:space="preserve">Are the current price limits for establishment </w:t>
      </w:r>
      <w:r w:rsidRPr="00EB2A67">
        <w:t>fees appropriate? If no, why not? Please provide evidence of the costs providers face in establishing supports for new clients.</w:t>
      </w:r>
    </w:p>
    <w:p w:rsidR="00CB4B0B" w:rsidRPr="00EB2A67" w:rsidRDefault="00CB4B0B"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Indexation</w:t>
      </w:r>
    </w:p>
    <w:p w:rsidR="00CB4B0B" w:rsidRPr="00EB2A67" w:rsidRDefault="00CB4B0B" w:rsidP="00EB2A67">
      <w:pPr>
        <w:pStyle w:val="IntenseQuote"/>
        <w:numPr>
          <w:ilvl w:val="0"/>
          <w:numId w:val="54"/>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Currently the price limits for establishment fees are not indexed each year. Is this reasonable? If not, what is the appropriate way to reset the price limits on these fees each year in order to maintain their value? Why?</w:t>
      </w:r>
    </w:p>
    <w:p w:rsidR="00CB4B0B" w:rsidRPr="00EB2A67" w:rsidRDefault="00CB4B0B" w:rsidP="00EB2A67">
      <w:pPr>
        <w:pStyle w:val="IntenseQuote"/>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rPr>
          <w:b/>
        </w:rPr>
      </w:pPr>
      <w:r w:rsidRPr="00EB2A67">
        <w:rPr>
          <w:b/>
        </w:rPr>
        <w:t>Other issues</w:t>
      </w:r>
    </w:p>
    <w:p w:rsidR="00CB4B0B" w:rsidRPr="00EB2A67" w:rsidRDefault="00CB4B0B" w:rsidP="00EB2A67">
      <w:pPr>
        <w:pStyle w:val="IntenseQuote"/>
        <w:numPr>
          <w:ilvl w:val="0"/>
          <w:numId w:val="54"/>
        </w:numPr>
        <w:pBdr>
          <w:top w:val="single" w:sz="4" w:space="10" w:color="auto"/>
          <w:left w:val="single" w:sz="4" w:space="4" w:color="auto"/>
          <w:bottom w:val="single" w:sz="4" w:space="10" w:color="auto"/>
          <w:right w:val="single" w:sz="4" w:space="4" w:color="auto"/>
        </w:pBdr>
        <w:shd w:val="clear" w:color="auto" w:fill="E4DFEC" w:themeFill="accent1" w:themeFillTint="66"/>
        <w:spacing w:before="0" w:line="240" w:lineRule="auto"/>
        <w:ind w:right="862"/>
      </w:pPr>
      <w:r w:rsidRPr="00EB2A67">
        <w:t>Are there any other issues that you would like to raise with the price control arrangements for establishment fees?</w:t>
      </w:r>
    </w:p>
    <w:p w:rsidR="00C80430" w:rsidRPr="00C110ED" w:rsidRDefault="00C80430" w:rsidP="00307EFF"/>
    <w:sectPr w:rsidR="00C80430" w:rsidRPr="00C110ED" w:rsidSect="0094258D">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326" w:rsidRDefault="007F5326" w:rsidP="007973EE">
      <w:r>
        <w:separator/>
      </w:r>
    </w:p>
  </w:endnote>
  <w:endnote w:type="continuationSeparator" w:id="0">
    <w:p w:rsidR="007F5326" w:rsidRDefault="007F5326" w:rsidP="007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14679"/>
      <w:docPartObj>
        <w:docPartGallery w:val="Page Numbers (Bottom of Page)"/>
        <w:docPartUnique/>
      </w:docPartObj>
    </w:sdtPr>
    <w:sdtEndPr/>
    <w:sdtContent>
      <w:sdt>
        <w:sdtPr>
          <w:id w:val="-1891643098"/>
          <w:docPartObj>
            <w:docPartGallery w:val="Page Numbers (Top of Page)"/>
            <w:docPartUnique/>
          </w:docPartObj>
        </w:sdtPr>
        <w:sdtEndPr/>
        <w:sdtContent>
          <w:p w:rsidR="007F5326" w:rsidRDefault="007F5326" w:rsidP="000966CE">
            <w:pPr>
              <w:pStyle w:val="Footer"/>
              <w:pBdr>
                <w:top w:val="single" w:sz="4" w:space="1" w:color="7030A0"/>
              </w:pBdr>
              <w:tabs>
                <w:tab w:val="right" w:pos="15703"/>
              </w:tabs>
            </w:pPr>
            <w:r w:rsidRPr="000966CE">
              <w:rPr>
                <w:i/>
                <w:sz w:val="16"/>
                <w:szCs w:val="16"/>
              </w:rPr>
              <w:t xml:space="preserve"> Issues Paper: </w:t>
            </w:r>
            <w:r>
              <w:rPr>
                <w:i/>
                <w:sz w:val="16"/>
                <w:szCs w:val="16"/>
              </w:rPr>
              <w:t>Annual Price Review</w:t>
            </w:r>
            <w:r w:rsidRPr="000966CE">
              <w:rPr>
                <w:i/>
                <w:sz w:val="16"/>
                <w:szCs w:val="16"/>
              </w:rPr>
              <w:t xml:space="preserve"> 2020-21</w:t>
            </w:r>
            <w:r w:rsidRPr="000966CE">
              <w:rPr>
                <w:sz w:val="16"/>
                <w:szCs w:val="16"/>
              </w:rPr>
              <w:t xml:space="preserve"> </w:t>
            </w:r>
            <w:r>
              <w:rPr>
                <w:sz w:val="16"/>
                <w:szCs w:val="16"/>
              </w:rPr>
              <w:tab/>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3A3B58">
              <w:rPr>
                <w:bCs/>
                <w:noProof/>
                <w:sz w:val="16"/>
                <w:szCs w:val="16"/>
              </w:rPr>
              <w:t>32</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3A3B58">
              <w:rPr>
                <w:bCs/>
                <w:noProof/>
                <w:sz w:val="16"/>
                <w:szCs w:val="16"/>
              </w:rPr>
              <w:t>34</w:t>
            </w:r>
            <w:r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861001"/>
      <w:docPartObj>
        <w:docPartGallery w:val="Page Numbers (Bottom of Page)"/>
        <w:docPartUnique/>
      </w:docPartObj>
    </w:sdtPr>
    <w:sdtEndPr/>
    <w:sdtContent>
      <w:sdt>
        <w:sdtPr>
          <w:id w:val="-1958941267"/>
          <w:docPartObj>
            <w:docPartGallery w:val="Page Numbers (Top of Page)"/>
            <w:docPartUnique/>
          </w:docPartObj>
        </w:sdtPr>
        <w:sdtEndPr/>
        <w:sdtContent>
          <w:p w:rsidR="007F5326" w:rsidRDefault="007F5326" w:rsidP="0094258D">
            <w:pPr>
              <w:pStyle w:val="Footer"/>
              <w:pBdr>
                <w:top w:val="single" w:sz="4" w:space="1" w:color="7030A0"/>
              </w:pBdr>
              <w:tabs>
                <w:tab w:val="right" w:pos="15703"/>
              </w:tabs>
            </w:pPr>
            <w:r w:rsidRPr="000966CE">
              <w:rPr>
                <w:i/>
                <w:sz w:val="16"/>
                <w:szCs w:val="16"/>
              </w:rPr>
              <w:t xml:space="preserve"> Issues Paper: </w:t>
            </w:r>
            <w:r>
              <w:rPr>
                <w:i/>
                <w:sz w:val="16"/>
                <w:szCs w:val="16"/>
              </w:rPr>
              <w:t>Annual Price Review</w:t>
            </w:r>
            <w:r w:rsidRPr="000966CE">
              <w:rPr>
                <w:i/>
                <w:sz w:val="16"/>
                <w:szCs w:val="16"/>
              </w:rPr>
              <w:t xml:space="preserve"> 2020-21</w:t>
            </w:r>
            <w:r w:rsidRPr="000966CE">
              <w:rPr>
                <w:sz w:val="16"/>
                <w:szCs w:val="16"/>
              </w:rPr>
              <w:t xml:space="preserve"> </w:t>
            </w:r>
            <w:r>
              <w:rPr>
                <w:sz w:val="16"/>
                <w:szCs w:val="16"/>
              </w:rPr>
              <w:tab/>
            </w:r>
            <w:r w:rsidRPr="00287AA6">
              <w:rPr>
                <w:sz w:val="16"/>
                <w:szCs w:val="16"/>
              </w:rPr>
              <w:t xml:space="preserve">Page </w:t>
            </w:r>
            <w:r w:rsidRPr="00287AA6">
              <w:rPr>
                <w:bCs/>
                <w:sz w:val="16"/>
                <w:szCs w:val="16"/>
              </w:rPr>
              <w:fldChar w:fldCharType="begin"/>
            </w:r>
            <w:r w:rsidRPr="00287AA6">
              <w:rPr>
                <w:bCs/>
                <w:sz w:val="16"/>
                <w:szCs w:val="16"/>
              </w:rPr>
              <w:instrText xml:space="preserve"> PAGE </w:instrText>
            </w:r>
            <w:r w:rsidRPr="00287AA6">
              <w:rPr>
                <w:bCs/>
                <w:sz w:val="16"/>
                <w:szCs w:val="16"/>
              </w:rPr>
              <w:fldChar w:fldCharType="separate"/>
            </w:r>
            <w:r w:rsidR="003A3B58">
              <w:rPr>
                <w:bCs/>
                <w:noProof/>
                <w:sz w:val="16"/>
                <w:szCs w:val="16"/>
              </w:rPr>
              <w:t>33</w:t>
            </w:r>
            <w:r w:rsidRPr="00287AA6">
              <w:rPr>
                <w:bCs/>
                <w:sz w:val="16"/>
                <w:szCs w:val="16"/>
              </w:rPr>
              <w:fldChar w:fldCharType="end"/>
            </w:r>
            <w:r w:rsidRPr="00287AA6">
              <w:rPr>
                <w:sz w:val="16"/>
                <w:szCs w:val="16"/>
              </w:rPr>
              <w:t xml:space="preserve"> of </w:t>
            </w:r>
            <w:r w:rsidRPr="00287AA6">
              <w:rPr>
                <w:bCs/>
                <w:sz w:val="16"/>
                <w:szCs w:val="16"/>
              </w:rPr>
              <w:fldChar w:fldCharType="begin"/>
            </w:r>
            <w:r w:rsidRPr="00287AA6">
              <w:rPr>
                <w:bCs/>
                <w:sz w:val="16"/>
                <w:szCs w:val="16"/>
              </w:rPr>
              <w:instrText xml:space="preserve"> NUMPAGES  </w:instrText>
            </w:r>
            <w:r w:rsidRPr="00287AA6">
              <w:rPr>
                <w:bCs/>
                <w:sz w:val="16"/>
                <w:szCs w:val="16"/>
              </w:rPr>
              <w:fldChar w:fldCharType="separate"/>
            </w:r>
            <w:r w:rsidR="003A3B58">
              <w:rPr>
                <w:bCs/>
                <w:noProof/>
                <w:sz w:val="16"/>
                <w:szCs w:val="16"/>
              </w:rPr>
              <w:t>34</w:t>
            </w:r>
            <w:r w:rsidRPr="00287AA6">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326" w:rsidRPr="007627C2" w:rsidRDefault="007F5326" w:rsidP="007627C2">
      <w:pPr>
        <w:pStyle w:val="Footer"/>
      </w:pPr>
    </w:p>
  </w:footnote>
  <w:footnote w:type="continuationSeparator" w:id="0">
    <w:p w:rsidR="007F5326" w:rsidRDefault="007F5326" w:rsidP="0079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326" w:rsidRPr="00EB7DBA" w:rsidRDefault="007F5326" w:rsidP="00EB7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326" w:rsidRPr="00C52E34" w:rsidRDefault="007F5326" w:rsidP="00C52E34">
    <w:pPr>
      <w:pStyle w:val="Header"/>
      <w:pBdr>
        <w:bottom w:val="single" w:sz="12" w:space="1" w:color="6A2875" w:themeColor="accent4"/>
      </w:pBdr>
      <w:jc w:val="center"/>
      <w:rPr>
        <w:b/>
        <w:i/>
        <w:color w:val="6A2875" w:themeColor="accent4"/>
        <w:lang w:val="en-AU"/>
      </w:rPr>
    </w:pPr>
    <w:r>
      <w:rPr>
        <w:b/>
        <w:i/>
        <w:color w:val="6A2875" w:themeColor="accent4"/>
        <w:lang w:val="en-AU"/>
      </w:rPr>
      <w:fldChar w:fldCharType="begin"/>
    </w:r>
    <w:r>
      <w:rPr>
        <w:b/>
        <w:i/>
        <w:color w:val="6A2875" w:themeColor="accent4"/>
        <w:lang w:val="en-AU"/>
      </w:rPr>
      <w:instrText xml:space="preserve"> STYLEREF  "Heading 1"  \* MERGEFORMAT </w:instrText>
    </w:r>
    <w:r>
      <w:rPr>
        <w:b/>
        <w:i/>
        <w:color w:val="6A2875" w:themeColor="accent4"/>
        <w:lang w:val="en-AU"/>
      </w:rPr>
      <w:fldChar w:fldCharType="separate"/>
    </w:r>
    <w:r w:rsidR="003A3B58">
      <w:rPr>
        <w:b/>
        <w:i/>
        <w:noProof/>
        <w:color w:val="6A2875" w:themeColor="accent4"/>
        <w:lang w:val="en-AU"/>
      </w:rPr>
      <w:t>Provider travel rules</w:t>
    </w:r>
    <w:r>
      <w:rPr>
        <w:b/>
        <w:i/>
        <w:color w:val="6A2875" w:themeColor="accent4"/>
        <w:lang w:val="en-AU"/>
      </w:rPr>
      <w:fldChar w:fldCharType="end"/>
    </w:r>
    <w:r w:rsidRPr="00C52E34">
      <w:rPr>
        <w:b/>
        <w:i/>
        <w:color w:val="6A2875" w:themeColor="accent4"/>
        <w:lang w:val="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4C91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7E96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F25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70B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4034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803E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C3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E38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5EA6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F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C669D"/>
    <w:multiLevelType w:val="multilevel"/>
    <w:tmpl w:val="8E1EA8A2"/>
    <w:lvl w:ilvl="0">
      <w:start w:val="2"/>
      <w:numFmt w:val="decimal"/>
      <w:isLgl/>
      <w:suff w:val="space"/>
      <w:lvlText w:val="%1."/>
      <w:lvlJc w:val="left"/>
      <w:pPr>
        <w:ind w:left="567" w:hanging="567"/>
      </w:pPr>
      <w:rPr>
        <w:rFonts w:hint="default"/>
      </w:rPr>
    </w:lvl>
    <w:lvl w:ilvl="1">
      <w:start w:val="1"/>
      <w:numFmt w:val="decimal"/>
      <w:pStyle w:val="QUESTION"/>
      <w:lvlText w:val="%1.%2"/>
      <w:lvlJc w:val="left"/>
      <w:pPr>
        <w:ind w:left="567" w:hanging="567"/>
      </w:pPr>
      <w:rPr>
        <w:rFonts w:hint="default"/>
        <w:b w:val="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06F17548"/>
    <w:multiLevelType w:val="multilevel"/>
    <w:tmpl w:val="004474C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CE78E3"/>
    <w:multiLevelType w:val="multilevel"/>
    <w:tmpl w:val="F25665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AE5813"/>
    <w:multiLevelType w:val="hybridMultilevel"/>
    <w:tmpl w:val="B96C0F4A"/>
    <w:lvl w:ilvl="0" w:tplc="2CBEEB2C">
      <w:start w:val="1"/>
      <w:numFmt w:val="bullet"/>
      <w:lvlText w:val=""/>
      <w:lvlJc w:val="left"/>
      <w:pPr>
        <w:ind w:left="567" w:hanging="283"/>
      </w:pPr>
      <w:rPr>
        <w:rFonts w:ascii="Symbol" w:hAnsi="Symbol" w:hint="default"/>
      </w:rPr>
    </w:lvl>
    <w:lvl w:ilvl="1" w:tplc="CCAEE06C">
      <w:start w:val="1"/>
      <w:numFmt w:val="bullet"/>
      <w:lvlText w:val="o"/>
      <w:lvlJc w:val="left"/>
      <w:pPr>
        <w:ind w:left="851" w:hanging="284"/>
      </w:pPr>
      <w:rPr>
        <w:rFonts w:ascii="Courier New" w:hAnsi="Courier New" w:hint="default"/>
      </w:rPr>
    </w:lvl>
    <w:lvl w:ilvl="2" w:tplc="7270BE44">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D5F75"/>
    <w:multiLevelType w:val="multilevel"/>
    <w:tmpl w:val="36A02544"/>
    <w:lvl w:ilvl="0">
      <w:start w:val="1"/>
      <w:numFmt w:val="decimal"/>
      <w:suff w:val="space"/>
      <w:lvlText w:val="2.%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2A0962"/>
    <w:multiLevelType w:val="hybridMultilevel"/>
    <w:tmpl w:val="42F6533A"/>
    <w:lvl w:ilvl="0" w:tplc="0C090001">
      <w:start w:val="1"/>
      <w:numFmt w:val="bullet"/>
      <w:lvlText w:val=""/>
      <w:lvlJc w:val="left"/>
      <w:pPr>
        <w:ind w:left="842" w:hanging="360"/>
      </w:pPr>
      <w:rPr>
        <w:rFonts w:ascii="Symbol" w:hAnsi="Symbol" w:hint="default"/>
      </w:rPr>
    </w:lvl>
    <w:lvl w:ilvl="1" w:tplc="0C090003">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6" w15:restartNumberingAfterBreak="0">
    <w:nsid w:val="22430DC4"/>
    <w:multiLevelType w:val="hybridMultilevel"/>
    <w:tmpl w:val="A91E596A"/>
    <w:lvl w:ilvl="0" w:tplc="1A5E0B0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543558"/>
    <w:multiLevelType w:val="multilevel"/>
    <w:tmpl w:val="267CAE3C"/>
    <w:lvl w:ilvl="0">
      <w:start w:val="1"/>
      <w:numFmt w:val="decimal"/>
      <w:suff w:val="space"/>
      <w:lvlText w:val="6.%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53FB1"/>
    <w:multiLevelType w:val="hybridMultilevel"/>
    <w:tmpl w:val="4B9C3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3359A5"/>
    <w:multiLevelType w:val="multilevel"/>
    <w:tmpl w:val="004474C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47767B"/>
    <w:multiLevelType w:val="hybridMultilevel"/>
    <w:tmpl w:val="4246DECE"/>
    <w:lvl w:ilvl="0" w:tplc="1A5E0B0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507254"/>
    <w:multiLevelType w:val="multilevel"/>
    <w:tmpl w:val="F1C6C5A2"/>
    <w:lvl w:ilvl="0">
      <w:start w:val="1"/>
      <w:numFmt w:val="decimal"/>
      <w:suff w:val="space"/>
      <w:lvlText w:val="3.%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291239"/>
    <w:multiLevelType w:val="hybridMultilevel"/>
    <w:tmpl w:val="F86C0FE8"/>
    <w:lvl w:ilvl="0" w:tplc="A776DF44">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E37F80"/>
    <w:multiLevelType w:val="multilevel"/>
    <w:tmpl w:val="211CB686"/>
    <w:lvl w:ilvl="0">
      <w:start w:val="1"/>
      <w:numFmt w:val="decimal"/>
      <w:pStyle w:val="Heading1"/>
      <w:lvlText w:val="%1."/>
      <w:lvlJc w:val="left"/>
      <w:pPr>
        <w:ind w:left="432" w:hanging="432"/>
      </w:pPr>
      <w:rPr>
        <w:rFonts w:hint="default"/>
      </w:rPr>
    </w:lvl>
    <w:lvl w:ilvl="1">
      <w:start w:val="1"/>
      <w:numFmt w:val="none"/>
      <w:pStyle w:val="Heading2"/>
      <w:lvlText w:val=""/>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3B346FB1"/>
    <w:multiLevelType w:val="multilevel"/>
    <w:tmpl w:val="5406DBF8"/>
    <w:lvl w:ilvl="0">
      <w:start w:val="1"/>
      <w:numFmt w:val="decimal"/>
      <w:suff w:val="space"/>
      <w:lvlText w:val="9.%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F40707"/>
    <w:multiLevelType w:val="hybridMultilevel"/>
    <w:tmpl w:val="CD444CEA"/>
    <w:lvl w:ilvl="0" w:tplc="A11C23E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A317E4"/>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313CEC"/>
    <w:multiLevelType w:val="multilevel"/>
    <w:tmpl w:val="F25665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9074FEE"/>
    <w:multiLevelType w:val="hybridMultilevel"/>
    <w:tmpl w:val="AFD4F134"/>
    <w:lvl w:ilvl="0" w:tplc="EC2C0F2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4B76AE"/>
    <w:multiLevelType w:val="hybridMultilevel"/>
    <w:tmpl w:val="8BA47C60"/>
    <w:lvl w:ilvl="0" w:tplc="9184FDD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E5464F"/>
    <w:multiLevelType w:val="multilevel"/>
    <w:tmpl w:val="16984380"/>
    <w:lvl w:ilvl="0">
      <w:start w:val="1"/>
      <w:numFmt w:val="decimal"/>
      <w:suff w:val="space"/>
      <w:lvlText w:val="11.%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CA6ABC"/>
    <w:multiLevelType w:val="hybridMultilevel"/>
    <w:tmpl w:val="17B6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C4782B"/>
    <w:multiLevelType w:val="multilevel"/>
    <w:tmpl w:val="AEFEE7C6"/>
    <w:lvl w:ilvl="0">
      <w:start w:val="1"/>
      <w:numFmt w:val="decimal"/>
      <w:suff w:val="space"/>
      <w:lvlText w:val="5.%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210DC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0236FEF"/>
    <w:multiLevelType w:val="multilevel"/>
    <w:tmpl w:val="D8168448"/>
    <w:lvl w:ilvl="0">
      <w:start w:val="1"/>
      <w:numFmt w:val="decimal"/>
      <w:suff w:val="space"/>
      <w:lvlText w:val="7.%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A65AAB"/>
    <w:multiLevelType w:val="hybridMultilevel"/>
    <w:tmpl w:val="1F044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D3D7D"/>
    <w:multiLevelType w:val="hybridMultilevel"/>
    <w:tmpl w:val="5F70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3D1711"/>
    <w:multiLevelType w:val="multilevel"/>
    <w:tmpl w:val="0002BC68"/>
    <w:lvl w:ilvl="0">
      <w:start w:val="1"/>
      <w:numFmt w:val="decimal"/>
      <w:suff w:val="space"/>
      <w:lvlText w:val="4.%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470128"/>
    <w:multiLevelType w:val="multilevel"/>
    <w:tmpl w:val="EBA48F10"/>
    <w:lvl w:ilvl="0">
      <w:start w:val="1"/>
      <w:numFmt w:val="decimal"/>
      <w:suff w:val="space"/>
      <w:lvlText w:val="8.%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540362"/>
    <w:multiLevelType w:val="multilevel"/>
    <w:tmpl w:val="06449C68"/>
    <w:lvl w:ilvl="0">
      <w:start w:val="1"/>
      <w:numFmt w:val="decimal"/>
      <w:suff w:val="space"/>
      <w:lvlText w:val="10.%1."/>
      <w:lvlJc w:val="left"/>
      <w:pPr>
        <w:ind w:left="360" w:hanging="360"/>
      </w:pPr>
      <w:rPr>
        <w:rFonts w:ascii="Arial" w:hAnsi="Arial"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B806A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9776F7"/>
    <w:multiLevelType w:val="hybridMultilevel"/>
    <w:tmpl w:val="4D2AB056"/>
    <w:lvl w:ilvl="0" w:tplc="7AB4CA60">
      <w:start w:val="1"/>
      <w:numFmt w:val="bullet"/>
      <w:lvlText w:val=""/>
      <w:lvlJc w:val="left"/>
      <w:pPr>
        <w:ind w:left="851" w:hanging="284"/>
      </w:pPr>
      <w:rPr>
        <w:rFonts w:ascii="Symbol" w:hAnsi="Symbol" w:hint="default"/>
      </w:rPr>
    </w:lvl>
    <w:lvl w:ilvl="1" w:tplc="5A782BF8">
      <w:start w:val="1"/>
      <w:numFmt w:val="bullet"/>
      <w:lvlText w:val="o"/>
      <w:lvlJc w:val="left"/>
      <w:pPr>
        <w:ind w:left="1418"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4C7AB7"/>
    <w:multiLevelType w:val="hybridMultilevel"/>
    <w:tmpl w:val="3824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43"/>
  </w:num>
  <w:num w:numId="13">
    <w:abstractNumId w:val="15"/>
  </w:num>
  <w:num w:numId="14">
    <w:abstractNumId w:val="10"/>
  </w:num>
  <w:num w:numId="15">
    <w:abstractNumId w:val="20"/>
  </w:num>
  <w:num w:numId="16">
    <w:abstractNumId w:val="23"/>
  </w:num>
  <w:num w:numId="17">
    <w:abstractNumId w:val="32"/>
  </w:num>
  <w:num w:numId="18">
    <w:abstractNumId w:val="37"/>
  </w:num>
  <w:num w:numId="19">
    <w:abstractNumId w:val="16"/>
  </w:num>
  <w:num w:numId="20">
    <w:abstractNumId w:val="19"/>
  </w:num>
  <w:num w:numId="21">
    <w:abstractNumId w:val="11"/>
  </w:num>
  <w:num w:numId="22">
    <w:abstractNumId w:val="35"/>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6"/>
  </w:num>
  <w:num w:numId="27">
    <w:abstractNumId w:val="24"/>
  </w:num>
  <w:num w:numId="28">
    <w:abstractNumId w:val="10"/>
  </w:num>
  <w:num w:numId="29">
    <w:abstractNumId w:val="24"/>
  </w:num>
  <w:num w:numId="30">
    <w:abstractNumId w:val="10"/>
  </w:num>
  <w:num w:numId="31">
    <w:abstractNumId w:val="10"/>
  </w:num>
  <w:num w:numId="32">
    <w:abstractNumId w:val="18"/>
  </w:num>
  <w:num w:numId="33">
    <w:abstractNumId w:val="30"/>
  </w:num>
  <w:num w:numId="34">
    <w:abstractNumId w:val="10"/>
  </w:num>
  <w:num w:numId="35">
    <w:abstractNumId w:val="22"/>
  </w:num>
  <w:num w:numId="36">
    <w:abstractNumId w:val="44"/>
  </w:num>
  <w:num w:numId="37">
    <w:abstractNumId w:val="12"/>
  </w:num>
  <w:num w:numId="38">
    <w:abstractNumId w:val="28"/>
  </w:num>
  <w:num w:numId="39">
    <w:abstractNumId w:val="28"/>
    <w:lvlOverride w:ilvl="0">
      <w:lvl w:ilvl="0">
        <w:start w:val="2"/>
        <w:numFmt w:val="decimal"/>
        <w:lvlText w:val="%1"/>
        <w:lvlJc w:val="left"/>
        <w:pPr>
          <w:ind w:left="360" w:hanging="360"/>
        </w:pPr>
        <w:rPr>
          <w:rFonts w:hint="default"/>
          <w:b w:val="0"/>
        </w:rPr>
      </w:lvl>
    </w:lvlOverride>
    <w:lvlOverride w:ilvl="1">
      <w:lvl w:ilvl="1">
        <w:start w:val="1"/>
        <w:numFmt w:val="decimal"/>
        <w:suff w:val="space"/>
        <w:lvlText w:val="%1.%2"/>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080" w:hanging="108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440" w:hanging="1440"/>
        </w:pPr>
        <w:rPr>
          <w:rFonts w:hint="default"/>
          <w:b w:val="0"/>
        </w:rPr>
      </w:lvl>
    </w:lvlOverride>
    <w:lvlOverride w:ilvl="8">
      <w:lvl w:ilvl="8">
        <w:start w:val="1"/>
        <w:numFmt w:val="decimal"/>
        <w:lvlText w:val="%1.%2.%3.%4.%5.%6.%7.%8.%9"/>
        <w:lvlJc w:val="left"/>
        <w:pPr>
          <w:ind w:left="1800" w:hanging="1800"/>
        </w:pPr>
        <w:rPr>
          <w:rFonts w:hint="default"/>
          <w:b w:val="0"/>
        </w:rPr>
      </w:lvl>
    </w:lvlOverride>
  </w:num>
  <w:num w:numId="40">
    <w:abstractNumId w:val="28"/>
    <w:lvlOverride w:ilvl="0">
      <w:lvl w:ilvl="0">
        <w:start w:val="2"/>
        <w:numFmt w:val="decimal"/>
        <w:lvlText w:val="%1"/>
        <w:lvlJc w:val="left"/>
        <w:pPr>
          <w:ind w:left="360" w:hanging="360"/>
        </w:pPr>
        <w:rPr>
          <w:rFonts w:hint="default"/>
          <w:b w:val="0"/>
        </w:rPr>
      </w:lvl>
    </w:lvlOverride>
    <w:lvlOverride w:ilvl="1">
      <w:lvl w:ilvl="1">
        <w:start w:val="1"/>
        <w:numFmt w:val="decimal"/>
        <w:suff w:val="space"/>
        <w:lvlText w:val="%1.%2"/>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080" w:hanging="108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440" w:hanging="1440"/>
        </w:pPr>
        <w:rPr>
          <w:rFonts w:hint="default"/>
          <w:b w:val="0"/>
        </w:rPr>
      </w:lvl>
    </w:lvlOverride>
    <w:lvlOverride w:ilvl="8">
      <w:lvl w:ilvl="8">
        <w:start w:val="1"/>
        <w:numFmt w:val="decimal"/>
        <w:lvlText w:val="%1.%2.%3.%4.%5.%6.%7.%8.%9"/>
        <w:lvlJc w:val="left"/>
        <w:pPr>
          <w:ind w:left="1800" w:hanging="1800"/>
        </w:pPr>
        <w:rPr>
          <w:rFonts w:hint="default"/>
          <w:b w:val="0"/>
        </w:rPr>
      </w:lvl>
    </w:lvlOverride>
  </w:num>
  <w:num w:numId="41">
    <w:abstractNumId w:val="28"/>
    <w:lvlOverride w:ilvl="0">
      <w:lvl w:ilvl="0">
        <w:start w:val="2"/>
        <w:numFmt w:val="decimal"/>
        <w:lvlText w:val="%1"/>
        <w:lvlJc w:val="left"/>
        <w:pPr>
          <w:ind w:left="360" w:hanging="360"/>
        </w:pPr>
        <w:rPr>
          <w:rFonts w:hint="default"/>
          <w:b w:val="0"/>
        </w:rPr>
      </w:lvl>
    </w:lvlOverride>
    <w:lvlOverride w:ilvl="1">
      <w:lvl w:ilvl="1">
        <w:start w:val="1"/>
        <w:numFmt w:val="decimal"/>
        <w:suff w:val="space"/>
        <w:lvlText w:val="%1.%2"/>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080" w:hanging="108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440" w:hanging="1440"/>
        </w:pPr>
        <w:rPr>
          <w:rFonts w:hint="default"/>
          <w:b w:val="0"/>
        </w:rPr>
      </w:lvl>
    </w:lvlOverride>
    <w:lvlOverride w:ilvl="8">
      <w:lvl w:ilvl="8">
        <w:start w:val="1"/>
        <w:numFmt w:val="decimal"/>
        <w:lvlText w:val="%1.%2.%3.%4.%5.%6.%7.%8.%9"/>
        <w:lvlJc w:val="left"/>
        <w:pPr>
          <w:ind w:left="1800" w:hanging="1800"/>
        </w:pPr>
        <w:rPr>
          <w:rFonts w:hint="default"/>
          <w:b w:val="0"/>
        </w:rPr>
      </w:lvl>
    </w:lvlOverride>
  </w:num>
  <w:num w:numId="42">
    <w:abstractNumId w:val="27"/>
  </w:num>
  <w:num w:numId="43">
    <w:abstractNumId w:val="42"/>
  </w:num>
  <w:num w:numId="44">
    <w:abstractNumId w:val="34"/>
  </w:num>
  <w:num w:numId="45">
    <w:abstractNumId w:val="14"/>
  </w:num>
  <w:num w:numId="46">
    <w:abstractNumId w:val="21"/>
  </w:num>
  <w:num w:numId="47">
    <w:abstractNumId w:val="39"/>
  </w:num>
  <w:num w:numId="48">
    <w:abstractNumId w:val="33"/>
  </w:num>
  <w:num w:numId="49">
    <w:abstractNumId w:val="17"/>
  </w:num>
  <w:num w:numId="50">
    <w:abstractNumId w:val="36"/>
  </w:num>
  <w:num w:numId="51">
    <w:abstractNumId w:val="40"/>
  </w:num>
  <w:num w:numId="52">
    <w:abstractNumId w:val="25"/>
  </w:num>
  <w:num w:numId="53">
    <w:abstractNumId w:val="41"/>
  </w:num>
  <w:num w:numId="54">
    <w:abstractNumId w:val="31"/>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TrueTypeFonts/>
  <w:saveSubsetFont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F169F5"/>
    <w:rsid w:val="000000E3"/>
    <w:rsid w:val="000009BB"/>
    <w:rsid w:val="00000B81"/>
    <w:rsid w:val="0000161E"/>
    <w:rsid w:val="000018B1"/>
    <w:rsid w:val="000018F7"/>
    <w:rsid w:val="00001D7A"/>
    <w:rsid w:val="00001DF1"/>
    <w:rsid w:val="00001E35"/>
    <w:rsid w:val="00002221"/>
    <w:rsid w:val="000027AF"/>
    <w:rsid w:val="00002DAB"/>
    <w:rsid w:val="00002EC2"/>
    <w:rsid w:val="00003853"/>
    <w:rsid w:val="00003A1D"/>
    <w:rsid w:val="00003CCE"/>
    <w:rsid w:val="0000439B"/>
    <w:rsid w:val="000043B0"/>
    <w:rsid w:val="00004668"/>
    <w:rsid w:val="00004682"/>
    <w:rsid w:val="00004776"/>
    <w:rsid w:val="00004780"/>
    <w:rsid w:val="00004A37"/>
    <w:rsid w:val="00004A76"/>
    <w:rsid w:val="00004B6F"/>
    <w:rsid w:val="00004E29"/>
    <w:rsid w:val="000050B5"/>
    <w:rsid w:val="000052CE"/>
    <w:rsid w:val="000055F4"/>
    <w:rsid w:val="000059D1"/>
    <w:rsid w:val="00005BB6"/>
    <w:rsid w:val="00005C18"/>
    <w:rsid w:val="00006297"/>
    <w:rsid w:val="00006794"/>
    <w:rsid w:val="00006993"/>
    <w:rsid w:val="00006D1A"/>
    <w:rsid w:val="00007400"/>
    <w:rsid w:val="000075DE"/>
    <w:rsid w:val="00007608"/>
    <w:rsid w:val="00007944"/>
    <w:rsid w:val="00007BEE"/>
    <w:rsid w:val="00007C73"/>
    <w:rsid w:val="00007C88"/>
    <w:rsid w:val="00007E9A"/>
    <w:rsid w:val="00010260"/>
    <w:rsid w:val="000104F4"/>
    <w:rsid w:val="00010535"/>
    <w:rsid w:val="000107D8"/>
    <w:rsid w:val="00010AD0"/>
    <w:rsid w:val="00010E5C"/>
    <w:rsid w:val="00010E88"/>
    <w:rsid w:val="00011234"/>
    <w:rsid w:val="000113EF"/>
    <w:rsid w:val="0001141D"/>
    <w:rsid w:val="00011BB0"/>
    <w:rsid w:val="00011DCC"/>
    <w:rsid w:val="00011E27"/>
    <w:rsid w:val="0001344E"/>
    <w:rsid w:val="00013576"/>
    <w:rsid w:val="0001369C"/>
    <w:rsid w:val="000138CA"/>
    <w:rsid w:val="00013925"/>
    <w:rsid w:val="00013AF8"/>
    <w:rsid w:val="00013CE9"/>
    <w:rsid w:val="00014574"/>
    <w:rsid w:val="000149DE"/>
    <w:rsid w:val="00014C22"/>
    <w:rsid w:val="00014FA3"/>
    <w:rsid w:val="00014FB5"/>
    <w:rsid w:val="00015068"/>
    <w:rsid w:val="00015220"/>
    <w:rsid w:val="00015609"/>
    <w:rsid w:val="00015646"/>
    <w:rsid w:val="00015828"/>
    <w:rsid w:val="0001584B"/>
    <w:rsid w:val="00015B42"/>
    <w:rsid w:val="00015B4F"/>
    <w:rsid w:val="000160AD"/>
    <w:rsid w:val="000166A8"/>
    <w:rsid w:val="000167A3"/>
    <w:rsid w:val="00016BA5"/>
    <w:rsid w:val="000177A4"/>
    <w:rsid w:val="00017E87"/>
    <w:rsid w:val="00017EE9"/>
    <w:rsid w:val="000200F6"/>
    <w:rsid w:val="000201C5"/>
    <w:rsid w:val="000202B8"/>
    <w:rsid w:val="000202F7"/>
    <w:rsid w:val="00020A1F"/>
    <w:rsid w:val="00020BBF"/>
    <w:rsid w:val="00020D4C"/>
    <w:rsid w:val="00020DB1"/>
    <w:rsid w:val="00020E85"/>
    <w:rsid w:val="00020F82"/>
    <w:rsid w:val="00021121"/>
    <w:rsid w:val="00021365"/>
    <w:rsid w:val="000214EF"/>
    <w:rsid w:val="00022437"/>
    <w:rsid w:val="00022552"/>
    <w:rsid w:val="00022714"/>
    <w:rsid w:val="00023139"/>
    <w:rsid w:val="000233CC"/>
    <w:rsid w:val="0002357C"/>
    <w:rsid w:val="00023897"/>
    <w:rsid w:val="000238EF"/>
    <w:rsid w:val="00023F7B"/>
    <w:rsid w:val="000244A7"/>
    <w:rsid w:val="000248DB"/>
    <w:rsid w:val="00024EC7"/>
    <w:rsid w:val="00024EFD"/>
    <w:rsid w:val="00025174"/>
    <w:rsid w:val="00025592"/>
    <w:rsid w:val="00025761"/>
    <w:rsid w:val="00025963"/>
    <w:rsid w:val="00025E1A"/>
    <w:rsid w:val="0002678B"/>
    <w:rsid w:val="000268FD"/>
    <w:rsid w:val="00027601"/>
    <w:rsid w:val="00027771"/>
    <w:rsid w:val="00027973"/>
    <w:rsid w:val="00027E5D"/>
    <w:rsid w:val="0003005B"/>
    <w:rsid w:val="000300EC"/>
    <w:rsid w:val="000300ED"/>
    <w:rsid w:val="0003093D"/>
    <w:rsid w:val="000311D5"/>
    <w:rsid w:val="0003130C"/>
    <w:rsid w:val="00031B6D"/>
    <w:rsid w:val="00031C05"/>
    <w:rsid w:val="00032124"/>
    <w:rsid w:val="000328D1"/>
    <w:rsid w:val="00032D22"/>
    <w:rsid w:val="0003310D"/>
    <w:rsid w:val="000333F7"/>
    <w:rsid w:val="0003397F"/>
    <w:rsid w:val="000339E5"/>
    <w:rsid w:val="00033B2D"/>
    <w:rsid w:val="00033C1D"/>
    <w:rsid w:val="00033E2A"/>
    <w:rsid w:val="00033F39"/>
    <w:rsid w:val="00034145"/>
    <w:rsid w:val="000341FD"/>
    <w:rsid w:val="00034C67"/>
    <w:rsid w:val="00034D95"/>
    <w:rsid w:val="00034E2F"/>
    <w:rsid w:val="00034EDF"/>
    <w:rsid w:val="0003513E"/>
    <w:rsid w:val="00035AAA"/>
    <w:rsid w:val="00035AEC"/>
    <w:rsid w:val="0003613E"/>
    <w:rsid w:val="0003615E"/>
    <w:rsid w:val="00036172"/>
    <w:rsid w:val="00036796"/>
    <w:rsid w:val="00036CBB"/>
    <w:rsid w:val="00036DF6"/>
    <w:rsid w:val="00036E0F"/>
    <w:rsid w:val="0003757F"/>
    <w:rsid w:val="00037AD6"/>
    <w:rsid w:val="00040022"/>
    <w:rsid w:val="0004002D"/>
    <w:rsid w:val="00040539"/>
    <w:rsid w:val="0004089C"/>
    <w:rsid w:val="00040D1B"/>
    <w:rsid w:val="00041134"/>
    <w:rsid w:val="0004191D"/>
    <w:rsid w:val="00041D26"/>
    <w:rsid w:val="00042242"/>
    <w:rsid w:val="00042357"/>
    <w:rsid w:val="00042583"/>
    <w:rsid w:val="000437E8"/>
    <w:rsid w:val="0004384C"/>
    <w:rsid w:val="00044049"/>
    <w:rsid w:val="000441FD"/>
    <w:rsid w:val="000446A1"/>
    <w:rsid w:val="00044719"/>
    <w:rsid w:val="000449C9"/>
    <w:rsid w:val="00044B54"/>
    <w:rsid w:val="00044BB0"/>
    <w:rsid w:val="00044DC3"/>
    <w:rsid w:val="00044F64"/>
    <w:rsid w:val="00045049"/>
    <w:rsid w:val="0004516C"/>
    <w:rsid w:val="0004551E"/>
    <w:rsid w:val="000455EB"/>
    <w:rsid w:val="000458A9"/>
    <w:rsid w:val="00045C92"/>
    <w:rsid w:val="00045DE7"/>
    <w:rsid w:val="00046368"/>
    <w:rsid w:val="00046640"/>
    <w:rsid w:val="00046946"/>
    <w:rsid w:val="00046E70"/>
    <w:rsid w:val="00047153"/>
    <w:rsid w:val="000471A1"/>
    <w:rsid w:val="0004736C"/>
    <w:rsid w:val="000474A6"/>
    <w:rsid w:val="00047DBA"/>
    <w:rsid w:val="00047E99"/>
    <w:rsid w:val="00047F36"/>
    <w:rsid w:val="000501CD"/>
    <w:rsid w:val="00050439"/>
    <w:rsid w:val="00050654"/>
    <w:rsid w:val="00050FE7"/>
    <w:rsid w:val="00051F49"/>
    <w:rsid w:val="000521C6"/>
    <w:rsid w:val="000525B8"/>
    <w:rsid w:val="00052B7F"/>
    <w:rsid w:val="00052EFE"/>
    <w:rsid w:val="000531F7"/>
    <w:rsid w:val="00053ABB"/>
    <w:rsid w:val="00054237"/>
    <w:rsid w:val="00054282"/>
    <w:rsid w:val="000548D3"/>
    <w:rsid w:val="00054BB2"/>
    <w:rsid w:val="00054D92"/>
    <w:rsid w:val="000555E2"/>
    <w:rsid w:val="000558E4"/>
    <w:rsid w:val="00055C86"/>
    <w:rsid w:val="00055FDC"/>
    <w:rsid w:val="00055FF8"/>
    <w:rsid w:val="00056205"/>
    <w:rsid w:val="0005663D"/>
    <w:rsid w:val="00056A66"/>
    <w:rsid w:val="00057090"/>
    <w:rsid w:val="00057125"/>
    <w:rsid w:val="0005758F"/>
    <w:rsid w:val="000575C1"/>
    <w:rsid w:val="00057627"/>
    <w:rsid w:val="00057ACE"/>
    <w:rsid w:val="0006004D"/>
    <w:rsid w:val="00060084"/>
    <w:rsid w:val="000601C0"/>
    <w:rsid w:val="00060952"/>
    <w:rsid w:val="00060B38"/>
    <w:rsid w:val="00060FD0"/>
    <w:rsid w:val="00061111"/>
    <w:rsid w:val="0006159C"/>
    <w:rsid w:val="000617C6"/>
    <w:rsid w:val="00061C38"/>
    <w:rsid w:val="00061C97"/>
    <w:rsid w:val="000629BE"/>
    <w:rsid w:val="000631F8"/>
    <w:rsid w:val="00063288"/>
    <w:rsid w:val="00063531"/>
    <w:rsid w:val="000639C2"/>
    <w:rsid w:val="00063A5F"/>
    <w:rsid w:val="00063D2D"/>
    <w:rsid w:val="00063E26"/>
    <w:rsid w:val="0006428A"/>
    <w:rsid w:val="000644EB"/>
    <w:rsid w:val="000644F5"/>
    <w:rsid w:val="00064755"/>
    <w:rsid w:val="00064955"/>
    <w:rsid w:val="00064F44"/>
    <w:rsid w:val="00065103"/>
    <w:rsid w:val="0006552F"/>
    <w:rsid w:val="00065F06"/>
    <w:rsid w:val="00065F3B"/>
    <w:rsid w:val="000661FE"/>
    <w:rsid w:val="0006642A"/>
    <w:rsid w:val="000670B8"/>
    <w:rsid w:val="0006723E"/>
    <w:rsid w:val="000675EF"/>
    <w:rsid w:val="00067ACA"/>
    <w:rsid w:val="00067E8C"/>
    <w:rsid w:val="00067EC4"/>
    <w:rsid w:val="00067F34"/>
    <w:rsid w:val="0007007D"/>
    <w:rsid w:val="000700BE"/>
    <w:rsid w:val="00070130"/>
    <w:rsid w:val="00070DE4"/>
    <w:rsid w:val="00071475"/>
    <w:rsid w:val="000715DC"/>
    <w:rsid w:val="0007183B"/>
    <w:rsid w:val="00071F6F"/>
    <w:rsid w:val="00072021"/>
    <w:rsid w:val="000720E7"/>
    <w:rsid w:val="000722B0"/>
    <w:rsid w:val="00072798"/>
    <w:rsid w:val="000727D9"/>
    <w:rsid w:val="00072962"/>
    <w:rsid w:val="00072BB7"/>
    <w:rsid w:val="00072BEE"/>
    <w:rsid w:val="0007315F"/>
    <w:rsid w:val="00073329"/>
    <w:rsid w:val="0007392D"/>
    <w:rsid w:val="00073FC9"/>
    <w:rsid w:val="00074426"/>
    <w:rsid w:val="0007465B"/>
    <w:rsid w:val="0007476E"/>
    <w:rsid w:val="00074883"/>
    <w:rsid w:val="000749D9"/>
    <w:rsid w:val="00076220"/>
    <w:rsid w:val="000764CA"/>
    <w:rsid w:val="000768A0"/>
    <w:rsid w:val="00076AF2"/>
    <w:rsid w:val="00076B82"/>
    <w:rsid w:val="00076D7C"/>
    <w:rsid w:val="00076F40"/>
    <w:rsid w:val="00077559"/>
    <w:rsid w:val="00077B1A"/>
    <w:rsid w:val="00077BE4"/>
    <w:rsid w:val="00077CF0"/>
    <w:rsid w:val="00077D9D"/>
    <w:rsid w:val="00077F53"/>
    <w:rsid w:val="00081216"/>
    <w:rsid w:val="000812BC"/>
    <w:rsid w:val="0008144A"/>
    <w:rsid w:val="0008165E"/>
    <w:rsid w:val="000816EB"/>
    <w:rsid w:val="00081751"/>
    <w:rsid w:val="00081946"/>
    <w:rsid w:val="00081D04"/>
    <w:rsid w:val="0008213A"/>
    <w:rsid w:val="00082494"/>
    <w:rsid w:val="000826C0"/>
    <w:rsid w:val="00082759"/>
    <w:rsid w:val="00082D4C"/>
    <w:rsid w:val="000834A3"/>
    <w:rsid w:val="000837DE"/>
    <w:rsid w:val="00083924"/>
    <w:rsid w:val="00083E43"/>
    <w:rsid w:val="000841D0"/>
    <w:rsid w:val="000846AE"/>
    <w:rsid w:val="000848A6"/>
    <w:rsid w:val="00084ACA"/>
    <w:rsid w:val="00084C0C"/>
    <w:rsid w:val="00084DBA"/>
    <w:rsid w:val="00084E81"/>
    <w:rsid w:val="00085A83"/>
    <w:rsid w:val="00085D7A"/>
    <w:rsid w:val="00085E32"/>
    <w:rsid w:val="0008642E"/>
    <w:rsid w:val="00086924"/>
    <w:rsid w:val="000869E3"/>
    <w:rsid w:val="00086B1A"/>
    <w:rsid w:val="00086B87"/>
    <w:rsid w:val="00086FA5"/>
    <w:rsid w:val="00087062"/>
    <w:rsid w:val="00087411"/>
    <w:rsid w:val="00087BF8"/>
    <w:rsid w:val="00087BFA"/>
    <w:rsid w:val="00087E59"/>
    <w:rsid w:val="000902C1"/>
    <w:rsid w:val="00090302"/>
    <w:rsid w:val="000905D1"/>
    <w:rsid w:val="00090609"/>
    <w:rsid w:val="0009087A"/>
    <w:rsid w:val="000908BE"/>
    <w:rsid w:val="00090EC0"/>
    <w:rsid w:val="0009149C"/>
    <w:rsid w:val="00091762"/>
    <w:rsid w:val="0009188E"/>
    <w:rsid w:val="00091AB0"/>
    <w:rsid w:val="00091DA1"/>
    <w:rsid w:val="00091E3D"/>
    <w:rsid w:val="000921E7"/>
    <w:rsid w:val="00092214"/>
    <w:rsid w:val="000922C9"/>
    <w:rsid w:val="0009261A"/>
    <w:rsid w:val="000928F3"/>
    <w:rsid w:val="000929FC"/>
    <w:rsid w:val="000932CA"/>
    <w:rsid w:val="000933CD"/>
    <w:rsid w:val="000934E5"/>
    <w:rsid w:val="000937E7"/>
    <w:rsid w:val="00093856"/>
    <w:rsid w:val="00093981"/>
    <w:rsid w:val="00093F6E"/>
    <w:rsid w:val="00094211"/>
    <w:rsid w:val="00094241"/>
    <w:rsid w:val="0009454C"/>
    <w:rsid w:val="000947EA"/>
    <w:rsid w:val="00094964"/>
    <w:rsid w:val="000949A7"/>
    <w:rsid w:val="00094A97"/>
    <w:rsid w:val="000951A0"/>
    <w:rsid w:val="000953CF"/>
    <w:rsid w:val="00095824"/>
    <w:rsid w:val="00095920"/>
    <w:rsid w:val="00095C58"/>
    <w:rsid w:val="000960A7"/>
    <w:rsid w:val="00096194"/>
    <w:rsid w:val="0009647A"/>
    <w:rsid w:val="0009655B"/>
    <w:rsid w:val="00096677"/>
    <w:rsid w:val="000966CE"/>
    <w:rsid w:val="0009682D"/>
    <w:rsid w:val="00096A04"/>
    <w:rsid w:val="00096F35"/>
    <w:rsid w:val="0009706C"/>
    <w:rsid w:val="00097111"/>
    <w:rsid w:val="000971E1"/>
    <w:rsid w:val="0009727E"/>
    <w:rsid w:val="00097421"/>
    <w:rsid w:val="00097907"/>
    <w:rsid w:val="00097924"/>
    <w:rsid w:val="00097A71"/>
    <w:rsid w:val="00097B90"/>
    <w:rsid w:val="00097D24"/>
    <w:rsid w:val="00097EA4"/>
    <w:rsid w:val="00097F3B"/>
    <w:rsid w:val="00097FC4"/>
    <w:rsid w:val="000A02C2"/>
    <w:rsid w:val="000A0799"/>
    <w:rsid w:val="000A0BB5"/>
    <w:rsid w:val="000A0E07"/>
    <w:rsid w:val="000A0E65"/>
    <w:rsid w:val="000A11F1"/>
    <w:rsid w:val="000A13C9"/>
    <w:rsid w:val="000A201D"/>
    <w:rsid w:val="000A2668"/>
    <w:rsid w:val="000A343B"/>
    <w:rsid w:val="000A3502"/>
    <w:rsid w:val="000A3536"/>
    <w:rsid w:val="000A354D"/>
    <w:rsid w:val="000A39B1"/>
    <w:rsid w:val="000A3E6A"/>
    <w:rsid w:val="000A4231"/>
    <w:rsid w:val="000A440D"/>
    <w:rsid w:val="000A45B0"/>
    <w:rsid w:val="000A4A19"/>
    <w:rsid w:val="000A4A2F"/>
    <w:rsid w:val="000A4AC6"/>
    <w:rsid w:val="000A4FBD"/>
    <w:rsid w:val="000A50E4"/>
    <w:rsid w:val="000A52DF"/>
    <w:rsid w:val="000A5381"/>
    <w:rsid w:val="000A53CA"/>
    <w:rsid w:val="000A55E7"/>
    <w:rsid w:val="000A5EE9"/>
    <w:rsid w:val="000A5FF8"/>
    <w:rsid w:val="000A63FF"/>
    <w:rsid w:val="000A6797"/>
    <w:rsid w:val="000A6D32"/>
    <w:rsid w:val="000A6DAE"/>
    <w:rsid w:val="000A74F3"/>
    <w:rsid w:val="000A763D"/>
    <w:rsid w:val="000A7CBB"/>
    <w:rsid w:val="000B061A"/>
    <w:rsid w:val="000B062C"/>
    <w:rsid w:val="000B07DE"/>
    <w:rsid w:val="000B083D"/>
    <w:rsid w:val="000B0EC8"/>
    <w:rsid w:val="000B1198"/>
    <w:rsid w:val="000B1214"/>
    <w:rsid w:val="000B1C06"/>
    <w:rsid w:val="000B1C87"/>
    <w:rsid w:val="000B1E29"/>
    <w:rsid w:val="000B2B3C"/>
    <w:rsid w:val="000B34FD"/>
    <w:rsid w:val="000B3934"/>
    <w:rsid w:val="000B3AD6"/>
    <w:rsid w:val="000B3CBE"/>
    <w:rsid w:val="000B406B"/>
    <w:rsid w:val="000B4723"/>
    <w:rsid w:val="000B4B07"/>
    <w:rsid w:val="000B4F4F"/>
    <w:rsid w:val="000B6293"/>
    <w:rsid w:val="000B6332"/>
    <w:rsid w:val="000B6336"/>
    <w:rsid w:val="000B6646"/>
    <w:rsid w:val="000B789A"/>
    <w:rsid w:val="000B7963"/>
    <w:rsid w:val="000B7F18"/>
    <w:rsid w:val="000C01FD"/>
    <w:rsid w:val="000C0354"/>
    <w:rsid w:val="000C05D0"/>
    <w:rsid w:val="000C092E"/>
    <w:rsid w:val="000C0D6A"/>
    <w:rsid w:val="000C0E71"/>
    <w:rsid w:val="000C1024"/>
    <w:rsid w:val="000C103B"/>
    <w:rsid w:val="000C1057"/>
    <w:rsid w:val="000C1728"/>
    <w:rsid w:val="000C17C4"/>
    <w:rsid w:val="000C19BC"/>
    <w:rsid w:val="000C2039"/>
    <w:rsid w:val="000C2065"/>
    <w:rsid w:val="000C24A8"/>
    <w:rsid w:val="000C2DD0"/>
    <w:rsid w:val="000C2DE1"/>
    <w:rsid w:val="000C2ECA"/>
    <w:rsid w:val="000C3316"/>
    <w:rsid w:val="000C37C8"/>
    <w:rsid w:val="000C3B54"/>
    <w:rsid w:val="000C430D"/>
    <w:rsid w:val="000C4436"/>
    <w:rsid w:val="000C46A5"/>
    <w:rsid w:val="000C4AD1"/>
    <w:rsid w:val="000C5037"/>
    <w:rsid w:val="000C532E"/>
    <w:rsid w:val="000C5C34"/>
    <w:rsid w:val="000C5C4F"/>
    <w:rsid w:val="000C6079"/>
    <w:rsid w:val="000C63D1"/>
    <w:rsid w:val="000C6435"/>
    <w:rsid w:val="000C65C3"/>
    <w:rsid w:val="000C66E9"/>
    <w:rsid w:val="000C67C4"/>
    <w:rsid w:val="000C69F3"/>
    <w:rsid w:val="000C6A53"/>
    <w:rsid w:val="000C77F0"/>
    <w:rsid w:val="000C7A9B"/>
    <w:rsid w:val="000C7C4E"/>
    <w:rsid w:val="000C7E2A"/>
    <w:rsid w:val="000C7E65"/>
    <w:rsid w:val="000D008F"/>
    <w:rsid w:val="000D024F"/>
    <w:rsid w:val="000D0AB0"/>
    <w:rsid w:val="000D1426"/>
    <w:rsid w:val="000D1585"/>
    <w:rsid w:val="000D18BF"/>
    <w:rsid w:val="000D18CB"/>
    <w:rsid w:val="000D1CB0"/>
    <w:rsid w:val="000D1E1E"/>
    <w:rsid w:val="000D2B7A"/>
    <w:rsid w:val="000D2BC5"/>
    <w:rsid w:val="000D2E47"/>
    <w:rsid w:val="000D32A3"/>
    <w:rsid w:val="000D377A"/>
    <w:rsid w:val="000D394B"/>
    <w:rsid w:val="000D39F3"/>
    <w:rsid w:val="000D3A6C"/>
    <w:rsid w:val="000D4775"/>
    <w:rsid w:val="000D4824"/>
    <w:rsid w:val="000D489D"/>
    <w:rsid w:val="000D4A76"/>
    <w:rsid w:val="000D4ADC"/>
    <w:rsid w:val="000D4D4E"/>
    <w:rsid w:val="000D5210"/>
    <w:rsid w:val="000D5222"/>
    <w:rsid w:val="000D525F"/>
    <w:rsid w:val="000D58F3"/>
    <w:rsid w:val="000D5BDC"/>
    <w:rsid w:val="000D5C49"/>
    <w:rsid w:val="000D5D1F"/>
    <w:rsid w:val="000D5D91"/>
    <w:rsid w:val="000D5EA4"/>
    <w:rsid w:val="000D5FE4"/>
    <w:rsid w:val="000D63F0"/>
    <w:rsid w:val="000D6E36"/>
    <w:rsid w:val="000D7046"/>
    <w:rsid w:val="000D71DB"/>
    <w:rsid w:val="000D7574"/>
    <w:rsid w:val="000D7886"/>
    <w:rsid w:val="000D7EFB"/>
    <w:rsid w:val="000E02D0"/>
    <w:rsid w:val="000E0736"/>
    <w:rsid w:val="000E0D93"/>
    <w:rsid w:val="000E152F"/>
    <w:rsid w:val="000E15AD"/>
    <w:rsid w:val="000E1698"/>
    <w:rsid w:val="000E19F1"/>
    <w:rsid w:val="000E1AE1"/>
    <w:rsid w:val="000E1BC1"/>
    <w:rsid w:val="000E1C21"/>
    <w:rsid w:val="000E1CCA"/>
    <w:rsid w:val="000E1D5A"/>
    <w:rsid w:val="000E1F7B"/>
    <w:rsid w:val="000E1F99"/>
    <w:rsid w:val="000E2036"/>
    <w:rsid w:val="000E223A"/>
    <w:rsid w:val="000E239C"/>
    <w:rsid w:val="000E254E"/>
    <w:rsid w:val="000E27AD"/>
    <w:rsid w:val="000E281C"/>
    <w:rsid w:val="000E30CB"/>
    <w:rsid w:val="000E3CCB"/>
    <w:rsid w:val="000E4515"/>
    <w:rsid w:val="000E452C"/>
    <w:rsid w:val="000E4DC8"/>
    <w:rsid w:val="000E4DF7"/>
    <w:rsid w:val="000E4E1D"/>
    <w:rsid w:val="000E512E"/>
    <w:rsid w:val="000E5558"/>
    <w:rsid w:val="000E5597"/>
    <w:rsid w:val="000E5D8F"/>
    <w:rsid w:val="000E60AC"/>
    <w:rsid w:val="000E65B3"/>
    <w:rsid w:val="000E67EB"/>
    <w:rsid w:val="000E6B5A"/>
    <w:rsid w:val="000E7133"/>
    <w:rsid w:val="000E721B"/>
    <w:rsid w:val="000E770B"/>
    <w:rsid w:val="000E79BA"/>
    <w:rsid w:val="000E7A51"/>
    <w:rsid w:val="000E7FBB"/>
    <w:rsid w:val="000F00D5"/>
    <w:rsid w:val="000F03BD"/>
    <w:rsid w:val="000F0838"/>
    <w:rsid w:val="000F0CCA"/>
    <w:rsid w:val="000F17B3"/>
    <w:rsid w:val="000F18EC"/>
    <w:rsid w:val="000F1CE2"/>
    <w:rsid w:val="000F22A3"/>
    <w:rsid w:val="000F234A"/>
    <w:rsid w:val="000F24AF"/>
    <w:rsid w:val="000F2834"/>
    <w:rsid w:val="000F28AB"/>
    <w:rsid w:val="000F2C33"/>
    <w:rsid w:val="000F2EDF"/>
    <w:rsid w:val="000F3A5D"/>
    <w:rsid w:val="000F4842"/>
    <w:rsid w:val="000F4BFD"/>
    <w:rsid w:val="000F4EA6"/>
    <w:rsid w:val="000F5010"/>
    <w:rsid w:val="000F508C"/>
    <w:rsid w:val="000F5120"/>
    <w:rsid w:val="000F55E7"/>
    <w:rsid w:val="000F572A"/>
    <w:rsid w:val="000F57E4"/>
    <w:rsid w:val="000F58AD"/>
    <w:rsid w:val="000F5B61"/>
    <w:rsid w:val="000F5D1B"/>
    <w:rsid w:val="000F6088"/>
    <w:rsid w:val="000F6289"/>
    <w:rsid w:val="000F671A"/>
    <w:rsid w:val="000F671B"/>
    <w:rsid w:val="000F6B69"/>
    <w:rsid w:val="000F6DB1"/>
    <w:rsid w:val="000F70C5"/>
    <w:rsid w:val="000F722C"/>
    <w:rsid w:val="000F7276"/>
    <w:rsid w:val="000F728D"/>
    <w:rsid w:val="000F7309"/>
    <w:rsid w:val="000F7391"/>
    <w:rsid w:val="000F75A1"/>
    <w:rsid w:val="000F786A"/>
    <w:rsid w:val="000F7960"/>
    <w:rsid w:val="0010011C"/>
    <w:rsid w:val="0010058C"/>
    <w:rsid w:val="001005DC"/>
    <w:rsid w:val="00100697"/>
    <w:rsid w:val="00100C5A"/>
    <w:rsid w:val="00100D9E"/>
    <w:rsid w:val="00101211"/>
    <w:rsid w:val="001013F0"/>
    <w:rsid w:val="00101B13"/>
    <w:rsid w:val="00101C0D"/>
    <w:rsid w:val="00101C2B"/>
    <w:rsid w:val="00101D42"/>
    <w:rsid w:val="00101F4E"/>
    <w:rsid w:val="0010208A"/>
    <w:rsid w:val="00102360"/>
    <w:rsid w:val="00102766"/>
    <w:rsid w:val="001027F7"/>
    <w:rsid w:val="00102A03"/>
    <w:rsid w:val="00102A91"/>
    <w:rsid w:val="00103274"/>
    <w:rsid w:val="001034BD"/>
    <w:rsid w:val="00103CF6"/>
    <w:rsid w:val="00104337"/>
    <w:rsid w:val="0010459E"/>
    <w:rsid w:val="00104A16"/>
    <w:rsid w:val="00104E42"/>
    <w:rsid w:val="00104EB4"/>
    <w:rsid w:val="0010529E"/>
    <w:rsid w:val="00105336"/>
    <w:rsid w:val="0010563A"/>
    <w:rsid w:val="00105C63"/>
    <w:rsid w:val="00105CC1"/>
    <w:rsid w:val="00106236"/>
    <w:rsid w:val="00106309"/>
    <w:rsid w:val="00106358"/>
    <w:rsid w:val="00106665"/>
    <w:rsid w:val="00106D19"/>
    <w:rsid w:val="00106D9D"/>
    <w:rsid w:val="00106F9A"/>
    <w:rsid w:val="001071B6"/>
    <w:rsid w:val="0010740B"/>
    <w:rsid w:val="0010767D"/>
    <w:rsid w:val="00107724"/>
    <w:rsid w:val="001078AE"/>
    <w:rsid w:val="00107BEF"/>
    <w:rsid w:val="0011021B"/>
    <w:rsid w:val="00110B19"/>
    <w:rsid w:val="00110CBE"/>
    <w:rsid w:val="00110DF9"/>
    <w:rsid w:val="001111B1"/>
    <w:rsid w:val="00111387"/>
    <w:rsid w:val="00111433"/>
    <w:rsid w:val="001115BC"/>
    <w:rsid w:val="0011184C"/>
    <w:rsid w:val="00111B4B"/>
    <w:rsid w:val="00111C6F"/>
    <w:rsid w:val="0011250B"/>
    <w:rsid w:val="00112653"/>
    <w:rsid w:val="00112D6B"/>
    <w:rsid w:val="001130C4"/>
    <w:rsid w:val="001130EB"/>
    <w:rsid w:val="00113266"/>
    <w:rsid w:val="0011357E"/>
    <w:rsid w:val="001137CD"/>
    <w:rsid w:val="0011384A"/>
    <w:rsid w:val="00113B35"/>
    <w:rsid w:val="00113B75"/>
    <w:rsid w:val="00113E5A"/>
    <w:rsid w:val="00114361"/>
    <w:rsid w:val="001149C0"/>
    <w:rsid w:val="00114E56"/>
    <w:rsid w:val="00115276"/>
    <w:rsid w:val="00115633"/>
    <w:rsid w:val="00115715"/>
    <w:rsid w:val="00115B6C"/>
    <w:rsid w:val="00115CEC"/>
    <w:rsid w:val="00116075"/>
    <w:rsid w:val="00116128"/>
    <w:rsid w:val="001164BB"/>
    <w:rsid w:val="00116690"/>
    <w:rsid w:val="001167EA"/>
    <w:rsid w:val="00116847"/>
    <w:rsid w:val="001168AA"/>
    <w:rsid w:val="001175EE"/>
    <w:rsid w:val="00117BBC"/>
    <w:rsid w:val="00117FAD"/>
    <w:rsid w:val="001204AA"/>
    <w:rsid w:val="001207EA"/>
    <w:rsid w:val="00120DEC"/>
    <w:rsid w:val="00120E0D"/>
    <w:rsid w:val="00121044"/>
    <w:rsid w:val="001217DB"/>
    <w:rsid w:val="00121926"/>
    <w:rsid w:val="00121A73"/>
    <w:rsid w:val="00121CBF"/>
    <w:rsid w:val="001224F9"/>
    <w:rsid w:val="0012284E"/>
    <w:rsid w:val="00122A3D"/>
    <w:rsid w:val="00122DF1"/>
    <w:rsid w:val="00123109"/>
    <w:rsid w:val="001236C3"/>
    <w:rsid w:val="0012379B"/>
    <w:rsid w:val="00123D56"/>
    <w:rsid w:val="001240A4"/>
    <w:rsid w:val="00124984"/>
    <w:rsid w:val="001249E6"/>
    <w:rsid w:val="00124C10"/>
    <w:rsid w:val="00124EE6"/>
    <w:rsid w:val="00124F04"/>
    <w:rsid w:val="00125316"/>
    <w:rsid w:val="001258C5"/>
    <w:rsid w:val="00125B50"/>
    <w:rsid w:val="00126007"/>
    <w:rsid w:val="001262BF"/>
    <w:rsid w:val="001263B9"/>
    <w:rsid w:val="00126950"/>
    <w:rsid w:val="001273BD"/>
    <w:rsid w:val="001275CA"/>
    <w:rsid w:val="00127FC0"/>
    <w:rsid w:val="00130986"/>
    <w:rsid w:val="00130B3D"/>
    <w:rsid w:val="00130E05"/>
    <w:rsid w:val="00131029"/>
    <w:rsid w:val="0013120A"/>
    <w:rsid w:val="00131297"/>
    <w:rsid w:val="00131745"/>
    <w:rsid w:val="0013175C"/>
    <w:rsid w:val="00131C22"/>
    <w:rsid w:val="00131C7A"/>
    <w:rsid w:val="00131D2C"/>
    <w:rsid w:val="00131F0B"/>
    <w:rsid w:val="001322BF"/>
    <w:rsid w:val="0013253A"/>
    <w:rsid w:val="00132621"/>
    <w:rsid w:val="0013262F"/>
    <w:rsid w:val="00132657"/>
    <w:rsid w:val="00132BFD"/>
    <w:rsid w:val="00132E02"/>
    <w:rsid w:val="001330C9"/>
    <w:rsid w:val="001331D4"/>
    <w:rsid w:val="001338D9"/>
    <w:rsid w:val="00133990"/>
    <w:rsid w:val="00133A78"/>
    <w:rsid w:val="00133BB9"/>
    <w:rsid w:val="0013427E"/>
    <w:rsid w:val="001348D7"/>
    <w:rsid w:val="00134D8D"/>
    <w:rsid w:val="00134F95"/>
    <w:rsid w:val="00135015"/>
    <w:rsid w:val="00135565"/>
    <w:rsid w:val="00135659"/>
    <w:rsid w:val="001356BB"/>
    <w:rsid w:val="001357C0"/>
    <w:rsid w:val="00135A5B"/>
    <w:rsid w:val="00135CF6"/>
    <w:rsid w:val="00135E96"/>
    <w:rsid w:val="00135E9A"/>
    <w:rsid w:val="001360F4"/>
    <w:rsid w:val="0013629A"/>
    <w:rsid w:val="00136950"/>
    <w:rsid w:val="00136E08"/>
    <w:rsid w:val="00136EFA"/>
    <w:rsid w:val="00136FA6"/>
    <w:rsid w:val="001373DB"/>
    <w:rsid w:val="00137447"/>
    <w:rsid w:val="001374E7"/>
    <w:rsid w:val="00137802"/>
    <w:rsid w:val="0013784B"/>
    <w:rsid w:val="0013788E"/>
    <w:rsid w:val="00140247"/>
    <w:rsid w:val="001407E2"/>
    <w:rsid w:val="00140C14"/>
    <w:rsid w:val="00140C4F"/>
    <w:rsid w:val="00140FC8"/>
    <w:rsid w:val="001410E6"/>
    <w:rsid w:val="001412DB"/>
    <w:rsid w:val="0014185F"/>
    <w:rsid w:val="0014275F"/>
    <w:rsid w:val="0014283F"/>
    <w:rsid w:val="001429FD"/>
    <w:rsid w:val="00142A42"/>
    <w:rsid w:val="00143335"/>
    <w:rsid w:val="00143715"/>
    <w:rsid w:val="00143A47"/>
    <w:rsid w:val="00143D11"/>
    <w:rsid w:val="00143E0F"/>
    <w:rsid w:val="00143F73"/>
    <w:rsid w:val="001440D6"/>
    <w:rsid w:val="00144182"/>
    <w:rsid w:val="00144225"/>
    <w:rsid w:val="0014480D"/>
    <w:rsid w:val="00144B39"/>
    <w:rsid w:val="00144B56"/>
    <w:rsid w:val="00144F3F"/>
    <w:rsid w:val="001450BE"/>
    <w:rsid w:val="0014513B"/>
    <w:rsid w:val="001453D6"/>
    <w:rsid w:val="001454F7"/>
    <w:rsid w:val="00145669"/>
    <w:rsid w:val="00145E82"/>
    <w:rsid w:val="001460E4"/>
    <w:rsid w:val="001466F3"/>
    <w:rsid w:val="0014672F"/>
    <w:rsid w:val="00146989"/>
    <w:rsid w:val="00146D62"/>
    <w:rsid w:val="00146E89"/>
    <w:rsid w:val="00146EF4"/>
    <w:rsid w:val="0014728B"/>
    <w:rsid w:val="001474E0"/>
    <w:rsid w:val="00147876"/>
    <w:rsid w:val="00147C45"/>
    <w:rsid w:val="00147CFB"/>
    <w:rsid w:val="00147D6C"/>
    <w:rsid w:val="00147E83"/>
    <w:rsid w:val="00147FDD"/>
    <w:rsid w:val="00150549"/>
    <w:rsid w:val="001506D3"/>
    <w:rsid w:val="00150A41"/>
    <w:rsid w:val="00150B83"/>
    <w:rsid w:val="00151124"/>
    <w:rsid w:val="0015129C"/>
    <w:rsid w:val="001512AC"/>
    <w:rsid w:val="00151324"/>
    <w:rsid w:val="00151A67"/>
    <w:rsid w:val="00151BEB"/>
    <w:rsid w:val="00151C22"/>
    <w:rsid w:val="00151D87"/>
    <w:rsid w:val="00151F69"/>
    <w:rsid w:val="0015216B"/>
    <w:rsid w:val="00152248"/>
    <w:rsid w:val="00152276"/>
    <w:rsid w:val="00152513"/>
    <w:rsid w:val="0015287B"/>
    <w:rsid w:val="001529D6"/>
    <w:rsid w:val="00152A45"/>
    <w:rsid w:val="00153051"/>
    <w:rsid w:val="00153366"/>
    <w:rsid w:val="0015364D"/>
    <w:rsid w:val="00153739"/>
    <w:rsid w:val="0015373F"/>
    <w:rsid w:val="00153C73"/>
    <w:rsid w:val="00153FA9"/>
    <w:rsid w:val="00154204"/>
    <w:rsid w:val="00154B4B"/>
    <w:rsid w:val="00154FBE"/>
    <w:rsid w:val="00155151"/>
    <w:rsid w:val="001553A7"/>
    <w:rsid w:val="00155B0A"/>
    <w:rsid w:val="00155E0D"/>
    <w:rsid w:val="00155F15"/>
    <w:rsid w:val="0015632F"/>
    <w:rsid w:val="0015651A"/>
    <w:rsid w:val="001565EB"/>
    <w:rsid w:val="0015666C"/>
    <w:rsid w:val="00156A09"/>
    <w:rsid w:val="00156F68"/>
    <w:rsid w:val="00157234"/>
    <w:rsid w:val="00157259"/>
    <w:rsid w:val="0015752D"/>
    <w:rsid w:val="0015766B"/>
    <w:rsid w:val="00157796"/>
    <w:rsid w:val="00157970"/>
    <w:rsid w:val="00157A9F"/>
    <w:rsid w:val="00157EFE"/>
    <w:rsid w:val="0016045A"/>
    <w:rsid w:val="0016057C"/>
    <w:rsid w:val="00160A6B"/>
    <w:rsid w:val="00161623"/>
    <w:rsid w:val="001616BD"/>
    <w:rsid w:val="001616DE"/>
    <w:rsid w:val="00161749"/>
    <w:rsid w:val="00161911"/>
    <w:rsid w:val="001621E0"/>
    <w:rsid w:val="0016230F"/>
    <w:rsid w:val="0016235B"/>
    <w:rsid w:val="001624A2"/>
    <w:rsid w:val="0016257C"/>
    <w:rsid w:val="00162CA1"/>
    <w:rsid w:val="00162D01"/>
    <w:rsid w:val="00162D90"/>
    <w:rsid w:val="0016328C"/>
    <w:rsid w:val="0016344A"/>
    <w:rsid w:val="00163457"/>
    <w:rsid w:val="00163BC9"/>
    <w:rsid w:val="00163DA0"/>
    <w:rsid w:val="00163E2B"/>
    <w:rsid w:val="00163EF6"/>
    <w:rsid w:val="001644BF"/>
    <w:rsid w:val="001647DD"/>
    <w:rsid w:val="00164852"/>
    <w:rsid w:val="001648B6"/>
    <w:rsid w:val="00164BF5"/>
    <w:rsid w:val="00164CE9"/>
    <w:rsid w:val="00164D0F"/>
    <w:rsid w:val="00164EF3"/>
    <w:rsid w:val="0016504A"/>
    <w:rsid w:val="0016505E"/>
    <w:rsid w:val="001652C2"/>
    <w:rsid w:val="001653AF"/>
    <w:rsid w:val="001654E6"/>
    <w:rsid w:val="001656EC"/>
    <w:rsid w:val="00165718"/>
    <w:rsid w:val="001658C6"/>
    <w:rsid w:val="001658F6"/>
    <w:rsid w:val="00165954"/>
    <w:rsid w:val="00165EB4"/>
    <w:rsid w:val="00166089"/>
    <w:rsid w:val="001661E9"/>
    <w:rsid w:val="001663FB"/>
    <w:rsid w:val="0016651A"/>
    <w:rsid w:val="00166C3B"/>
    <w:rsid w:val="00166E15"/>
    <w:rsid w:val="0016749C"/>
    <w:rsid w:val="001676C2"/>
    <w:rsid w:val="00167821"/>
    <w:rsid w:val="00167E1A"/>
    <w:rsid w:val="0017013A"/>
    <w:rsid w:val="0017065B"/>
    <w:rsid w:val="00170878"/>
    <w:rsid w:val="00170EDB"/>
    <w:rsid w:val="00171398"/>
    <w:rsid w:val="0017144E"/>
    <w:rsid w:val="0017177E"/>
    <w:rsid w:val="00171801"/>
    <w:rsid w:val="00171A28"/>
    <w:rsid w:val="00171C16"/>
    <w:rsid w:val="00172194"/>
    <w:rsid w:val="001725BF"/>
    <w:rsid w:val="001726ED"/>
    <w:rsid w:val="001727A3"/>
    <w:rsid w:val="0017296C"/>
    <w:rsid w:val="00172E94"/>
    <w:rsid w:val="00173194"/>
    <w:rsid w:val="001738DA"/>
    <w:rsid w:val="00173954"/>
    <w:rsid w:val="00173AEE"/>
    <w:rsid w:val="00173DFB"/>
    <w:rsid w:val="00174605"/>
    <w:rsid w:val="001747C4"/>
    <w:rsid w:val="00174B0D"/>
    <w:rsid w:val="00174C7D"/>
    <w:rsid w:val="00175066"/>
    <w:rsid w:val="00175068"/>
    <w:rsid w:val="001750EA"/>
    <w:rsid w:val="00175151"/>
    <w:rsid w:val="001753A7"/>
    <w:rsid w:val="00175B9B"/>
    <w:rsid w:val="0017609A"/>
    <w:rsid w:val="001764C5"/>
    <w:rsid w:val="001765B6"/>
    <w:rsid w:val="001767C5"/>
    <w:rsid w:val="00176BCC"/>
    <w:rsid w:val="00176D63"/>
    <w:rsid w:val="00176FB9"/>
    <w:rsid w:val="001773B6"/>
    <w:rsid w:val="00177650"/>
    <w:rsid w:val="001777A3"/>
    <w:rsid w:val="00177A8D"/>
    <w:rsid w:val="00177B98"/>
    <w:rsid w:val="00177D94"/>
    <w:rsid w:val="00177EDA"/>
    <w:rsid w:val="001800FA"/>
    <w:rsid w:val="001802EB"/>
    <w:rsid w:val="00180401"/>
    <w:rsid w:val="00180457"/>
    <w:rsid w:val="001808DB"/>
    <w:rsid w:val="00180A26"/>
    <w:rsid w:val="00180E7C"/>
    <w:rsid w:val="00181214"/>
    <w:rsid w:val="001815BA"/>
    <w:rsid w:val="00181CC4"/>
    <w:rsid w:val="00181E82"/>
    <w:rsid w:val="00182152"/>
    <w:rsid w:val="00182573"/>
    <w:rsid w:val="00182A62"/>
    <w:rsid w:val="001833C3"/>
    <w:rsid w:val="001833E4"/>
    <w:rsid w:val="0018356F"/>
    <w:rsid w:val="00183683"/>
    <w:rsid w:val="001836AD"/>
    <w:rsid w:val="00183C21"/>
    <w:rsid w:val="00183EF7"/>
    <w:rsid w:val="001843A2"/>
    <w:rsid w:val="00184AFA"/>
    <w:rsid w:val="00184BB9"/>
    <w:rsid w:val="00185748"/>
    <w:rsid w:val="00185888"/>
    <w:rsid w:val="00185931"/>
    <w:rsid w:val="001859D2"/>
    <w:rsid w:val="00185A41"/>
    <w:rsid w:val="001864D4"/>
    <w:rsid w:val="001864ED"/>
    <w:rsid w:val="00186B19"/>
    <w:rsid w:val="00186C08"/>
    <w:rsid w:val="00186FDA"/>
    <w:rsid w:val="0018733A"/>
    <w:rsid w:val="001873B1"/>
    <w:rsid w:val="00187995"/>
    <w:rsid w:val="00187AEA"/>
    <w:rsid w:val="00187B5E"/>
    <w:rsid w:val="00187C31"/>
    <w:rsid w:val="001900AC"/>
    <w:rsid w:val="001902A9"/>
    <w:rsid w:val="00190B24"/>
    <w:rsid w:val="0019143F"/>
    <w:rsid w:val="0019147D"/>
    <w:rsid w:val="00191DD7"/>
    <w:rsid w:val="00192522"/>
    <w:rsid w:val="00192561"/>
    <w:rsid w:val="001925AA"/>
    <w:rsid w:val="001926B4"/>
    <w:rsid w:val="00192DF5"/>
    <w:rsid w:val="00192EB9"/>
    <w:rsid w:val="00193150"/>
    <w:rsid w:val="001931CC"/>
    <w:rsid w:val="00193535"/>
    <w:rsid w:val="001937FF"/>
    <w:rsid w:val="00193DA3"/>
    <w:rsid w:val="001940DF"/>
    <w:rsid w:val="0019463A"/>
    <w:rsid w:val="001946D0"/>
    <w:rsid w:val="00194AC9"/>
    <w:rsid w:val="00194D9A"/>
    <w:rsid w:val="001955F6"/>
    <w:rsid w:val="00195659"/>
    <w:rsid w:val="001956A7"/>
    <w:rsid w:val="001956C1"/>
    <w:rsid w:val="00195F8A"/>
    <w:rsid w:val="00196036"/>
    <w:rsid w:val="001964B7"/>
    <w:rsid w:val="00196BC0"/>
    <w:rsid w:val="00196C00"/>
    <w:rsid w:val="00196C57"/>
    <w:rsid w:val="00196C9D"/>
    <w:rsid w:val="00196D0E"/>
    <w:rsid w:val="00196D83"/>
    <w:rsid w:val="0019713F"/>
    <w:rsid w:val="00197BE4"/>
    <w:rsid w:val="001A005A"/>
    <w:rsid w:val="001A07CD"/>
    <w:rsid w:val="001A0871"/>
    <w:rsid w:val="001A0966"/>
    <w:rsid w:val="001A1120"/>
    <w:rsid w:val="001A133B"/>
    <w:rsid w:val="001A1648"/>
    <w:rsid w:val="001A1D05"/>
    <w:rsid w:val="001A1D20"/>
    <w:rsid w:val="001A1E20"/>
    <w:rsid w:val="001A2146"/>
    <w:rsid w:val="001A21D5"/>
    <w:rsid w:val="001A22E1"/>
    <w:rsid w:val="001A27C1"/>
    <w:rsid w:val="001A2C1B"/>
    <w:rsid w:val="001A3364"/>
    <w:rsid w:val="001A3849"/>
    <w:rsid w:val="001A3E78"/>
    <w:rsid w:val="001A3FEB"/>
    <w:rsid w:val="001A4457"/>
    <w:rsid w:val="001A4907"/>
    <w:rsid w:val="001A5602"/>
    <w:rsid w:val="001A5858"/>
    <w:rsid w:val="001A6084"/>
    <w:rsid w:val="001A60CC"/>
    <w:rsid w:val="001A6321"/>
    <w:rsid w:val="001A6342"/>
    <w:rsid w:val="001A694E"/>
    <w:rsid w:val="001A69D6"/>
    <w:rsid w:val="001A7041"/>
    <w:rsid w:val="001A7CA3"/>
    <w:rsid w:val="001A7D35"/>
    <w:rsid w:val="001A7D73"/>
    <w:rsid w:val="001A7E5C"/>
    <w:rsid w:val="001A7FAF"/>
    <w:rsid w:val="001B0013"/>
    <w:rsid w:val="001B0476"/>
    <w:rsid w:val="001B0902"/>
    <w:rsid w:val="001B0B19"/>
    <w:rsid w:val="001B1705"/>
    <w:rsid w:val="001B1745"/>
    <w:rsid w:val="001B1E95"/>
    <w:rsid w:val="001B214F"/>
    <w:rsid w:val="001B217F"/>
    <w:rsid w:val="001B22CD"/>
    <w:rsid w:val="001B2491"/>
    <w:rsid w:val="001B2629"/>
    <w:rsid w:val="001B2905"/>
    <w:rsid w:val="001B2906"/>
    <w:rsid w:val="001B2A1E"/>
    <w:rsid w:val="001B2F94"/>
    <w:rsid w:val="001B362B"/>
    <w:rsid w:val="001B3761"/>
    <w:rsid w:val="001B37DF"/>
    <w:rsid w:val="001B3DC0"/>
    <w:rsid w:val="001B41F7"/>
    <w:rsid w:val="001B491E"/>
    <w:rsid w:val="001B4BC1"/>
    <w:rsid w:val="001B4C2E"/>
    <w:rsid w:val="001B4F8B"/>
    <w:rsid w:val="001B508C"/>
    <w:rsid w:val="001B590B"/>
    <w:rsid w:val="001B592E"/>
    <w:rsid w:val="001B5C51"/>
    <w:rsid w:val="001B5E98"/>
    <w:rsid w:val="001B62A2"/>
    <w:rsid w:val="001B659A"/>
    <w:rsid w:val="001B68AF"/>
    <w:rsid w:val="001B6ACA"/>
    <w:rsid w:val="001B7030"/>
    <w:rsid w:val="001B75ED"/>
    <w:rsid w:val="001B7B31"/>
    <w:rsid w:val="001B7CF6"/>
    <w:rsid w:val="001B7F03"/>
    <w:rsid w:val="001C0015"/>
    <w:rsid w:val="001C034B"/>
    <w:rsid w:val="001C06FA"/>
    <w:rsid w:val="001C0909"/>
    <w:rsid w:val="001C094D"/>
    <w:rsid w:val="001C1A2E"/>
    <w:rsid w:val="001C1A55"/>
    <w:rsid w:val="001C1D2C"/>
    <w:rsid w:val="001C1F1A"/>
    <w:rsid w:val="001C21DF"/>
    <w:rsid w:val="001C2468"/>
    <w:rsid w:val="001C27F0"/>
    <w:rsid w:val="001C285B"/>
    <w:rsid w:val="001C29C7"/>
    <w:rsid w:val="001C33E7"/>
    <w:rsid w:val="001C3490"/>
    <w:rsid w:val="001C3532"/>
    <w:rsid w:val="001C371D"/>
    <w:rsid w:val="001C3945"/>
    <w:rsid w:val="001C3D2C"/>
    <w:rsid w:val="001C4352"/>
    <w:rsid w:val="001C4868"/>
    <w:rsid w:val="001C4938"/>
    <w:rsid w:val="001C4A1F"/>
    <w:rsid w:val="001C4F69"/>
    <w:rsid w:val="001C505D"/>
    <w:rsid w:val="001C5064"/>
    <w:rsid w:val="001C50DD"/>
    <w:rsid w:val="001C5208"/>
    <w:rsid w:val="001C6030"/>
    <w:rsid w:val="001C660E"/>
    <w:rsid w:val="001C6B32"/>
    <w:rsid w:val="001C741C"/>
    <w:rsid w:val="001C7766"/>
    <w:rsid w:val="001C7C6F"/>
    <w:rsid w:val="001C7F96"/>
    <w:rsid w:val="001C7FA3"/>
    <w:rsid w:val="001D00D1"/>
    <w:rsid w:val="001D01B8"/>
    <w:rsid w:val="001D035B"/>
    <w:rsid w:val="001D0D59"/>
    <w:rsid w:val="001D10A1"/>
    <w:rsid w:val="001D1221"/>
    <w:rsid w:val="001D1261"/>
    <w:rsid w:val="001D1A2F"/>
    <w:rsid w:val="001D1D4C"/>
    <w:rsid w:val="001D2373"/>
    <w:rsid w:val="001D2A5D"/>
    <w:rsid w:val="001D34CF"/>
    <w:rsid w:val="001D3942"/>
    <w:rsid w:val="001D3B3A"/>
    <w:rsid w:val="001D3EBB"/>
    <w:rsid w:val="001D4109"/>
    <w:rsid w:val="001D4301"/>
    <w:rsid w:val="001D441B"/>
    <w:rsid w:val="001D4CC4"/>
    <w:rsid w:val="001D5394"/>
    <w:rsid w:val="001D5434"/>
    <w:rsid w:val="001D58B4"/>
    <w:rsid w:val="001D5910"/>
    <w:rsid w:val="001D5A31"/>
    <w:rsid w:val="001D5C50"/>
    <w:rsid w:val="001D60FB"/>
    <w:rsid w:val="001D62D1"/>
    <w:rsid w:val="001D720F"/>
    <w:rsid w:val="001D751E"/>
    <w:rsid w:val="001D75CB"/>
    <w:rsid w:val="001D75E1"/>
    <w:rsid w:val="001E0313"/>
    <w:rsid w:val="001E07DC"/>
    <w:rsid w:val="001E08AC"/>
    <w:rsid w:val="001E0A67"/>
    <w:rsid w:val="001E0C02"/>
    <w:rsid w:val="001E1086"/>
    <w:rsid w:val="001E12FF"/>
    <w:rsid w:val="001E13CC"/>
    <w:rsid w:val="001E16B5"/>
    <w:rsid w:val="001E1F49"/>
    <w:rsid w:val="001E2285"/>
    <w:rsid w:val="001E27D7"/>
    <w:rsid w:val="001E2CD4"/>
    <w:rsid w:val="001E2CEE"/>
    <w:rsid w:val="001E3474"/>
    <w:rsid w:val="001E3A38"/>
    <w:rsid w:val="001E3F9C"/>
    <w:rsid w:val="001E4608"/>
    <w:rsid w:val="001E498A"/>
    <w:rsid w:val="001E4CF1"/>
    <w:rsid w:val="001E5756"/>
    <w:rsid w:val="001E5900"/>
    <w:rsid w:val="001E5A82"/>
    <w:rsid w:val="001E5B40"/>
    <w:rsid w:val="001E5BEA"/>
    <w:rsid w:val="001E5E61"/>
    <w:rsid w:val="001E5ECC"/>
    <w:rsid w:val="001E5F4A"/>
    <w:rsid w:val="001E636D"/>
    <w:rsid w:val="001E6393"/>
    <w:rsid w:val="001E6681"/>
    <w:rsid w:val="001E68D8"/>
    <w:rsid w:val="001E6AA3"/>
    <w:rsid w:val="001E6C24"/>
    <w:rsid w:val="001E70C2"/>
    <w:rsid w:val="001E7155"/>
    <w:rsid w:val="001E735B"/>
    <w:rsid w:val="001E74C2"/>
    <w:rsid w:val="001E7631"/>
    <w:rsid w:val="001E7BE5"/>
    <w:rsid w:val="001F01AA"/>
    <w:rsid w:val="001F02F1"/>
    <w:rsid w:val="001F0B6F"/>
    <w:rsid w:val="001F0C2B"/>
    <w:rsid w:val="001F0E5C"/>
    <w:rsid w:val="001F110A"/>
    <w:rsid w:val="001F14DD"/>
    <w:rsid w:val="001F14DF"/>
    <w:rsid w:val="001F1553"/>
    <w:rsid w:val="001F1BB1"/>
    <w:rsid w:val="001F1BED"/>
    <w:rsid w:val="001F1D14"/>
    <w:rsid w:val="001F1FE3"/>
    <w:rsid w:val="001F20B0"/>
    <w:rsid w:val="001F222C"/>
    <w:rsid w:val="001F2236"/>
    <w:rsid w:val="001F28AE"/>
    <w:rsid w:val="001F2964"/>
    <w:rsid w:val="001F2B73"/>
    <w:rsid w:val="001F38A8"/>
    <w:rsid w:val="001F3A6B"/>
    <w:rsid w:val="001F3ADE"/>
    <w:rsid w:val="001F4998"/>
    <w:rsid w:val="001F4A8A"/>
    <w:rsid w:val="001F4E50"/>
    <w:rsid w:val="001F4E7F"/>
    <w:rsid w:val="001F4FE1"/>
    <w:rsid w:val="001F5094"/>
    <w:rsid w:val="001F5D69"/>
    <w:rsid w:val="001F5E29"/>
    <w:rsid w:val="001F604D"/>
    <w:rsid w:val="001F629B"/>
    <w:rsid w:val="001F63B1"/>
    <w:rsid w:val="001F65FA"/>
    <w:rsid w:val="001F66A2"/>
    <w:rsid w:val="001F69DA"/>
    <w:rsid w:val="001F6A5C"/>
    <w:rsid w:val="001F6DD5"/>
    <w:rsid w:val="001F73A5"/>
    <w:rsid w:val="001F78CD"/>
    <w:rsid w:val="001F7918"/>
    <w:rsid w:val="001F7AA3"/>
    <w:rsid w:val="001F7D43"/>
    <w:rsid w:val="001F7D7E"/>
    <w:rsid w:val="0020076E"/>
    <w:rsid w:val="0020095C"/>
    <w:rsid w:val="00200E08"/>
    <w:rsid w:val="00200FAC"/>
    <w:rsid w:val="00201367"/>
    <w:rsid w:val="00201DDE"/>
    <w:rsid w:val="00202501"/>
    <w:rsid w:val="00202622"/>
    <w:rsid w:val="00202947"/>
    <w:rsid w:val="00203067"/>
    <w:rsid w:val="00203243"/>
    <w:rsid w:val="00203306"/>
    <w:rsid w:val="00203335"/>
    <w:rsid w:val="0020413B"/>
    <w:rsid w:val="00204243"/>
    <w:rsid w:val="00204590"/>
    <w:rsid w:val="002046C8"/>
    <w:rsid w:val="0020484A"/>
    <w:rsid w:val="00204A13"/>
    <w:rsid w:val="00204F40"/>
    <w:rsid w:val="002050A4"/>
    <w:rsid w:val="002053E7"/>
    <w:rsid w:val="00205583"/>
    <w:rsid w:val="00205640"/>
    <w:rsid w:val="002056D4"/>
    <w:rsid w:val="002058AA"/>
    <w:rsid w:val="00205979"/>
    <w:rsid w:val="00205D5E"/>
    <w:rsid w:val="0020607D"/>
    <w:rsid w:val="00206FEC"/>
    <w:rsid w:val="002074E9"/>
    <w:rsid w:val="0020771F"/>
    <w:rsid w:val="0020786F"/>
    <w:rsid w:val="002079F8"/>
    <w:rsid w:val="00207EF7"/>
    <w:rsid w:val="0021049C"/>
    <w:rsid w:val="00210517"/>
    <w:rsid w:val="00210889"/>
    <w:rsid w:val="00210B71"/>
    <w:rsid w:val="00210D3D"/>
    <w:rsid w:val="00211030"/>
    <w:rsid w:val="0021142E"/>
    <w:rsid w:val="0021174E"/>
    <w:rsid w:val="002117CB"/>
    <w:rsid w:val="002117E3"/>
    <w:rsid w:val="00211E66"/>
    <w:rsid w:val="002120AC"/>
    <w:rsid w:val="002122EF"/>
    <w:rsid w:val="0021239D"/>
    <w:rsid w:val="0021245E"/>
    <w:rsid w:val="00212565"/>
    <w:rsid w:val="002128D2"/>
    <w:rsid w:val="00212D8F"/>
    <w:rsid w:val="00212DB2"/>
    <w:rsid w:val="00212F60"/>
    <w:rsid w:val="00212FC8"/>
    <w:rsid w:val="00213423"/>
    <w:rsid w:val="002141E6"/>
    <w:rsid w:val="00214344"/>
    <w:rsid w:val="00214988"/>
    <w:rsid w:val="00214A95"/>
    <w:rsid w:val="00214C03"/>
    <w:rsid w:val="00214C0A"/>
    <w:rsid w:val="00215F5F"/>
    <w:rsid w:val="0021615A"/>
    <w:rsid w:val="002162F9"/>
    <w:rsid w:val="0021660B"/>
    <w:rsid w:val="00216DF4"/>
    <w:rsid w:val="00216EA4"/>
    <w:rsid w:val="002171AD"/>
    <w:rsid w:val="0021748B"/>
    <w:rsid w:val="00217662"/>
    <w:rsid w:val="002176AE"/>
    <w:rsid w:val="00217CC6"/>
    <w:rsid w:val="00217D40"/>
    <w:rsid w:val="0022032E"/>
    <w:rsid w:val="00220D35"/>
    <w:rsid w:val="0022132C"/>
    <w:rsid w:val="00221A0A"/>
    <w:rsid w:val="00221D15"/>
    <w:rsid w:val="00221E81"/>
    <w:rsid w:val="00221FC5"/>
    <w:rsid w:val="00222081"/>
    <w:rsid w:val="002220EE"/>
    <w:rsid w:val="002221C5"/>
    <w:rsid w:val="0022262A"/>
    <w:rsid w:val="00222779"/>
    <w:rsid w:val="0022282C"/>
    <w:rsid w:val="00222AAB"/>
    <w:rsid w:val="00222D19"/>
    <w:rsid w:val="00223716"/>
    <w:rsid w:val="002240F6"/>
    <w:rsid w:val="00224D73"/>
    <w:rsid w:val="00224E16"/>
    <w:rsid w:val="00224EE2"/>
    <w:rsid w:val="002250B0"/>
    <w:rsid w:val="00225216"/>
    <w:rsid w:val="00225359"/>
    <w:rsid w:val="0022543F"/>
    <w:rsid w:val="002259F6"/>
    <w:rsid w:val="00225E4E"/>
    <w:rsid w:val="002263AB"/>
    <w:rsid w:val="00226495"/>
    <w:rsid w:val="002264BD"/>
    <w:rsid w:val="00226589"/>
    <w:rsid w:val="00226A0F"/>
    <w:rsid w:val="00226A19"/>
    <w:rsid w:val="002270A3"/>
    <w:rsid w:val="0022719C"/>
    <w:rsid w:val="002278BF"/>
    <w:rsid w:val="0023030C"/>
    <w:rsid w:val="00230584"/>
    <w:rsid w:val="0023071E"/>
    <w:rsid w:val="0023096F"/>
    <w:rsid w:val="002309D8"/>
    <w:rsid w:val="00231525"/>
    <w:rsid w:val="00231DB2"/>
    <w:rsid w:val="00231E3F"/>
    <w:rsid w:val="00232064"/>
    <w:rsid w:val="00232518"/>
    <w:rsid w:val="0023322A"/>
    <w:rsid w:val="00233E96"/>
    <w:rsid w:val="002340A8"/>
    <w:rsid w:val="0023430E"/>
    <w:rsid w:val="0023464E"/>
    <w:rsid w:val="00234A5F"/>
    <w:rsid w:val="00234D3B"/>
    <w:rsid w:val="00234E32"/>
    <w:rsid w:val="002350CA"/>
    <w:rsid w:val="00235F0E"/>
    <w:rsid w:val="0023606F"/>
    <w:rsid w:val="0023640B"/>
    <w:rsid w:val="00236B45"/>
    <w:rsid w:val="002374BB"/>
    <w:rsid w:val="00237838"/>
    <w:rsid w:val="0023783E"/>
    <w:rsid w:val="00237982"/>
    <w:rsid w:val="00237AB6"/>
    <w:rsid w:val="00237ABA"/>
    <w:rsid w:val="0024003E"/>
    <w:rsid w:val="00240055"/>
    <w:rsid w:val="002400EA"/>
    <w:rsid w:val="002401D4"/>
    <w:rsid w:val="0024038E"/>
    <w:rsid w:val="002406B7"/>
    <w:rsid w:val="00240881"/>
    <w:rsid w:val="00240AED"/>
    <w:rsid w:val="00240C36"/>
    <w:rsid w:val="00240E00"/>
    <w:rsid w:val="00241345"/>
    <w:rsid w:val="002413AF"/>
    <w:rsid w:val="0024176E"/>
    <w:rsid w:val="00241FA4"/>
    <w:rsid w:val="002421D0"/>
    <w:rsid w:val="00243357"/>
    <w:rsid w:val="002438A4"/>
    <w:rsid w:val="002438E2"/>
    <w:rsid w:val="00243942"/>
    <w:rsid w:val="00243F20"/>
    <w:rsid w:val="002441DF"/>
    <w:rsid w:val="00244AE3"/>
    <w:rsid w:val="00244B75"/>
    <w:rsid w:val="00244E1A"/>
    <w:rsid w:val="00244FB7"/>
    <w:rsid w:val="00245351"/>
    <w:rsid w:val="0024580D"/>
    <w:rsid w:val="00245D07"/>
    <w:rsid w:val="002462D7"/>
    <w:rsid w:val="0024666F"/>
    <w:rsid w:val="00246835"/>
    <w:rsid w:val="002469A6"/>
    <w:rsid w:val="00247065"/>
    <w:rsid w:val="0024718D"/>
    <w:rsid w:val="00247237"/>
    <w:rsid w:val="00247458"/>
    <w:rsid w:val="0024759F"/>
    <w:rsid w:val="0024764D"/>
    <w:rsid w:val="00247807"/>
    <w:rsid w:val="00250377"/>
    <w:rsid w:val="002509B6"/>
    <w:rsid w:val="0025100C"/>
    <w:rsid w:val="0025124C"/>
    <w:rsid w:val="0025157C"/>
    <w:rsid w:val="00251A24"/>
    <w:rsid w:val="00251A4F"/>
    <w:rsid w:val="00251AD7"/>
    <w:rsid w:val="00251C4C"/>
    <w:rsid w:val="00251D47"/>
    <w:rsid w:val="002520C0"/>
    <w:rsid w:val="00252212"/>
    <w:rsid w:val="002525CD"/>
    <w:rsid w:val="00252C91"/>
    <w:rsid w:val="00252D17"/>
    <w:rsid w:val="00252E56"/>
    <w:rsid w:val="002530CC"/>
    <w:rsid w:val="00253346"/>
    <w:rsid w:val="002533E9"/>
    <w:rsid w:val="0025394D"/>
    <w:rsid w:val="00253B21"/>
    <w:rsid w:val="00253C4A"/>
    <w:rsid w:val="00253D82"/>
    <w:rsid w:val="0025444D"/>
    <w:rsid w:val="002545F3"/>
    <w:rsid w:val="002548C1"/>
    <w:rsid w:val="0025493F"/>
    <w:rsid w:val="00254BC7"/>
    <w:rsid w:val="00254EE0"/>
    <w:rsid w:val="00254F93"/>
    <w:rsid w:val="00255614"/>
    <w:rsid w:val="00255F4E"/>
    <w:rsid w:val="002561B4"/>
    <w:rsid w:val="0025644E"/>
    <w:rsid w:val="00256929"/>
    <w:rsid w:val="00256C29"/>
    <w:rsid w:val="00256D5A"/>
    <w:rsid w:val="00256F11"/>
    <w:rsid w:val="0025735B"/>
    <w:rsid w:val="00257752"/>
    <w:rsid w:val="002577C2"/>
    <w:rsid w:val="00257892"/>
    <w:rsid w:val="00257B76"/>
    <w:rsid w:val="00257C5E"/>
    <w:rsid w:val="00257E55"/>
    <w:rsid w:val="002600A1"/>
    <w:rsid w:val="002611D6"/>
    <w:rsid w:val="002614E4"/>
    <w:rsid w:val="002615A9"/>
    <w:rsid w:val="00261B14"/>
    <w:rsid w:val="0026215B"/>
    <w:rsid w:val="00262824"/>
    <w:rsid w:val="00262956"/>
    <w:rsid w:val="00262BEB"/>
    <w:rsid w:val="0026311D"/>
    <w:rsid w:val="00263242"/>
    <w:rsid w:val="00263ACF"/>
    <w:rsid w:val="00263C1D"/>
    <w:rsid w:val="00263CE5"/>
    <w:rsid w:val="0026412D"/>
    <w:rsid w:val="00264397"/>
    <w:rsid w:val="002643CF"/>
    <w:rsid w:val="002644CF"/>
    <w:rsid w:val="002649A0"/>
    <w:rsid w:val="00264C28"/>
    <w:rsid w:val="002658BA"/>
    <w:rsid w:val="002659F1"/>
    <w:rsid w:val="00265ACA"/>
    <w:rsid w:val="00265E6E"/>
    <w:rsid w:val="00265EB4"/>
    <w:rsid w:val="00265EEB"/>
    <w:rsid w:val="00266262"/>
    <w:rsid w:val="00266728"/>
    <w:rsid w:val="00266D84"/>
    <w:rsid w:val="00266DA8"/>
    <w:rsid w:val="002675E7"/>
    <w:rsid w:val="00267649"/>
    <w:rsid w:val="002677A8"/>
    <w:rsid w:val="0026789D"/>
    <w:rsid w:val="00267AE1"/>
    <w:rsid w:val="002700C9"/>
    <w:rsid w:val="00270435"/>
    <w:rsid w:val="002704C4"/>
    <w:rsid w:val="0027057D"/>
    <w:rsid w:val="0027089D"/>
    <w:rsid w:val="00270902"/>
    <w:rsid w:val="00270A69"/>
    <w:rsid w:val="00270AB2"/>
    <w:rsid w:val="00270C9B"/>
    <w:rsid w:val="00271410"/>
    <w:rsid w:val="002714AD"/>
    <w:rsid w:val="00271A6A"/>
    <w:rsid w:val="00272072"/>
    <w:rsid w:val="00272175"/>
    <w:rsid w:val="00272393"/>
    <w:rsid w:val="002726BC"/>
    <w:rsid w:val="00272890"/>
    <w:rsid w:val="00273107"/>
    <w:rsid w:val="0027352D"/>
    <w:rsid w:val="002738CD"/>
    <w:rsid w:val="002739EF"/>
    <w:rsid w:val="00273EFF"/>
    <w:rsid w:val="002740AE"/>
    <w:rsid w:val="0027415C"/>
    <w:rsid w:val="00274303"/>
    <w:rsid w:val="00274894"/>
    <w:rsid w:val="00274911"/>
    <w:rsid w:val="00274CB1"/>
    <w:rsid w:val="00274F3B"/>
    <w:rsid w:val="0027574A"/>
    <w:rsid w:val="00275C45"/>
    <w:rsid w:val="0027634E"/>
    <w:rsid w:val="00276649"/>
    <w:rsid w:val="002766CB"/>
    <w:rsid w:val="00276889"/>
    <w:rsid w:val="002768DB"/>
    <w:rsid w:val="00276998"/>
    <w:rsid w:val="00276B4E"/>
    <w:rsid w:val="00277241"/>
    <w:rsid w:val="00277363"/>
    <w:rsid w:val="00277829"/>
    <w:rsid w:val="00277832"/>
    <w:rsid w:val="00277956"/>
    <w:rsid w:val="0027796E"/>
    <w:rsid w:val="00277F05"/>
    <w:rsid w:val="00280A23"/>
    <w:rsid w:val="00280B88"/>
    <w:rsid w:val="00281419"/>
    <w:rsid w:val="00281696"/>
    <w:rsid w:val="00281C8E"/>
    <w:rsid w:val="00281DC7"/>
    <w:rsid w:val="0028223D"/>
    <w:rsid w:val="00282256"/>
    <w:rsid w:val="002823F1"/>
    <w:rsid w:val="0028264E"/>
    <w:rsid w:val="00282655"/>
    <w:rsid w:val="0028268A"/>
    <w:rsid w:val="00282BFA"/>
    <w:rsid w:val="00282CA8"/>
    <w:rsid w:val="002833F9"/>
    <w:rsid w:val="002843F6"/>
    <w:rsid w:val="00284461"/>
    <w:rsid w:val="00284542"/>
    <w:rsid w:val="00284A32"/>
    <w:rsid w:val="002853C7"/>
    <w:rsid w:val="00285556"/>
    <w:rsid w:val="00285C1D"/>
    <w:rsid w:val="00285E0E"/>
    <w:rsid w:val="002860C2"/>
    <w:rsid w:val="00286E90"/>
    <w:rsid w:val="00286E94"/>
    <w:rsid w:val="0028713C"/>
    <w:rsid w:val="00287160"/>
    <w:rsid w:val="002874D3"/>
    <w:rsid w:val="00287550"/>
    <w:rsid w:val="00287A04"/>
    <w:rsid w:val="00287AA8"/>
    <w:rsid w:val="00287B86"/>
    <w:rsid w:val="00287BBA"/>
    <w:rsid w:val="00290570"/>
    <w:rsid w:val="00290677"/>
    <w:rsid w:val="002907BF"/>
    <w:rsid w:val="00290873"/>
    <w:rsid w:val="00291A67"/>
    <w:rsid w:val="00291C2C"/>
    <w:rsid w:val="00291F34"/>
    <w:rsid w:val="00292181"/>
    <w:rsid w:val="0029268D"/>
    <w:rsid w:val="0029269C"/>
    <w:rsid w:val="002926D2"/>
    <w:rsid w:val="002929B4"/>
    <w:rsid w:val="00292B28"/>
    <w:rsid w:val="00292F10"/>
    <w:rsid w:val="00293236"/>
    <w:rsid w:val="00293D63"/>
    <w:rsid w:val="00294196"/>
    <w:rsid w:val="0029453C"/>
    <w:rsid w:val="00294571"/>
    <w:rsid w:val="0029480D"/>
    <w:rsid w:val="00294939"/>
    <w:rsid w:val="00294AD3"/>
    <w:rsid w:val="00294CCD"/>
    <w:rsid w:val="00294F54"/>
    <w:rsid w:val="0029527E"/>
    <w:rsid w:val="0029564C"/>
    <w:rsid w:val="002959C5"/>
    <w:rsid w:val="00295A95"/>
    <w:rsid w:val="00295FC3"/>
    <w:rsid w:val="0029636D"/>
    <w:rsid w:val="00296688"/>
    <w:rsid w:val="00296C36"/>
    <w:rsid w:val="0029768F"/>
    <w:rsid w:val="00297F6D"/>
    <w:rsid w:val="002A0545"/>
    <w:rsid w:val="002A0643"/>
    <w:rsid w:val="002A0729"/>
    <w:rsid w:val="002A0808"/>
    <w:rsid w:val="002A0DE8"/>
    <w:rsid w:val="002A0E16"/>
    <w:rsid w:val="002A10A1"/>
    <w:rsid w:val="002A180F"/>
    <w:rsid w:val="002A1BA3"/>
    <w:rsid w:val="002A1EAD"/>
    <w:rsid w:val="002A213D"/>
    <w:rsid w:val="002A226C"/>
    <w:rsid w:val="002A2441"/>
    <w:rsid w:val="002A244B"/>
    <w:rsid w:val="002A293B"/>
    <w:rsid w:val="002A29F8"/>
    <w:rsid w:val="002A2A70"/>
    <w:rsid w:val="002A2BD1"/>
    <w:rsid w:val="002A2CAA"/>
    <w:rsid w:val="002A3746"/>
    <w:rsid w:val="002A389C"/>
    <w:rsid w:val="002A391F"/>
    <w:rsid w:val="002A3ADC"/>
    <w:rsid w:val="002A3B5D"/>
    <w:rsid w:val="002A3C0C"/>
    <w:rsid w:val="002A443C"/>
    <w:rsid w:val="002A4A70"/>
    <w:rsid w:val="002A4E0D"/>
    <w:rsid w:val="002A4FD7"/>
    <w:rsid w:val="002A5411"/>
    <w:rsid w:val="002A5643"/>
    <w:rsid w:val="002A5716"/>
    <w:rsid w:val="002A5720"/>
    <w:rsid w:val="002A5C9A"/>
    <w:rsid w:val="002A5E06"/>
    <w:rsid w:val="002A5E83"/>
    <w:rsid w:val="002A699A"/>
    <w:rsid w:val="002A6B05"/>
    <w:rsid w:val="002A6E32"/>
    <w:rsid w:val="002A6EF2"/>
    <w:rsid w:val="002A7638"/>
    <w:rsid w:val="002A773E"/>
    <w:rsid w:val="002A77D9"/>
    <w:rsid w:val="002B06C3"/>
    <w:rsid w:val="002B0879"/>
    <w:rsid w:val="002B0940"/>
    <w:rsid w:val="002B0C5A"/>
    <w:rsid w:val="002B0EB0"/>
    <w:rsid w:val="002B1237"/>
    <w:rsid w:val="002B1773"/>
    <w:rsid w:val="002B17F5"/>
    <w:rsid w:val="002B2535"/>
    <w:rsid w:val="002B2635"/>
    <w:rsid w:val="002B2798"/>
    <w:rsid w:val="002B285C"/>
    <w:rsid w:val="002B292B"/>
    <w:rsid w:val="002B2B6F"/>
    <w:rsid w:val="002B2D5E"/>
    <w:rsid w:val="002B2E60"/>
    <w:rsid w:val="002B312D"/>
    <w:rsid w:val="002B32DE"/>
    <w:rsid w:val="002B33A9"/>
    <w:rsid w:val="002B3579"/>
    <w:rsid w:val="002B3743"/>
    <w:rsid w:val="002B38FA"/>
    <w:rsid w:val="002B3DF4"/>
    <w:rsid w:val="002B42D7"/>
    <w:rsid w:val="002B483B"/>
    <w:rsid w:val="002B6410"/>
    <w:rsid w:val="002B641B"/>
    <w:rsid w:val="002B6A79"/>
    <w:rsid w:val="002B6C52"/>
    <w:rsid w:val="002B7086"/>
    <w:rsid w:val="002B7605"/>
    <w:rsid w:val="002B76E4"/>
    <w:rsid w:val="002B76E5"/>
    <w:rsid w:val="002B7CB2"/>
    <w:rsid w:val="002C01BB"/>
    <w:rsid w:val="002C01D6"/>
    <w:rsid w:val="002C01F9"/>
    <w:rsid w:val="002C04CF"/>
    <w:rsid w:val="002C085A"/>
    <w:rsid w:val="002C0C26"/>
    <w:rsid w:val="002C0ECE"/>
    <w:rsid w:val="002C160A"/>
    <w:rsid w:val="002C1665"/>
    <w:rsid w:val="002C16DC"/>
    <w:rsid w:val="002C1B5F"/>
    <w:rsid w:val="002C206D"/>
    <w:rsid w:val="002C2779"/>
    <w:rsid w:val="002C2A8D"/>
    <w:rsid w:val="002C2AD7"/>
    <w:rsid w:val="002C31F1"/>
    <w:rsid w:val="002C34FE"/>
    <w:rsid w:val="002C3765"/>
    <w:rsid w:val="002C3849"/>
    <w:rsid w:val="002C3A40"/>
    <w:rsid w:val="002C3AF2"/>
    <w:rsid w:val="002C3B30"/>
    <w:rsid w:val="002C4C47"/>
    <w:rsid w:val="002C4F9A"/>
    <w:rsid w:val="002C50A3"/>
    <w:rsid w:val="002C55CA"/>
    <w:rsid w:val="002C5B76"/>
    <w:rsid w:val="002C5EC9"/>
    <w:rsid w:val="002C5F14"/>
    <w:rsid w:val="002C6362"/>
    <w:rsid w:val="002C662D"/>
    <w:rsid w:val="002C68B4"/>
    <w:rsid w:val="002C6C16"/>
    <w:rsid w:val="002C6C9E"/>
    <w:rsid w:val="002C70EF"/>
    <w:rsid w:val="002C7377"/>
    <w:rsid w:val="002C7486"/>
    <w:rsid w:val="002C7566"/>
    <w:rsid w:val="002C7790"/>
    <w:rsid w:val="002C7D44"/>
    <w:rsid w:val="002C7EE4"/>
    <w:rsid w:val="002D0124"/>
    <w:rsid w:val="002D07A6"/>
    <w:rsid w:val="002D09D6"/>
    <w:rsid w:val="002D0F2D"/>
    <w:rsid w:val="002D0FCA"/>
    <w:rsid w:val="002D13B6"/>
    <w:rsid w:val="002D18F1"/>
    <w:rsid w:val="002D1A0D"/>
    <w:rsid w:val="002D1FC6"/>
    <w:rsid w:val="002D2525"/>
    <w:rsid w:val="002D266B"/>
    <w:rsid w:val="002D2782"/>
    <w:rsid w:val="002D2785"/>
    <w:rsid w:val="002D2800"/>
    <w:rsid w:val="002D2AA0"/>
    <w:rsid w:val="002D2E15"/>
    <w:rsid w:val="002D37DA"/>
    <w:rsid w:val="002D37E0"/>
    <w:rsid w:val="002D3855"/>
    <w:rsid w:val="002D39AF"/>
    <w:rsid w:val="002D39C6"/>
    <w:rsid w:val="002D3BFB"/>
    <w:rsid w:val="002D3ECE"/>
    <w:rsid w:val="002D40D9"/>
    <w:rsid w:val="002D4ADF"/>
    <w:rsid w:val="002D5166"/>
    <w:rsid w:val="002D535B"/>
    <w:rsid w:val="002D54F8"/>
    <w:rsid w:val="002D576C"/>
    <w:rsid w:val="002D5BAE"/>
    <w:rsid w:val="002D5CEE"/>
    <w:rsid w:val="002D5DDC"/>
    <w:rsid w:val="002D5E48"/>
    <w:rsid w:val="002D602B"/>
    <w:rsid w:val="002D6069"/>
    <w:rsid w:val="002D60D6"/>
    <w:rsid w:val="002D68EE"/>
    <w:rsid w:val="002D6C0D"/>
    <w:rsid w:val="002D7BDF"/>
    <w:rsid w:val="002D7D02"/>
    <w:rsid w:val="002E0086"/>
    <w:rsid w:val="002E0946"/>
    <w:rsid w:val="002E0A22"/>
    <w:rsid w:val="002E11C5"/>
    <w:rsid w:val="002E13A6"/>
    <w:rsid w:val="002E1546"/>
    <w:rsid w:val="002E1863"/>
    <w:rsid w:val="002E1C28"/>
    <w:rsid w:val="002E1C3A"/>
    <w:rsid w:val="002E2E86"/>
    <w:rsid w:val="002E2FEC"/>
    <w:rsid w:val="002E3532"/>
    <w:rsid w:val="002E406D"/>
    <w:rsid w:val="002E4DAD"/>
    <w:rsid w:val="002E50AD"/>
    <w:rsid w:val="002E51C1"/>
    <w:rsid w:val="002E5501"/>
    <w:rsid w:val="002E576E"/>
    <w:rsid w:val="002E68E1"/>
    <w:rsid w:val="002E6A7C"/>
    <w:rsid w:val="002E6D3B"/>
    <w:rsid w:val="002E720F"/>
    <w:rsid w:val="002E738B"/>
    <w:rsid w:val="002E74A5"/>
    <w:rsid w:val="002E779C"/>
    <w:rsid w:val="002E7C55"/>
    <w:rsid w:val="002E7CA6"/>
    <w:rsid w:val="002F02BF"/>
    <w:rsid w:val="002F041C"/>
    <w:rsid w:val="002F0856"/>
    <w:rsid w:val="002F09A2"/>
    <w:rsid w:val="002F0B26"/>
    <w:rsid w:val="002F0F70"/>
    <w:rsid w:val="002F1433"/>
    <w:rsid w:val="002F1455"/>
    <w:rsid w:val="002F17AA"/>
    <w:rsid w:val="002F190B"/>
    <w:rsid w:val="002F1CF0"/>
    <w:rsid w:val="002F1D4C"/>
    <w:rsid w:val="002F1DCB"/>
    <w:rsid w:val="002F1F1C"/>
    <w:rsid w:val="002F227B"/>
    <w:rsid w:val="002F24B8"/>
    <w:rsid w:val="002F28C9"/>
    <w:rsid w:val="002F298F"/>
    <w:rsid w:val="002F302D"/>
    <w:rsid w:val="002F3198"/>
    <w:rsid w:val="002F3613"/>
    <w:rsid w:val="002F3DEF"/>
    <w:rsid w:val="002F3FC1"/>
    <w:rsid w:val="002F40A3"/>
    <w:rsid w:val="002F40BB"/>
    <w:rsid w:val="002F411A"/>
    <w:rsid w:val="002F4E33"/>
    <w:rsid w:val="002F51A0"/>
    <w:rsid w:val="002F5349"/>
    <w:rsid w:val="002F55CF"/>
    <w:rsid w:val="002F5D21"/>
    <w:rsid w:val="002F5F00"/>
    <w:rsid w:val="002F6029"/>
    <w:rsid w:val="002F64CB"/>
    <w:rsid w:val="002F6547"/>
    <w:rsid w:val="002F6834"/>
    <w:rsid w:val="002F6A4F"/>
    <w:rsid w:val="002F6CAA"/>
    <w:rsid w:val="002F7059"/>
    <w:rsid w:val="002F754B"/>
    <w:rsid w:val="002F77EE"/>
    <w:rsid w:val="002F7903"/>
    <w:rsid w:val="002F7BC6"/>
    <w:rsid w:val="002F7F1F"/>
    <w:rsid w:val="00300198"/>
    <w:rsid w:val="003009E1"/>
    <w:rsid w:val="00300C5B"/>
    <w:rsid w:val="00301412"/>
    <w:rsid w:val="0030148B"/>
    <w:rsid w:val="0030190B"/>
    <w:rsid w:val="00302114"/>
    <w:rsid w:val="003023B1"/>
    <w:rsid w:val="003023EA"/>
    <w:rsid w:val="00302A54"/>
    <w:rsid w:val="00302A72"/>
    <w:rsid w:val="00302BE2"/>
    <w:rsid w:val="00303122"/>
    <w:rsid w:val="00303258"/>
    <w:rsid w:val="003032F4"/>
    <w:rsid w:val="00303439"/>
    <w:rsid w:val="003038BF"/>
    <w:rsid w:val="00303A1A"/>
    <w:rsid w:val="00303D6C"/>
    <w:rsid w:val="003041F0"/>
    <w:rsid w:val="003044C7"/>
    <w:rsid w:val="00304760"/>
    <w:rsid w:val="003047EC"/>
    <w:rsid w:val="00304AFB"/>
    <w:rsid w:val="00304D93"/>
    <w:rsid w:val="00304EB9"/>
    <w:rsid w:val="003052B3"/>
    <w:rsid w:val="00305357"/>
    <w:rsid w:val="00305380"/>
    <w:rsid w:val="003054A9"/>
    <w:rsid w:val="003054AF"/>
    <w:rsid w:val="003059AE"/>
    <w:rsid w:val="00305AA2"/>
    <w:rsid w:val="00305BEF"/>
    <w:rsid w:val="00305C66"/>
    <w:rsid w:val="00305DA7"/>
    <w:rsid w:val="0030601F"/>
    <w:rsid w:val="0030603F"/>
    <w:rsid w:val="003061D0"/>
    <w:rsid w:val="003061D3"/>
    <w:rsid w:val="00306494"/>
    <w:rsid w:val="00306C74"/>
    <w:rsid w:val="0030768A"/>
    <w:rsid w:val="00307749"/>
    <w:rsid w:val="003079D6"/>
    <w:rsid w:val="00307B0D"/>
    <w:rsid w:val="00307C1C"/>
    <w:rsid w:val="00307D75"/>
    <w:rsid w:val="00307EFF"/>
    <w:rsid w:val="00307FB9"/>
    <w:rsid w:val="003100A0"/>
    <w:rsid w:val="003101E4"/>
    <w:rsid w:val="00311258"/>
    <w:rsid w:val="003116CB"/>
    <w:rsid w:val="00311743"/>
    <w:rsid w:val="00311BCE"/>
    <w:rsid w:val="00311C44"/>
    <w:rsid w:val="00312187"/>
    <w:rsid w:val="003122D1"/>
    <w:rsid w:val="003123E1"/>
    <w:rsid w:val="003126D8"/>
    <w:rsid w:val="00312987"/>
    <w:rsid w:val="00312D1F"/>
    <w:rsid w:val="00313522"/>
    <w:rsid w:val="003136CA"/>
    <w:rsid w:val="00313ADC"/>
    <w:rsid w:val="00313B52"/>
    <w:rsid w:val="00313BAF"/>
    <w:rsid w:val="00313C82"/>
    <w:rsid w:val="00313E31"/>
    <w:rsid w:val="00313E64"/>
    <w:rsid w:val="00313F3C"/>
    <w:rsid w:val="003140BD"/>
    <w:rsid w:val="003141EE"/>
    <w:rsid w:val="00314219"/>
    <w:rsid w:val="00314B55"/>
    <w:rsid w:val="00315508"/>
    <w:rsid w:val="0031573E"/>
    <w:rsid w:val="00315926"/>
    <w:rsid w:val="00315951"/>
    <w:rsid w:val="00315EFD"/>
    <w:rsid w:val="00316783"/>
    <w:rsid w:val="0031680E"/>
    <w:rsid w:val="003169DE"/>
    <w:rsid w:val="00316DE5"/>
    <w:rsid w:val="00317389"/>
    <w:rsid w:val="00317680"/>
    <w:rsid w:val="00317701"/>
    <w:rsid w:val="003177D5"/>
    <w:rsid w:val="00317F87"/>
    <w:rsid w:val="00320798"/>
    <w:rsid w:val="00320A06"/>
    <w:rsid w:val="00321462"/>
    <w:rsid w:val="00321796"/>
    <w:rsid w:val="003217F7"/>
    <w:rsid w:val="00321C77"/>
    <w:rsid w:val="00321DF0"/>
    <w:rsid w:val="00321E0C"/>
    <w:rsid w:val="00322718"/>
    <w:rsid w:val="003230BF"/>
    <w:rsid w:val="00323508"/>
    <w:rsid w:val="003261F1"/>
    <w:rsid w:val="0032639E"/>
    <w:rsid w:val="003264B5"/>
    <w:rsid w:val="00326FB7"/>
    <w:rsid w:val="003271FC"/>
    <w:rsid w:val="00327297"/>
    <w:rsid w:val="003272EC"/>
    <w:rsid w:val="0032731F"/>
    <w:rsid w:val="00330062"/>
    <w:rsid w:val="003300B2"/>
    <w:rsid w:val="003302CE"/>
    <w:rsid w:val="003305CB"/>
    <w:rsid w:val="00330E61"/>
    <w:rsid w:val="00331069"/>
    <w:rsid w:val="0033113B"/>
    <w:rsid w:val="003311DE"/>
    <w:rsid w:val="0033153C"/>
    <w:rsid w:val="00331A01"/>
    <w:rsid w:val="00331BCE"/>
    <w:rsid w:val="00331F1E"/>
    <w:rsid w:val="00332321"/>
    <w:rsid w:val="00332403"/>
    <w:rsid w:val="0033242E"/>
    <w:rsid w:val="003325CB"/>
    <w:rsid w:val="00332B17"/>
    <w:rsid w:val="00332B40"/>
    <w:rsid w:val="0033337F"/>
    <w:rsid w:val="0033347B"/>
    <w:rsid w:val="00333988"/>
    <w:rsid w:val="00333A2B"/>
    <w:rsid w:val="0033404A"/>
    <w:rsid w:val="00334165"/>
    <w:rsid w:val="0033437D"/>
    <w:rsid w:val="00334A71"/>
    <w:rsid w:val="00334C63"/>
    <w:rsid w:val="003350D2"/>
    <w:rsid w:val="0033510A"/>
    <w:rsid w:val="003352AB"/>
    <w:rsid w:val="003353BC"/>
    <w:rsid w:val="00335628"/>
    <w:rsid w:val="003357BD"/>
    <w:rsid w:val="00335983"/>
    <w:rsid w:val="00335E68"/>
    <w:rsid w:val="00336058"/>
    <w:rsid w:val="003362A3"/>
    <w:rsid w:val="00336342"/>
    <w:rsid w:val="003365C0"/>
    <w:rsid w:val="00336682"/>
    <w:rsid w:val="00336964"/>
    <w:rsid w:val="00336D31"/>
    <w:rsid w:val="003373A6"/>
    <w:rsid w:val="00337860"/>
    <w:rsid w:val="00337950"/>
    <w:rsid w:val="00340523"/>
    <w:rsid w:val="00340ADA"/>
    <w:rsid w:val="00340B29"/>
    <w:rsid w:val="00340C78"/>
    <w:rsid w:val="00340CB8"/>
    <w:rsid w:val="00340E02"/>
    <w:rsid w:val="00340F31"/>
    <w:rsid w:val="00341061"/>
    <w:rsid w:val="00341504"/>
    <w:rsid w:val="0034161D"/>
    <w:rsid w:val="0034174D"/>
    <w:rsid w:val="00341788"/>
    <w:rsid w:val="00341FA6"/>
    <w:rsid w:val="00341FEB"/>
    <w:rsid w:val="00342599"/>
    <w:rsid w:val="003427A3"/>
    <w:rsid w:val="0034286E"/>
    <w:rsid w:val="00342898"/>
    <w:rsid w:val="003428CF"/>
    <w:rsid w:val="00342A4F"/>
    <w:rsid w:val="00342B87"/>
    <w:rsid w:val="00342C06"/>
    <w:rsid w:val="00342DED"/>
    <w:rsid w:val="00342FCC"/>
    <w:rsid w:val="003430C4"/>
    <w:rsid w:val="003432EB"/>
    <w:rsid w:val="00343519"/>
    <w:rsid w:val="00343862"/>
    <w:rsid w:val="00343C7B"/>
    <w:rsid w:val="00343EC5"/>
    <w:rsid w:val="00343F63"/>
    <w:rsid w:val="00344073"/>
    <w:rsid w:val="003441AC"/>
    <w:rsid w:val="00344273"/>
    <w:rsid w:val="003444C7"/>
    <w:rsid w:val="003445B0"/>
    <w:rsid w:val="0034474A"/>
    <w:rsid w:val="00344E46"/>
    <w:rsid w:val="003455BF"/>
    <w:rsid w:val="00346068"/>
    <w:rsid w:val="003466C4"/>
    <w:rsid w:val="0034676A"/>
    <w:rsid w:val="00346A33"/>
    <w:rsid w:val="00346A51"/>
    <w:rsid w:val="00346CE4"/>
    <w:rsid w:val="00346EBD"/>
    <w:rsid w:val="00346EF6"/>
    <w:rsid w:val="003474CB"/>
    <w:rsid w:val="003477DC"/>
    <w:rsid w:val="0034798E"/>
    <w:rsid w:val="0035049C"/>
    <w:rsid w:val="003504AC"/>
    <w:rsid w:val="0035058F"/>
    <w:rsid w:val="003506AD"/>
    <w:rsid w:val="0035094F"/>
    <w:rsid w:val="00350F1F"/>
    <w:rsid w:val="00351129"/>
    <w:rsid w:val="003511AD"/>
    <w:rsid w:val="00351D48"/>
    <w:rsid w:val="0035251B"/>
    <w:rsid w:val="00352893"/>
    <w:rsid w:val="00352ACF"/>
    <w:rsid w:val="00352E6E"/>
    <w:rsid w:val="003531B6"/>
    <w:rsid w:val="003531B7"/>
    <w:rsid w:val="0035323B"/>
    <w:rsid w:val="003534C4"/>
    <w:rsid w:val="00354029"/>
    <w:rsid w:val="00354219"/>
    <w:rsid w:val="003543DD"/>
    <w:rsid w:val="00354A39"/>
    <w:rsid w:val="00354ACC"/>
    <w:rsid w:val="00354B33"/>
    <w:rsid w:val="00354C21"/>
    <w:rsid w:val="00354ED8"/>
    <w:rsid w:val="00354FE5"/>
    <w:rsid w:val="00355025"/>
    <w:rsid w:val="003554BD"/>
    <w:rsid w:val="00355716"/>
    <w:rsid w:val="003562BC"/>
    <w:rsid w:val="003563B0"/>
    <w:rsid w:val="00356801"/>
    <w:rsid w:val="00356EC9"/>
    <w:rsid w:val="0035702E"/>
    <w:rsid w:val="0035724B"/>
    <w:rsid w:val="003575B7"/>
    <w:rsid w:val="003575BE"/>
    <w:rsid w:val="00357725"/>
    <w:rsid w:val="0035783F"/>
    <w:rsid w:val="003602EC"/>
    <w:rsid w:val="003604F1"/>
    <w:rsid w:val="00360710"/>
    <w:rsid w:val="00360994"/>
    <w:rsid w:val="00360B0F"/>
    <w:rsid w:val="00360D9A"/>
    <w:rsid w:val="00360E09"/>
    <w:rsid w:val="003619E8"/>
    <w:rsid w:val="00361D41"/>
    <w:rsid w:val="00361F38"/>
    <w:rsid w:val="00362D07"/>
    <w:rsid w:val="00362EB6"/>
    <w:rsid w:val="00363890"/>
    <w:rsid w:val="00363DAA"/>
    <w:rsid w:val="00363DF7"/>
    <w:rsid w:val="00363F38"/>
    <w:rsid w:val="003643B4"/>
    <w:rsid w:val="00364C01"/>
    <w:rsid w:val="00364FE6"/>
    <w:rsid w:val="00365237"/>
    <w:rsid w:val="00365269"/>
    <w:rsid w:val="00365595"/>
    <w:rsid w:val="0036581F"/>
    <w:rsid w:val="00365D0B"/>
    <w:rsid w:val="00365D2E"/>
    <w:rsid w:val="00366570"/>
    <w:rsid w:val="00366C13"/>
    <w:rsid w:val="00366C4E"/>
    <w:rsid w:val="00366D60"/>
    <w:rsid w:val="003670C1"/>
    <w:rsid w:val="003674DF"/>
    <w:rsid w:val="0036768E"/>
    <w:rsid w:val="003677BB"/>
    <w:rsid w:val="00367CF9"/>
    <w:rsid w:val="00370325"/>
    <w:rsid w:val="00370A4A"/>
    <w:rsid w:val="00370AB6"/>
    <w:rsid w:val="00370C7E"/>
    <w:rsid w:val="00370ECF"/>
    <w:rsid w:val="00371235"/>
    <w:rsid w:val="00371736"/>
    <w:rsid w:val="00371795"/>
    <w:rsid w:val="00371DC4"/>
    <w:rsid w:val="003720B9"/>
    <w:rsid w:val="00372422"/>
    <w:rsid w:val="003727F0"/>
    <w:rsid w:val="00372810"/>
    <w:rsid w:val="00372A9C"/>
    <w:rsid w:val="00373365"/>
    <w:rsid w:val="003736B7"/>
    <w:rsid w:val="00373CD6"/>
    <w:rsid w:val="00373FA4"/>
    <w:rsid w:val="00373FA5"/>
    <w:rsid w:val="003742F6"/>
    <w:rsid w:val="003743F3"/>
    <w:rsid w:val="00374A01"/>
    <w:rsid w:val="00374A72"/>
    <w:rsid w:val="00374C15"/>
    <w:rsid w:val="00375538"/>
    <w:rsid w:val="003759E1"/>
    <w:rsid w:val="00375B85"/>
    <w:rsid w:val="003763C2"/>
    <w:rsid w:val="00376ACE"/>
    <w:rsid w:val="00376D37"/>
    <w:rsid w:val="00376E29"/>
    <w:rsid w:val="00376E73"/>
    <w:rsid w:val="00376F87"/>
    <w:rsid w:val="00377736"/>
    <w:rsid w:val="00377A44"/>
    <w:rsid w:val="003800A2"/>
    <w:rsid w:val="003800DD"/>
    <w:rsid w:val="003801F5"/>
    <w:rsid w:val="00380304"/>
    <w:rsid w:val="003804D4"/>
    <w:rsid w:val="00380A1C"/>
    <w:rsid w:val="00380E4B"/>
    <w:rsid w:val="0038104A"/>
    <w:rsid w:val="003811EE"/>
    <w:rsid w:val="0038158E"/>
    <w:rsid w:val="003815A4"/>
    <w:rsid w:val="00381600"/>
    <w:rsid w:val="00381620"/>
    <w:rsid w:val="003816C4"/>
    <w:rsid w:val="003816E3"/>
    <w:rsid w:val="00381C96"/>
    <w:rsid w:val="00381D01"/>
    <w:rsid w:val="00381E96"/>
    <w:rsid w:val="00381EEE"/>
    <w:rsid w:val="00382444"/>
    <w:rsid w:val="003828AB"/>
    <w:rsid w:val="003828D0"/>
    <w:rsid w:val="00382F54"/>
    <w:rsid w:val="0038320F"/>
    <w:rsid w:val="003833A0"/>
    <w:rsid w:val="003838FF"/>
    <w:rsid w:val="00383B10"/>
    <w:rsid w:val="00383EA6"/>
    <w:rsid w:val="00383FAA"/>
    <w:rsid w:val="003840DF"/>
    <w:rsid w:val="003842A2"/>
    <w:rsid w:val="003844FF"/>
    <w:rsid w:val="0038451B"/>
    <w:rsid w:val="003845FC"/>
    <w:rsid w:val="0038491D"/>
    <w:rsid w:val="00384BB4"/>
    <w:rsid w:val="00384C63"/>
    <w:rsid w:val="00384CE3"/>
    <w:rsid w:val="00384E96"/>
    <w:rsid w:val="00384EC9"/>
    <w:rsid w:val="00385338"/>
    <w:rsid w:val="00385356"/>
    <w:rsid w:val="00385433"/>
    <w:rsid w:val="003859FA"/>
    <w:rsid w:val="00385B4E"/>
    <w:rsid w:val="00385DE4"/>
    <w:rsid w:val="00386019"/>
    <w:rsid w:val="00386FD5"/>
    <w:rsid w:val="003873CE"/>
    <w:rsid w:val="00387497"/>
    <w:rsid w:val="0038769C"/>
    <w:rsid w:val="00387981"/>
    <w:rsid w:val="00387B32"/>
    <w:rsid w:val="00387C1B"/>
    <w:rsid w:val="00390392"/>
    <w:rsid w:val="0039089E"/>
    <w:rsid w:val="003908FA"/>
    <w:rsid w:val="00390AAC"/>
    <w:rsid w:val="003910DB"/>
    <w:rsid w:val="00391374"/>
    <w:rsid w:val="0039190F"/>
    <w:rsid w:val="00391B84"/>
    <w:rsid w:val="00391D91"/>
    <w:rsid w:val="00391ED0"/>
    <w:rsid w:val="00391F4B"/>
    <w:rsid w:val="0039203F"/>
    <w:rsid w:val="0039252B"/>
    <w:rsid w:val="003926B4"/>
    <w:rsid w:val="00392963"/>
    <w:rsid w:val="00393102"/>
    <w:rsid w:val="0039359F"/>
    <w:rsid w:val="0039380B"/>
    <w:rsid w:val="00393B8B"/>
    <w:rsid w:val="0039412C"/>
    <w:rsid w:val="003943A1"/>
    <w:rsid w:val="0039456B"/>
    <w:rsid w:val="00394C97"/>
    <w:rsid w:val="00394D1E"/>
    <w:rsid w:val="00394E3F"/>
    <w:rsid w:val="00395136"/>
    <w:rsid w:val="003952A9"/>
    <w:rsid w:val="0039543F"/>
    <w:rsid w:val="0039573A"/>
    <w:rsid w:val="003963CC"/>
    <w:rsid w:val="003966B0"/>
    <w:rsid w:val="00396913"/>
    <w:rsid w:val="00396AAD"/>
    <w:rsid w:val="00396BC0"/>
    <w:rsid w:val="003978E9"/>
    <w:rsid w:val="00397AF9"/>
    <w:rsid w:val="003A00D0"/>
    <w:rsid w:val="003A021A"/>
    <w:rsid w:val="003A02F7"/>
    <w:rsid w:val="003A053F"/>
    <w:rsid w:val="003A0AE3"/>
    <w:rsid w:val="003A0F2F"/>
    <w:rsid w:val="003A0F42"/>
    <w:rsid w:val="003A13F9"/>
    <w:rsid w:val="003A1638"/>
    <w:rsid w:val="003A1E95"/>
    <w:rsid w:val="003A225A"/>
    <w:rsid w:val="003A24B8"/>
    <w:rsid w:val="003A255F"/>
    <w:rsid w:val="003A2563"/>
    <w:rsid w:val="003A25B6"/>
    <w:rsid w:val="003A2BE9"/>
    <w:rsid w:val="003A31B0"/>
    <w:rsid w:val="003A31BA"/>
    <w:rsid w:val="003A331F"/>
    <w:rsid w:val="003A377E"/>
    <w:rsid w:val="003A397F"/>
    <w:rsid w:val="003A39C9"/>
    <w:rsid w:val="003A3B20"/>
    <w:rsid w:val="003A3B58"/>
    <w:rsid w:val="003A4103"/>
    <w:rsid w:val="003A43AF"/>
    <w:rsid w:val="003A48FF"/>
    <w:rsid w:val="003A4C52"/>
    <w:rsid w:val="003A51F1"/>
    <w:rsid w:val="003A5325"/>
    <w:rsid w:val="003A580A"/>
    <w:rsid w:val="003A5975"/>
    <w:rsid w:val="003A5AC3"/>
    <w:rsid w:val="003A5E90"/>
    <w:rsid w:val="003A62E2"/>
    <w:rsid w:val="003A6425"/>
    <w:rsid w:val="003A6BA4"/>
    <w:rsid w:val="003A6E3A"/>
    <w:rsid w:val="003A7158"/>
    <w:rsid w:val="003A75B2"/>
    <w:rsid w:val="003A78BE"/>
    <w:rsid w:val="003A7D1C"/>
    <w:rsid w:val="003B029F"/>
    <w:rsid w:val="003B03F1"/>
    <w:rsid w:val="003B061A"/>
    <w:rsid w:val="003B0650"/>
    <w:rsid w:val="003B09F5"/>
    <w:rsid w:val="003B0AD5"/>
    <w:rsid w:val="003B0EB7"/>
    <w:rsid w:val="003B1188"/>
    <w:rsid w:val="003B1280"/>
    <w:rsid w:val="003B194D"/>
    <w:rsid w:val="003B1B0D"/>
    <w:rsid w:val="003B2044"/>
    <w:rsid w:val="003B28BD"/>
    <w:rsid w:val="003B29A6"/>
    <w:rsid w:val="003B2F04"/>
    <w:rsid w:val="003B2F5A"/>
    <w:rsid w:val="003B34C5"/>
    <w:rsid w:val="003B357C"/>
    <w:rsid w:val="003B378D"/>
    <w:rsid w:val="003B44C9"/>
    <w:rsid w:val="003B450C"/>
    <w:rsid w:val="003B48F9"/>
    <w:rsid w:val="003B4D26"/>
    <w:rsid w:val="003B4DE7"/>
    <w:rsid w:val="003B4F18"/>
    <w:rsid w:val="003B56EB"/>
    <w:rsid w:val="003B5B90"/>
    <w:rsid w:val="003B6106"/>
    <w:rsid w:val="003B704C"/>
    <w:rsid w:val="003B72A4"/>
    <w:rsid w:val="003B7367"/>
    <w:rsid w:val="003B79BE"/>
    <w:rsid w:val="003B7C92"/>
    <w:rsid w:val="003C00DF"/>
    <w:rsid w:val="003C019B"/>
    <w:rsid w:val="003C0598"/>
    <w:rsid w:val="003C05C2"/>
    <w:rsid w:val="003C069E"/>
    <w:rsid w:val="003C0833"/>
    <w:rsid w:val="003C0FA0"/>
    <w:rsid w:val="003C1325"/>
    <w:rsid w:val="003C1551"/>
    <w:rsid w:val="003C18C8"/>
    <w:rsid w:val="003C1C52"/>
    <w:rsid w:val="003C1D2A"/>
    <w:rsid w:val="003C21FE"/>
    <w:rsid w:val="003C270F"/>
    <w:rsid w:val="003C2764"/>
    <w:rsid w:val="003C28C2"/>
    <w:rsid w:val="003C2A17"/>
    <w:rsid w:val="003C2A48"/>
    <w:rsid w:val="003C2C19"/>
    <w:rsid w:val="003C2FCB"/>
    <w:rsid w:val="003C2FEE"/>
    <w:rsid w:val="003C312E"/>
    <w:rsid w:val="003C45E3"/>
    <w:rsid w:val="003C4B51"/>
    <w:rsid w:val="003C4C56"/>
    <w:rsid w:val="003C5198"/>
    <w:rsid w:val="003C5256"/>
    <w:rsid w:val="003C5275"/>
    <w:rsid w:val="003C5784"/>
    <w:rsid w:val="003C5858"/>
    <w:rsid w:val="003C591C"/>
    <w:rsid w:val="003C5E68"/>
    <w:rsid w:val="003C6529"/>
    <w:rsid w:val="003C658D"/>
    <w:rsid w:val="003C6789"/>
    <w:rsid w:val="003C6C7D"/>
    <w:rsid w:val="003C6DE5"/>
    <w:rsid w:val="003C7A90"/>
    <w:rsid w:val="003C7BB7"/>
    <w:rsid w:val="003C7D5B"/>
    <w:rsid w:val="003C7EE1"/>
    <w:rsid w:val="003D0077"/>
    <w:rsid w:val="003D0486"/>
    <w:rsid w:val="003D08BB"/>
    <w:rsid w:val="003D0F4B"/>
    <w:rsid w:val="003D10A9"/>
    <w:rsid w:val="003D1809"/>
    <w:rsid w:val="003D1A84"/>
    <w:rsid w:val="003D1AE0"/>
    <w:rsid w:val="003D1B1B"/>
    <w:rsid w:val="003D1CFA"/>
    <w:rsid w:val="003D1DD9"/>
    <w:rsid w:val="003D2605"/>
    <w:rsid w:val="003D2960"/>
    <w:rsid w:val="003D298D"/>
    <w:rsid w:val="003D2A1A"/>
    <w:rsid w:val="003D2C5B"/>
    <w:rsid w:val="003D2D52"/>
    <w:rsid w:val="003D3873"/>
    <w:rsid w:val="003D3C45"/>
    <w:rsid w:val="003D42BD"/>
    <w:rsid w:val="003D44B1"/>
    <w:rsid w:val="003D4560"/>
    <w:rsid w:val="003D4775"/>
    <w:rsid w:val="003D48AE"/>
    <w:rsid w:val="003D4BA1"/>
    <w:rsid w:val="003D4E6A"/>
    <w:rsid w:val="003D5128"/>
    <w:rsid w:val="003D520B"/>
    <w:rsid w:val="003D53E4"/>
    <w:rsid w:val="003D5874"/>
    <w:rsid w:val="003D5D58"/>
    <w:rsid w:val="003D60C2"/>
    <w:rsid w:val="003D61D1"/>
    <w:rsid w:val="003D6FFE"/>
    <w:rsid w:val="003D7186"/>
    <w:rsid w:val="003D7687"/>
    <w:rsid w:val="003D7726"/>
    <w:rsid w:val="003D78EF"/>
    <w:rsid w:val="003E0210"/>
    <w:rsid w:val="003E0387"/>
    <w:rsid w:val="003E0399"/>
    <w:rsid w:val="003E06EA"/>
    <w:rsid w:val="003E0969"/>
    <w:rsid w:val="003E0C7D"/>
    <w:rsid w:val="003E0C9C"/>
    <w:rsid w:val="003E0FC5"/>
    <w:rsid w:val="003E110E"/>
    <w:rsid w:val="003E12C6"/>
    <w:rsid w:val="003E18E3"/>
    <w:rsid w:val="003E1F80"/>
    <w:rsid w:val="003E2018"/>
    <w:rsid w:val="003E2EDF"/>
    <w:rsid w:val="003E30DF"/>
    <w:rsid w:val="003E3134"/>
    <w:rsid w:val="003E3532"/>
    <w:rsid w:val="003E3A32"/>
    <w:rsid w:val="003E3AF1"/>
    <w:rsid w:val="003E3DC5"/>
    <w:rsid w:val="003E41DD"/>
    <w:rsid w:val="003E46C2"/>
    <w:rsid w:val="003E4865"/>
    <w:rsid w:val="003E4B74"/>
    <w:rsid w:val="003E525D"/>
    <w:rsid w:val="003E57F6"/>
    <w:rsid w:val="003E5D06"/>
    <w:rsid w:val="003E5D31"/>
    <w:rsid w:val="003E605A"/>
    <w:rsid w:val="003E61C4"/>
    <w:rsid w:val="003E622F"/>
    <w:rsid w:val="003E638B"/>
    <w:rsid w:val="003E65A0"/>
    <w:rsid w:val="003E69F7"/>
    <w:rsid w:val="003E6EE6"/>
    <w:rsid w:val="003E70EE"/>
    <w:rsid w:val="003E74EF"/>
    <w:rsid w:val="003E75BA"/>
    <w:rsid w:val="003E7632"/>
    <w:rsid w:val="003E7DEC"/>
    <w:rsid w:val="003E7E68"/>
    <w:rsid w:val="003F00F2"/>
    <w:rsid w:val="003F0349"/>
    <w:rsid w:val="003F0563"/>
    <w:rsid w:val="003F0640"/>
    <w:rsid w:val="003F0833"/>
    <w:rsid w:val="003F0997"/>
    <w:rsid w:val="003F0A0D"/>
    <w:rsid w:val="003F0B65"/>
    <w:rsid w:val="003F0CF7"/>
    <w:rsid w:val="003F15AE"/>
    <w:rsid w:val="003F1A6C"/>
    <w:rsid w:val="003F1B8B"/>
    <w:rsid w:val="003F1EA3"/>
    <w:rsid w:val="003F1EAB"/>
    <w:rsid w:val="003F2097"/>
    <w:rsid w:val="003F24B9"/>
    <w:rsid w:val="003F26E3"/>
    <w:rsid w:val="003F274D"/>
    <w:rsid w:val="003F276E"/>
    <w:rsid w:val="003F27A5"/>
    <w:rsid w:val="003F2D70"/>
    <w:rsid w:val="003F33B9"/>
    <w:rsid w:val="003F3891"/>
    <w:rsid w:val="003F3CE9"/>
    <w:rsid w:val="003F3DC9"/>
    <w:rsid w:val="003F3E1F"/>
    <w:rsid w:val="003F3FDC"/>
    <w:rsid w:val="003F4497"/>
    <w:rsid w:val="003F498C"/>
    <w:rsid w:val="003F4FAC"/>
    <w:rsid w:val="003F51CC"/>
    <w:rsid w:val="003F521C"/>
    <w:rsid w:val="003F5263"/>
    <w:rsid w:val="003F532B"/>
    <w:rsid w:val="003F54C8"/>
    <w:rsid w:val="003F5AC8"/>
    <w:rsid w:val="003F5CC2"/>
    <w:rsid w:val="003F5DA6"/>
    <w:rsid w:val="003F60F1"/>
    <w:rsid w:val="003F6129"/>
    <w:rsid w:val="003F6B41"/>
    <w:rsid w:val="003F6B7C"/>
    <w:rsid w:val="003F7CCB"/>
    <w:rsid w:val="003F7F17"/>
    <w:rsid w:val="004003D3"/>
    <w:rsid w:val="004004CB"/>
    <w:rsid w:val="00400531"/>
    <w:rsid w:val="004005C1"/>
    <w:rsid w:val="00400AC0"/>
    <w:rsid w:val="00400FBC"/>
    <w:rsid w:val="00401998"/>
    <w:rsid w:val="00401C9E"/>
    <w:rsid w:val="00401CB6"/>
    <w:rsid w:val="0040207C"/>
    <w:rsid w:val="004020F7"/>
    <w:rsid w:val="0040238F"/>
    <w:rsid w:val="004023AA"/>
    <w:rsid w:val="00402482"/>
    <w:rsid w:val="00402491"/>
    <w:rsid w:val="004024C6"/>
    <w:rsid w:val="00402A95"/>
    <w:rsid w:val="00402B72"/>
    <w:rsid w:val="00402D0C"/>
    <w:rsid w:val="00403061"/>
    <w:rsid w:val="00403536"/>
    <w:rsid w:val="00403728"/>
    <w:rsid w:val="00403950"/>
    <w:rsid w:val="00403A40"/>
    <w:rsid w:val="00403A43"/>
    <w:rsid w:val="00403D04"/>
    <w:rsid w:val="00403DF4"/>
    <w:rsid w:val="00403F75"/>
    <w:rsid w:val="004046E6"/>
    <w:rsid w:val="004048C4"/>
    <w:rsid w:val="0040498D"/>
    <w:rsid w:val="004049DD"/>
    <w:rsid w:val="00404C87"/>
    <w:rsid w:val="00404CBC"/>
    <w:rsid w:val="00405181"/>
    <w:rsid w:val="00405192"/>
    <w:rsid w:val="00405458"/>
    <w:rsid w:val="004057CD"/>
    <w:rsid w:val="00405B2B"/>
    <w:rsid w:val="00405C4B"/>
    <w:rsid w:val="00405C5E"/>
    <w:rsid w:val="00406719"/>
    <w:rsid w:val="0040676C"/>
    <w:rsid w:val="004068B7"/>
    <w:rsid w:val="00407147"/>
    <w:rsid w:val="0040719F"/>
    <w:rsid w:val="0040759C"/>
    <w:rsid w:val="004075AA"/>
    <w:rsid w:val="004075B8"/>
    <w:rsid w:val="004078E1"/>
    <w:rsid w:val="004079B1"/>
    <w:rsid w:val="004079C5"/>
    <w:rsid w:val="00407C8D"/>
    <w:rsid w:val="00410176"/>
    <w:rsid w:val="004101F5"/>
    <w:rsid w:val="00410343"/>
    <w:rsid w:val="0041042C"/>
    <w:rsid w:val="0041051B"/>
    <w:rsid w:val="004105C9"/>
    <w:rsid w:val="004107C8"/>
    <w:rsid w:val="004108CC"/>
    <w:rsid w:val="00410C8A"/>
    <w:rsid w:val="00410D49"/>
    <w:rsid w:val="00411505"/>
    <w:rsid w:val="0041152A"/>
    <w:rsid w:val="0041199D"/>
    <w:rsid w:val="00411A3C"/>
    <w:rsid w:val="00411AF2"/>
    <w:rsid w:val="00411AF8"/>
    <w:rsid w:val="00412987"/>
    <w:rsid w:val="00413120"/>
    <w:rsid w:val="004132A0"/>
    <w:rsid w:val="00413338"/>
    <w:rsid w:val="00413403"/>
    <w:rsid w:val="00413697"/>
    <w:rsid w:val="0041394E"/>
    <w:rsid w:val="0041398A"/>
    <w:rsid w:val="00413A76"/>
    <w:rsid w:val="004140D5"/>
    <w:rsid w:val="00414349"/>
    <w:rsid w:val="00414423"/>
    <w:rsid w:val="0041446F"/>
    <w:rsid w:val="0041474D"/>
    <w:rsid w:val="0041474E"/>
    <w:rsid w:val="004148C2"/>
    <w:rsid w:val="00414962"/>
    <w:rsid w:val="004149C1"/>
    <w:rsid w:val="00414C3D"/>
    <w:rsid w:val="00414E1C"/>
    <w:rsid w:val="00414E4B"/>
    <w:rsid w:val="004150A1"/>
    <w:rsid w:val="00415229"/>
    <w:rsid w:val="00415561"/>
    <w:rsid w:val="004158E5"/>
    <w:rsid w:val="00415E15"/>
    <w:rsid w:val="00416149"/>
    <w:rsid w:val="00416765"/>
    <w:rsid w:val="00416810"/>
    <w:rsid w:val="004169D8"/>
    <w:rsid w:val="00416A90"/>
    <w:rsid w:val="00416B18"/>
    <w:rsid w:val="00416B97"/>
    <w:rsid w:val="00416C16"/>
    <w:rsid w:val="00416E25"/>
    <w:rsid w:val="0041771A"/>
    <w:rsid w:val="004179BB"/>
    <w:rsid w:val="00417BA7"/>
    <w:rsid w:val="0042000F"/>
    <w:rsid w:val="00420205"/>
    <w:rsid w:val="004203CE"/>
    <w:rsid w:val="004206A1"/>
    <w:rsid w:val="00420CB1"/>
    <w:rsid w:val="0042181E"/>
    <w:rsid w:val="00421839"/>
    <w:rsid w:val="004218AF"/>
    <w:rsid w:val="00421D73"/>
    <w:rsid w:val="0042288F"/>
    <w:rsid w:val="00422C0F"/>
    <w:rsid w:val="00422F4C"/>
    <w:rsid w:val="0042312C"/>
    <w:rsid w:val="004235A3"/>
    <w:rsid w:val="00423868"/>
    <w:rsid w:val="00423E9D"/>
    <w:rsid w:val="004242A2"/>
    <w:rsid w:val="00424726"/>
    <w:rsid w:val="004248DC"/>
    <w:rsid w:val="00424A9B"/>
    <w:rsid w:val="00424ACD"/>
    <w:rsid w:val="00424BBD"/>
    <w:rsid w:val="00424CAA"/>
    <w:rsid w:val="00425163"/>
    <w:rsid w:val="00425598"/>
    <w:rsid w:val="004265F3"/>
    <w:rsid w:val="0042669D"/>
    <w:rsid w:val="00426B4F"/>
    <w:rsid w:val="00426D8C"/>
    <w:rsid w:val="00427300"/>
    <w:rsid w:val="004273A5"/>
    <w:rsid w:val="00427BEE"/>
    <w:rsid w:val="00427F0D"/>
    <w:rsid w:val="0043040F"/>
    <w:rsid w:val="00430910"/>
    <w:rsid w:val="004309BA"/>
    <w:rsid w:val="00430BFB"/>
    <w:rsid w:val="00430D04"/>
    <w:rsid w:val="00430FEA"/>
    <w:rsid w:val="0043127F"/>
    <w:rsid w:val="00431288"/>
    <w:rsid w:val="004313BF"/>
    <w:rsid w:val="00431972"/>
    <w:rsid w:val="00431C9C"/>
    <w:rsid w:val="004320BF"/>
    <w:rsid w:val="00432530"/>
    <w:rsid w:val="00432904"/>
    <w:rsid w:val="00432AD2"/>
    <w:rsid w:val="0043304F"/>
    <w:rsid w:val="0043326D"/>
    <w:rsid w:val="0043357C"/>
    <w:rsid w:val="00433773"/>
    <w:rsid w:val="00433925"/>
    <w:rsid w:val="00433B40"/>
    <w:rsid w:val="00433B56"/>
    <w:rsid w:val="00433BDB"/>
    <w:rsid w:val="00434EDB"/>
    <w:rsid w:val="0043562F"/>
    <w:rsid w:val="0043567C"/>
    <w:rsid w:val="004356E5"/>
    <w:rsid w:val="00435D5C"/>
    <w:rsid w:val="00435EA6"/>
    <w:rsid w:val="00435EC3"/>
    <w:rsid w:val="00436008"/>
    <w:rsid w:val="004362D4"/>
    <w:rsid w:val="004362DA"/>
    <w:rsid w:val="00436529"/>
    <w:rsid w:val="0043683A"/>
    <w:rsid w:val="00436AEE"/>
    <w:rsid w:val="00436BD8"/>
    <w:rsid w:val="00436BF5"/>
    <w:rsid w:val="00436C8B"/>
    <w:rsid w:val="00437345"/>
    <w:rsid w:val="0043794C"/>
    <w:rsid w:val="00437C8E"/>
    <w:rsid w:val="00440165"/>
    <w:rsid w:val="00440448"/>
    <w:rsid w:val="00440A25"/>
    <w:rsid w:val="00440CEF"/>
    <w:rsid w:val="0044122B"/>
    <w:rsid w:val="004412BD"/>
    <w:rsid w:val="00441689"/>
    <w:rsid w:val="004418A1"/>
    <w:rsid w:val="0044198F"/>
    <w:rsid w:val="00441C05"/>
    <w:rsid w:val="00441E9F"/>
    <w:rsid w:val="00442121"/>
    <w:rsid w:val="0044269B"/>
    <w:rsid w:val="00443316"/>
    <w:rsid w:val="00443666"/>
    <w:rsid w:val="00443785"/>
    <w:rsid w:val="004438FD"/>
    <w:rsid w:val="00443CB0"/>
    <w:rsid w:val="004441B3"/>
    <w:rsid w:val="00444316"/>
    <w:rsid w:val="0044435D"/>
    <w:rsid w:val="0044455F"/>
    <w:rsid w:val="00444B72"/>
    <w:rsid w:val="00444B88"/>
    <w:rsid w:val="00444B8D"/>
    <w:rsid w:val="00444C44"/>
    <w:rsid w:val="0044515C"/>
    <w:rsid w:val="00445288"/>
    <w:rsid w:val="00445A4D"/>
    <w:rsid w:val="00445CBC"/>
    <w:rsid w:val="00445FAB"/>
    <w:rsid w:val="00446359"/>
    <w:rsid w:val="00446385"/>
    <w:rsid w:val="004465B9"/>
    <w:rsid w:val="00446D80"/>
    <w:rsid w:val="00446E23"/>
    <w:rsid w:val="00447299"/>
    <w:rsid w:val="00447567"/>
    <w:rsid w:val="00447E9E"/>
    <w:rsid w:val="004506D3"/>
    <w:rsid w:val="00450733"/>
    <w:rsid w:val="00450BAA"/>
    <w:rsid w:val="00450FAC"/>
    <w:rsid w:val="00451082"/>
    <w:rsid w:val="0045114D"/>
    <w:rsid w:val="004511BE"/>
    <w:rsid w:val="004513CB"/>
    <w:rsid w:val="004515AB"/>
    <w:rsid w:val="00451DAD"/>
    <w:rsid w:val="0045227C"/>
    <w:rsid w:val="00452736"/>
    <w:rsid w:val="00452843"/>
    <w:rsid w:val="00452CAE"/>
    <w:rsid w:val="00453017"/>
    <w:rsid w:val="0045320D"/>
    <w:rsid w:val="004532D4"/>
    <w:rsid w:val="0045349A"/>
    <w:rsid w:val="0045350F"/>
    <w:rsid w:val="004538EE"/>
    <w:rsid w:val="00453A00"/>
    <w:rsid w:val="00453A96"/>
    <w:rsid w:val="00453E71"/>
    <w:rsid w:val="00453F2F"/>
    <w:rsid w:val="00454005"/>
    <w:rsid w:val="00454569"/>
    <w:rsid w:val="004545C2"/>
    <w:rsid w:val="004545D8"/>
    <w:rsid w:val="004546D9"/>
    <w:rsid w:val="004547AB"/>
    <w:rsid w:val="004548DF"/>
    <w:rsid w:val="004548E3"/>
    <w:rsid w:val="004548FB"/>
    <w:rsid w:val="00455537"/>
    <w:rsid w:val="0045566A"/>
    <w:rsid w:val="00455893"/>
    <w:rsid w:val="004563B8"/>
    <w:rsid w:val="004565F8"/>
    <w:rsid w:val="004566B5"/>
    <w:rsid w:val="004567C6"/>
    <w:rsid w:val="00456BAE"/>
    <w:rsid w:val="004572A9"/>
    <w:rsid w:val="00457522"/>
    <w:rsid w:val="00457566"/>
    <w:rsid w:val="004578F8"/>
    <w:rsid w:val="00457D0F"/>
    <w:rsid w:val="00457FB1"/>
    <w:rsid w:val="00460153"/>
    <w:rsid w:val="00460192"/>
    <w:rsid w:val="00460294"/>
    <w:rsid w:val="00460401"/>
    <w:rsid w:val="004604EF"/>
    <w:rsid w:val="00460A59"/>
    <w:rsid w:val="00460B74"/>
    <w:rsid w:val="00460D3A"/>
    <w:rsid w:val="004611EA"/>
    <w:rsid w:val="004614F6"/>
    <w:rsid w:val="00461689"/>
    <w:rsid w:val="004616E8"/>
    <w:rsid w:val="00461745"/>
    <w:rsid w:val="00461E94"/>
    <w:rsid w:val="00462291"/>
    <w:rsid w:val="00462298"/>
    <w:rsid w:val="00462355"/>
    <w:rsid w:val="0046266D"/>
    <w:rsid w:val="00462836"/>
    <w:rsid w:val="00462AA6"/>
    <w:rsid w:val="00462EA3"/>
    <w:rsid w:val="004633CE"/>
    <w:rsid w:val="004636C7"/>
    <w:rsid w:val="00463A16"/>
    <w:rsid w:val="00463AF4"/>
    <w:rsid w:val="00463B12"/>
    <w:rsid w:val="00463B98"/>
    <w:rsid w:val="00463BB5"/>
    <w:rsid w:val="00463C02"/>
    <w:rsid w:val="0046416E"/>
    <w:rsid w:val="0046440D"/>
    <w:rsid w:val="004645BF"/>
    <w:rsid w:val="00464761"/>
    <w:rsid w:val="00464BE2"/>
    <w:rsid w:val="00464BF3"/>
    <w:rsid w:val="00464E39"/>
    <w:rsid w:val="004650F5"/>
    <w:rsid w:val="004659DF"/>
    <w:rsid w:val="0046625D"/>
    <w:rsid w:val="00466388"/>
    <w:rsid w:val="004669C2"/>
    <w:rsid w:val="00466CCC"/>
    <w:rsid w:val="00466CFB"/>
    <w:rsid w:val="00466ECF"/>
    <w:rsid w:val="00467AFA"/>
    <w:rsid w:val="00467EF9"/>
    <w:rsid w:val="00470007"/>
    <w:rsid w:val="004705B6"/>
    <w:rsid w:val="0047076C"/>
    <w:rsid w:val="0047090A"/>
    <w:rsid w:val="00470C13"/>
    <w:rsid w:val="00471077"/>
    <w:rsid w:val="00471532"/>
    <w:rsid w:val="00471663"/>
    <w:rsid w:val="00471932"/>
    <w:rsid w:val="00471999"/>
    <w:rsid w:val="00472402"/>
    <w:rsid w:val="00472A1B"/>
    <w:rsid w:val="00472B02"/>
    <w:rsid w:val="00472E7A"/>
    <w:rsid w:val="00472FA7"/>
    <w:rsid w:val="004735FB"/>
    <w:rsid w:val="0047420F"/>
    <w:rsid w:val="004748CD"/>
    <w:rsid w:val="00474B7B"/>
    <w:rsid w:val="00474DEF"/>
    <w:rsid w:val="00474FE6"/>
    <w:rsid w:val="00475132"/>
    <w:rsid w:val="0047524A"/>
    <w:rsid w:val="0047527F"/>
    <w:rsid w:val="00475436"/>
    <w:rsid w:val="00475896"/>
    <w:rsid w:val="00475A5E"/>
    <w:rsid w:val="00475B7F"/>
    <w:rsid w:val="004761EF"/>
    <w:rsid w:val="00476219"/>
    <w:rsid w:val="0047664B"/>
    <w:rsid w:val="0047667F"/>
    <w:rsid w:val="0047707A"/>
    <w:rsid w:val="004773A3"/>
    <w:rsid w:val="004773C2"/>
    <w:rsid w:val="00477C45"/>
    <w:rsid w:val="00477E8C"/>
    <w:rsid w:val="004801A2"/>
    <w:rsid w:val="00480257"/>
    <w:rsid w:val="00480362"/>
    <w:rsid w:val="00480428"/>
    <w:rsid w:val="0048066B"/>
    <w:rsid w:val="0048080C"/>
    <w:rsid w:val="00480A6D"/>
    <w:rsid w:val="00480C58"/>
    <w:rsid w:val="00480CDC"/>
    <w:rsid w:val="00481541"/>
    <w:rsid w:val="004815FC"/>
    <w:rsid w:val="00481C60"/>
    <w:rsid w:val="0048219F"/>
    <w:rsid w:val="0048265D"/>
    <w:rsid w:val="00482676"/>
    <w:rsid w:val="00482DB6"/>
    <w:rsid w:val="004832FD"/>
    <w:rsid w:val="00483B31"/>
    <w:rsid w:val="00483E30"/>
    <w:rsid w:val="0048416F"/>
    <w:rsid w:val="0048456E"/>
    <w:rsid w:val="004845FA"/>
    <w:rsid w:val="00484C1E"/>
    <w:rsid w:val="00484E0E"/>
    <w:rsid w:val="00484FC8"/>
    <w:rsid w:val="0048514B"/>
    <w:rsid w:val="00485827"/>
    <w:rsid w:val="00485F74"/>
    <w:rsid w:val="004860C0"/>
    <w:rsid w:val="004863D7"/>
    <w:rsid w:val="00486479"/>
    <w:rsid w:val="004868E5"/>
    <w:rsid w:val="00486CB4"/>
    <w:rsid w:val="004877C0"/>
    <w:rsid w:val="00487829"/>
    <w:rsid w:val="004878E0"/>
    <w:rsid w:val="00487B69"/>
    <w:rsid w:val="00487BFC"/>
    <w:rsid w:val="00487CDB"/>
    <w:rsid w:val="00487D30"/>
    <w:rsid w:val="0049007E"/>
    <w:rsid w:val="00490196"/>
    <w:rsid w:val="00490539"/>
    <w:rsid w:val="004905F5"/>
    <w:rsid w:val="0049081B"/>
    <w:rsid w:val="004908A8"/>
    <w:rsid w:val="00490F64"/>
    <w:rsid w:val="004914FD"/>
    <w:rsid w:val="00491D68"/>
    <w:rsid w:val="00492402"/>
    <w:rsid w:val="00492570"/>
    <w:rsid w:val="00492604"/>
    <w:rsid w:val="00493136"/>
    <w:rsid w:val="004945CC"/>
    <w:rsid w:val="00494778"/>
    <w:rsid w:val="004947D0"/>
    <w:rsid w:val="004949AD"/>
    <w:rsid w:val="00494E12"/>
    <w:rsid w:val="00495383"/>
    <w:rsid w:val="00495858"/>
    <w:rsid w:val="004958F5"/>
    <w:rsid w:val="00495FFB"/>
    <w:rsid w:val="00496396"/>
    <w:rsid w:val="00496448"/>
    <w:rsid w:val="004964CF"/>
    <w:rsid w:val="004964F1"/>
    <w:rsid w:val="004965DF"/>
    <w:rsid w:val="0049688B"/>
    <w:rsid w:val="00496989"/>
    <w:rsid w:val="00496A35"/>
    <w:rsid w:val="00496CA2"/>
    <w:rsid w:val="00496DEB"/>
    <w:rsid w:val="0049703B"/>
    <w:rsid w:val="004973B9"/>
    <w:rsid w:val="004973DD"/>
    <w:rsid w:val="00497831"/>
    <w:rsid w:val="00497FAE"/>
    <w:rsid w:val="004A0047"/>
    <w:rsid w:val="004A010A"/>
    <w:rsid w:val="004A03A4"/>
    <w:rsid w:val="004A0538"/>
    <w:rsid w:val="004A0CA2"/>
    <w:rsid w:val="004A120D"/>
    <w:rsid w:val="004A16B5"/>
    <w:rsid w:val="004A17E1"/>
    <w:rsid w:val="004A17F0"/>
    <w:rsid w:val="004A1BA7"/>
    <w:rsid w:val="004A1E2F"/>
    <w:rsid w:val="004A20ED"/>
    <w:rsid w:val="004A24DF"/>
    <w:rsid w:val="004A2811"/>
    <w:rsid w:val="004A324A"/>
    <w:rsid w:val="004A3A03"/>
    <w:rsid w:val="004A3B9A"/>
    <w:rsid w:val="004A3E05"/>
    <w:rsid w:val="004A3FAE"/>
    <w:rsid w:val="004A46A4"/>
    <w:rsid w:val="004A4B59"/>
    <w:rsid w:val="004A4D75"/>
    <w:rsid w:val="004A4D83"/>
    <w:rsid w:val="004A584E"/>
    <w:rsid w:val="004A5892"/>
    <w:rsid w:val="004A5D35"/>
    <w:rsid w:val="004A61AC"/>
    <w:rsid w:val="004A6806"/>
    <w:rsid w:val="004A724F"/>
    <w:rsid w:val="004A747C"/>
    <w:rsid w:val="004A79AD"/>
    <w:rsid w:val="004A7FB5"/>
    <w:rsid w:val="004B05B8"/>
    <w:rsid w:val="004B0671"/>
    <w:rsid w:val="004B0843"/>
    <w:rsid w:val="004B0FC8"/>
    <w:rsid w:val="004B1189"/>
    <w:rsid w:val="004B13ED"/>
    <w:rsid w:val="004B14CE"/>
    <w:rsid w:val="004B1594"/>
    <w:rsid w:val="004B1626"/>
    <w:rsid w:val="004B18E3"/>
    <w:rsid w:val="004B1922"/>
    <w:rsid w:val="004B1B6C"/>
    <w:rsid w:val="004B1E45"/>
    <w:rsid w:val="004B24AD"/>
    <w:rsid w:val="004B287D"/>
    <w:rsid w:val="004B29D8"/>
    <w:rsid w:val="004B2B7D"/>
    <w:rsid w:val="004B2B85"/>
    <w:rsid w:val="004B3058"/>
    <w:rsid w:val="004B339C"/>
    <w:rsid w:val="004B3DF6"/>
    <w:rsid w:val="004B53F2"/>
    <w:rsid w:val="004B5997"/>
    <w:rsid w:val="004B5C3F"/>
    <w:rsid w:val="004B5E4D"/>
    <w:rsid w:val="004B5EE0"/>
    <w:rsid w:val="004B637D"/>
    <w:rsid w:val="004B6546"/>
    <w:rsid w:val="004B6679"/>
    <w:rsid w:val="004B7126"/>
    <w:rsid w:val="004B72AC"/>
    <w:rsid w:val="004B77F8"/>
    <w:rsid w:val="004B7816"/>
    <w:rsid w:val="004B794E"/>
    <w:rsid w:val="004B799C"/>
    <w:rsid w:val="004B7E16"/>
    <w:rsid w:val="004B7E66"/>
    <w:rsid w:val="004B7EEF"/>
    <w:rsid w:val="004C0103"/>
    <w:rsid w:val="004C01F3"/>
    <w:rsid w:val="004C06C0"/>
    <w:rsid w:val="004C0D0B"/>
    <w:rsid w:val="004C0D70"/>
    <w:rsid w:val="004C10B9"/>
    <w:rsid w:val="004C13C3"/>
    <w:rsid w:val="004C163D"/>
    <w:rsid w:val="004C1A0C"/>
    <w:rsid w:val="004C2078"/>
    <w:rsid w:val="004C22B5"/>
    <w:rsid w:val="004C2352"/>
    <w:rsid w:val="004C2AE9"/>
    <w:rsid w:val="004C2C6E"/>
    <w:rsid w:val="004C2E2F"/>
    <w:rsid w:val="004C2F19"/>
    <w:rsid w:val="004C306E"/>
    <w:rsid w:val="004C3223"/>
    <w:rsid w:val="004C32F0"/>
    <w:rsid w:val="004C33F7"/>
    <w:rsid w:val="004C3782"/>
    <w:rsid w:val="004C424C"/>
    <w:rsid w:val="004C427A"/>
    <w:rsid w:val="004C4AEF"/>
    <w:rsid w:val="004C4C06"/>
    <w:rsid w:val="004C4D6A"/>
    <w:rsid w:val="004C51D3"/>
    <w:rsid w:val="004C5421"/>
    <w:rsid w:val="004C5D87"/>
    <w:rsid w:val="004C6486"/>
    <w:rsid w:val="004C6539"/>
    <w:rsid w:val="004C67EA"/>
    <w:rsid w:val="004C680C"/>
    <w:rsid w:val="004C689A"/>
    <w:rsid w:val="004C6C6B"/>
    <w:rsid w:val="004C6CAC"/>
    <w:rsid w:val="004C6D6D"/>
    <w:rsid w:val="004C702D"/>
    <w:rsid w:val="004C7178"/>
    <w:rsid w:val="004C7992"/>
    <w:rsid w:val="004C7DAB"/>
    <w:rsid w:val="004D02B8"/>
    <w:rsid w:val="004D087E"/>
    <w:rsid w:val="004D0F19"/>
    <w:rsid w:val="004D0F28"/>
    <w:rsid w:val="004D12E4"/>
    <w:rsid w:val="004D15D1"/>
    <w:rsid w:val="004D199C"/>
    <w:rsid w:val="004D1CE1"/>
    <w:rsid w:val="004D21C0"/>
    <w:rsid w:val="004D2824"/>
    <w:rsid w:val="004D2EBD"/>
    <w:rsid w:val="004D359F"/>
    <w:rsid w:val="004D37F1"/>
    <w:rsid w:val="004D394F"/>
    <w:rsid w:val="004D461E"/>
    <w:rsid w:val="004D46E6"/>
    <w:rsid w:val="004D4D93"/>
    <w:rsid w:val="004D4EBE"/>
    <w:rsid w:val="004D5706"/>
    <w:rsid w:val="004D58E5"/>
    <w:rsid w:val="004D5CBC"/>
    <w:rsid w:val="004D5E86"/>
    <w:rsid w:val="004D64AE"/>
    <w:rsid w:val="004D68C7"/>
    <w:rsid w:val="004D6D9F"/>
    <w:rsid w:val="004D6F76"/>
    <w:rsid w:val="004D7D9F"/>
    <w:rsid w:val="004E01AD"/>
    <w:rsid w:val="004E0917"/>
    <w:rsid w:val="004E0A48"/>
    <w:rsid w:val="004E0DF1"/>
    <w:rsid w:val="004E1741"/>
    <w:rsid w:val="004E17FA"/>
    <w:rsid w:val="004E1A18"/>
    <w:rsid w:val="004E1A67"/>
    <w:rsid w:val="004E1F83"/>
    <w:rsid w:val="004E2192"/>
    <w:rsid w:val="004E21B0"/>
    <w:rsid w:val="004E243C"/>
    <w:rsid w:val="004E2481"/>
    <w:rsid w:val="004E257C"/>
    <w:rsid w:val="004E25CD"/>
    <w:rsid w:val="004E281C"/>
    <w:rsid w:val="004E28BE"/>
    <w:rsid w:val="004E2B05"/>
    <w:rsid w:val="004E2B1C"/>
    <w:rsid w:val="004E2D0F"/>
    <w:rsid w:val="004E2E91"/>
    <w:rsid w:val="004E2F60"/>
    <w:rsid w:val="004E32A1"/>
    <w:rsid w:val="004E355C"/>
    <w:rsid w:val="004E3732"/>
    <w:rsid w:val="004E3CDF"/>
    <w:rsid w:val="004E3DCD"/>
    <w:rsid w:val="004E403D"/>
    <w:rsid w:val="004E424D"/>
    <w:rsid w:val="004E44A8"/>
    <w:rsid w:val="004E48A3"/>
    <w:rsid w:val="004E494F"/>
    <w:rsid w:val="004E4994"/>
    <w:rsid w:val="004E4C3F"/>
    <w:rsid w:val="004E5893"/>
    <w:rsid w:val="004E6814"/>
    <w:rsid w:val="004E6CA5"/>
    <w:rsid w:val="004E6F9E"/>
    <w:rsid w:val="004E76C8"/>
    <w:rsid w:val="004E7E4A"/>
    <w:rsid w:val="004E7EFC"/>
    <w:rsid w:val="004E7F1F"/>
    <w:rsid w:val="004E7FAD"/>
    <w:rsid w:val="004F00DA"/>
    <w:rsid w:val="004F0351"/>
    <w:rsid w:val="004F0440"/>
    <w:rsid w:val="004F0443"/>
    <w:rsid w:val="004F0876"/>
    <w:rsid w:val="004F0906"/>
    <w:rsid w:val="004F14FD"/>
    <w:rsid w:val="004F1798"/>
    <w:rsid w:val="004F195E"/>
    <w:rsid w:val="004F2094"/>
    <w:rsid w:val="004F2150"/>
    <w:rsid w:val="004F22EB"/>
    <w:rsid w:val="004F2656"/>
    <w:rsid w:val="004F292E"/>
    <w:rsid w:val="004F2ECA"/>
    <w:rsid w:val="004F2F26"/>
    <w:rsid w:val="004F2F88"/>
    <w:rsid w:val="004F31CE"/>
    <w:rsid w:val="004F33B0"/>
    <w:rsid w:val="004F3457"/>
    <w:rsid w:val="004F356F"/>
    <w:rsid w:val="004F40F2"/>
    <w:rsid w:val="004F4109"/>
    <w:rsid w:val="004F4446"/>
    <w:rsid w:val="004F4A10"/>
    <w:rsid w:val="004F507D"/>
    <w:rsid w:val="004F50F5"/>
    <w:rsid w:val="004F5579"/>
    <w:rsid w:val="004F57B5"/>
    <w:rsid w:val="004F57F8"/>
    <w:rsid w:val="004F5849"/>
    <w:rsid w:val="004F5877"/>
    <w:rsid w:val="004F5C34"/>
    <w:rsid w:val="004F5E25"/>
    <w:rsid w:val="004F6508"/>
    <w:rsid w:val="004F66F5"/>
    <w:rsid w:val="004F6708"/>
    <w:rsid w:val="004F6975"/>
    <w:rsid w:val="004F6C54"/>
    <w:rsid w:val="004F7647"/>
    <w:rsid w:val="004F766C"/>
    <w:rsid w:val="004F770C"/>
    <w:rsid w:val="004F77D0"/>
    <w:rsid w:val="004F7FA8"/>
    <w:rsid w:val="0050008B"/>
    <w:rsid w:val="0050082A"/>
    <w:rsid w:val="00500FC7"/>
    <w:rsid w:val="00501228"/>
    <w:rsid w:val="005013E3"/>
    <w:rsid w:val="00501593"/>
    <w:rsid w:val="005019BB"/>
    <w:rsid w:val="00501C64"/>
    <w:rsid w:val="00501E7B"/>
    <w:rsid w:val="00502654"/>
    <w:rsid w:val="005028EC"/>
    <w:rsid w:val="00502CEF"/>
    <w:rsid w:val="00502F8F"/>
    <w:rsid w:val="00502FCA"/>
    <w:rsid w:val="00503077"/>
    <w:rsid w:val="005037A9"/>
    <w:rsid w:val="005038E4"/>
    <w:rsid w:val="00503AFA"/>
    <w:rsid w:val="00503C2E"/>
    <w:rsid w:val="00503EED"/>
    <w:rsid w:val="005046C5"/>
    <w:rsid w:val="005046EA"/>
    <w:rsid w:val="005047E7"/>
    <w:rsid w:val="00504B5F"/>
    <w:rsid w:val="00504CE5"/>
    <w:rsid w:val="00505157"/>
    <w:rsid w:val="00505B99"/>
    <w:rsid w:val="00505E6D"/>
    <w:rsid w:val="005060B9"/>
    <w:rsid w:val="00506180"/>
    <w:rsid w:val="00506452"/>
    <w:rsid w:val="0050696D"/>
    <w:rsid w:val="00506983"/>
    <w:rsid w:val="00506AAC"/>
    <w:rsid w:val="00506B1B"/>
    <w:rsid w:val="00506DC7"/>
    <w:rsid w:val="0050732F"/>
    <w:rsid w:val="005074D2"/>
    <w:rsid w:val="005078A5"/>
    <w:rsid w:val="005102A1"/>
    <w:rsid w:val="00510401"/>
    <w:rsid w:val="0051042F"/>
    <w:rsid w:val="0051068F"/>
    <w:rsid w:val="0051126A"/>
    <w:rsid w:val="005112A8"/>
    <w:rsid w:val="005112D0"/>
    <w:rsid w:val="00511301"/>
    <w:rsid w:val="00511334"/>
    <w:rsid w:val="005115D0"/>
    <w:rsid w:val="00511715"/>
    <w:rsid w:val="00511731"/>
    <w:rsid w:val="00511853"/>
    <w:rsid w:val="00511A62"/>
    <w:rsid w:val="00511C32"/>
    <w:rsid w:val="005120F4"/>
    <w:rsid w:val="005127CE"/>
    <w:rsid w:val="005127EB"/>
    <w:rsid w:val="00512A14"/>
    <w:rsid w:val="00513126"/>
    <w:rsid w:val="005136B5"/>
    <w:rsid w:val="00513812"/>
    <w:rsid w:val="00513C16"/>
    <w:rsid w:val="00513C66"/>
    <w:rsid w:val="0051424D"/>
    <w:rsid w:val="005147C9"/>
    <w:rsid w:val="00514B92"/>
    <w:rsid w:val="00514C9A"/>
    <w:rsid w:val="0051512A"/>
    <w:rsid w:val="00515CBE"/>
    <w:rsid w:val="00516364"/>
    <w:rsid w:val="00516499"/>
    <w:rsid w:val="00516E09"/>
    <w:rsid w:val="00516E25"/>
    <w:rsid w:val="00516ECA"/>
    <w:rsid w:val="00517386"/>
    <w:rsid w:val="005176A8"/>
    <w:rsid w:val="0051771F"/>
    <w:rsid w:val="00517BAD"/>
    <w:rsid w:val="00517E99"/>
    <w:rsid w:val="00517FA1"/>
    <w:rsid w:val="00520021"/>
    <w:rsid w:val="005200EF"/>
    <w:rsid w:val="005204DA"/>
    <w:rsid w:val="00520811"/>
    <w:rsid w:val="00520BA3"/>
    <w:rsid w:val="00520EA3"/>
    <w:rsid w:val="00520F83"/>
    <w:rsid w:val="00520FA1"/>
    <w:rsid w:val="005211C6"/>
    <w:rsid w:val="005211CB"/>
    <w:rsid w:val="00521BC4"/>
    <w:rsid w:val="00521DDD"/>
    <w:rsid w:val="0052254F"/>
    <w:rsid w:val="00522704"/>
    <w:rsid w:val="005227A5"/>
    <w:rsid w:val="0052281C"/>
    <w:rsid w:val="00522BE2"/>
    <w:rsid w:val="00523134"/>
    <w:rsid w:val="0052348D"/>
    <w:rsid w:val="00523911"/>
    <w:rsid w:val="00523940"/>
    <w:rsid w:val="00523E4F"/>
    <w:rsid w:val="00524A44"/>
    <w:rsid w:val="00524DBB"/>
    <w:rsid w:val="005254CC"/>
    <w:rsid w:val="005254D6"/>
    <w:rsid w:val="00525515"/>
    <w:rsid w:val="005259F9"/>
    <w:rsid w:val="00525A7B"/>
    <w:rsid w:val="00525B19"/>
    <w:rsid w:val="00525D78"/>
    <w:rsid w:val="00525E9D"/>
    <w:rsid w:val="00525F88"/>
    <w:rsid w:val="0052682F"/>
    <w:rsid w:val="00526AEC"/>
    <w:rsid w:val="00527094"/>
    <w:rsid w:val="00527459"/>
    <w:rsid w:val="0052772F"/>
    <w:rsid w:val="00527B1B"/>
    <w:rsid w:val="00527CBE"/>
    <w:rsid w:val="00527D30"/>
    <w:rsid w:val="00530002"/>
    <w:rsid w:val="0053031D"/>
    <w:rsid w:val="0053048A"/>
    <w:rsid w:val="00530700"/>
    <w:rsid w:val="00530718"/>
    <w:rsid w:val="005307A1"/>
    <w:rsid w:val="005307A9"/>
    <w:rsid w:val="005308AC"/>
    <w:rsid w:val="005309AE"/>
    <w:rsid w:val="005310F4"/>
    <w:rsid w:val="00531AEE"/>
    <w:rsid w:val="00531C32"/>
    <w:rsid w:val="00531EB3"/>
    <w:rsid w:val="00531F48"/>
    <w:rsid w:val="005320C6"/>
    <w:rsid w:val="005321F4"/>
    <w:rsid w:val="005322E5"/>
    <w:rsid w:val="0053266B"/>
    <w:rsid w:val="005326F4"/>
    <w:rsid w:val="0053298E"/>
    <w:rsid w:val="00532C10"/>
    <w:rsid w:val="00532DD7"/>
    <w:rsid w:val="00533082"/>
    <w:rsid w:val="0053325C"/>
    <w:rsid w:val="005335AE"/>
    <w:rsid w:val="005338F9"/>
    <w:rsid w:val="0053396C"/>
    <w:rsid w:val="00533B01"/>
    <w:rsid w:val="00533C8C"/>
    <w:rsid w:val="005341F1"/>
    <w:rsid w:val="00534969"/>
    <w:rsid w:val="00534982"/>
    <w:rsid w:val="00534A31"/>
    <w:rsid w:val="00534ACA"/>
    <w:rsid w:val="00535991"/>
    <w:rsid w:val="00535CE4"/>
    <w:rsid w:val="00535DBC"/>
    <w:rsid w:val="00535FC2"/>
    <w:rsid w:val="0053618B"/>
    <w:rsid w:val="0053653F"/>
    <w:rsid w:val="00536572"/>
    <w:rsid w:val="005365E2"/>
    <w:rsid w:val="005366B6"/>
    <w:rsid w:val="00536A6C"/>
    <w:rsid w:val="00536B4F"/>
    <w:rsid w:val="00536BFF"/>
    <w:rsid w:val="00536C61"/>
    <w:rsid w:val="00536D4E"/>
    <w:rsid w:val="00537CC7"/>
    <w:rsid w:val="005401A0"/>
    <w:rsid w:val="0054061B"/>
    <w:rsid w:val="005407A5"/>
    <w:rsid w:val="005408F3"/>
    <w:rsid w:val="00540C8C"/>
    <w:rsid w:val="0054101E"/>
    <w:rsid w:val="005413C5"/>
    <w:rsid w:val="00541AAA"/>
    <w:rsid w:val="00541B3E"/>
    <w:rsid w:val="00541CBA"/>
    <w:rsid w:val="00542B7A"/>
    <w:rsid w:val="00542C80"/>
    <w:rsid w:val="00543094"/>
    <w:rsid w:val="00543248"/>
    <w:rsid w:val="005435F1"/>
    <w:rsid w:val="00543A6D"/>
    <w:rsid w:val="00543E27"/>
    <w:rsid w:val="0054427B"/>
    <w:rsid w:val="00544454"/>
    <w:rsid w:val="00544647"/>
    <w:rsid w:val="00544A05"/>
    <w:rsid w:val="00544A1A"/>
    <w:rsid w:val="00544B39"/>
    <w:rsid w:val="00544B9B"/>
    <w:rsid w:val="00544BA9"/>
    <w:rsid w:val="00544F8D"/>
    <w:rsid w:val="0054524E"/>
    <w:rsid w:val="00545365"/>
    <w:rsid w:val="005454A9"/>
    <w:rsid w:val="005458B9"/>
    <w:rsid w:val="00545BF0"/>
    <w:rsid w:val="00545EB3"/>
    <w:rsid w:val="005461EF"/>
    <w:rsid w:val="00546B3A"/>
    <w:rsid w:val="00546BA8"/>
    <w:rsid w:val="00546E3B"/>
    <w:rsid w:val="00546FFE"/>
    <w:rsid w:val="005473A9"/>
    <w:rsid w:val="00547472"/>
    <w:rsid w:val="00547758"/>
    <w:rsid w:val="00550AF6"/>
    <w:rsid w:val="005511E8"/>
    <w:rsid w:val="005513F0"/>
    <w:rsid w:val="005515B4"/>
    <w:rsid w:val="00551DC7"/>
    <w:rsid w:val="005525E9"/>
    <w:rsid w:val="005527A6"/>
    <w:rsid w:val="005527C7"/>
    <w:rsid w:val="00552CFD"/>
    <w:rsid w:val="0055333C"/>
    <w:rsid w:val="005539A9"/>
    <w:rsid w:val="00553AC1"/>
    <w:rsid w:val="00553AE8"/>
    <w:rsid w:val="00553EC6"/>
    <w:rsid w:val="00554515"/>
    <w:rsid w:val="005545B8"/>
    <w:rsid w:val="005546CD"/>
    <w:rsid w:val="0055479A"/>
    <w:rsid w:val="00554BB6"/>
    <w:rsid w:val="00554BF3"/>
    <w:rsid w:val="00555FD6"/>
    <w:rsid w:val="00556048"/>
    <w:rsid w:val="00556096"/>
    <w:rsid w:val="005561A6"/>
    <w:rsid w:val="00556314"/>
    <w:rsid w:val="0055667C"/>
    <w:rsid w:val="00556912"/>
    <w:rsid w:val="00556941"/>
    <w:rsid w:val="00556A06"/>
    <w:rsid w:val="00556B95"/>
    <w:rsid w:val="00556E57"/>
    <w:rsid w:val="005576CE"/>
    <w:rsid w:val="00560613"/>
    <w:rsid w:val="00560F5C"/>
    <w:rsid w:val="00560FE0"/>
    <w:rsid w:val="005612A0"/>
    <w:rsid w:val="00561368"/>
    <w:rsid w:val="00561394"/>
    <w:rsid w:val="005616E7"/>
    <w:rsid w:val="00561A3B"/>
    <w:rsid w:val="00561ACB"/>
    <w:rsid w:val="00561E4F"/>
    <w:rsid w:val="00561E9D"/>
    <w:rsid w:val="00561EF7"/>
    <w:rsid w:val="005623F5"/>
    <w:rsid w:val="005627D0"/>
    <w:rsid w:val="00562803"/>
    <w:rsid w:val="00562E8A"/>
    <w:rsid w:val="00562FB3"/>
    <w:rsid w:val="005632AA"/>
    <w:rsid w:val="00563C43"/>
    <w:rsid w:val="00563DDE"/>
    <w:rsid w:val="005644BE"/>
    <w:rsid w:val="005644F0"/>
    <w:rsid w:val="0056465D"/>
    <w:rsid w:val="005648FA"/>
    <w:rsid w:val="00564B19"/>
    <w:rsid w:val="00564C40"/>
    <w:rsid w:val="00564D3C"/>
    <w:rsid w:val="00564EAC"/>
    <w:rsid w:val="0056560D"/>
    <w:rsid w:val="00565D59"/>
    <w:rsid w:val="005663C3"/>
    <w:rsid w:val="005666A3"/>
    <w:rsid w:val="005666F5"/>
    <w:rsid w:val="005669D7"/>
    <w:rsid w:val="00566C12"/>
    <w:rsid w:val="00566D3F"/>
    <w:rsid w:val="00566E66"/>
    <w:rsid w:val="00566FEF"/>
    <w:rsid w:val="00567156"/>
    <w:rsid w:val="005673A8"/>
    <w:rsid w:val="0056790E"/>
    <w:rsid w:val="00567BF7"/>
    <w:rsid w:val="00570CF8"/>
    <w:rsid w:val="00570D73"/>
    <w:rsid w:val="00571574"/>
    <w:rsid w:val="00571625"/>
    <w:rsid w:val="00571D61"/>
    <w:rsid w:val="00571DC8"/>
    <w:rsid w:val="00571F31"/>
    <w:rsid w:val="005725C5"/>
    <w:rsid w:val="00572719"/>
    <w:rsid w:val="0057294D"/>
    <w:rsid w:val="00572D04"/>
    <w:rsid w:val="00572F7A"/>
    <w:rsid w:val="00573480"/>
    <w:rsid w:val="0057396D"/>
    <w:rsid w:val="00573971"/>
    <w:rsid w:val="00573C8C"/>
    <w:rsid w:val="00573E0A"/>
    <w:rsid w:val="00573F17"/>
    <w:rsid w:val="00574127"/>
    <w:rsid w:val="0057420C"/>
    <w:rsid w:val="00574262"/>
    <w:rsid w:val="00574618"/>
    <w:rsid w:val="00575469"/>
    <w:rsid w:val="005756A1"/>
    <w:rsid w:val="0057585E"/>
    <w:rsid w:val="0057595F"/>
    <w:rsid w:val="00575EB2"/>
    <w:rsid w:val="00576101"/>
    <w:rsid w:val="00576129"/>
    <w:rsid w:val="005764E4"/>
    <w:rsid w:val="00576B66"/>
    <w:rsid w:val="00576FCD"/>
    <w:rsid w:val="00577328"/>
    <w:rsid w:val="005773DD"/>
    <w:rsid w:val="00577848"/>
    <w:rsid w:val="00577ACA"/>
    <w:rsid w:val="00577C44"/>
    <w:rsid w:val="00577C57"/>
    <w:rsid w:val="0058016E"/>
    <w:rsid w:val="005805BC"/>
    <w:rsid w:val="00580608"/>
    <w:rsid w:val="00580787"/>
    <w:rsid w:val="00580B71"/>
    <w:rsid w:val="00580C02"/>
    <w:rsid w:val="00580E37"/>
    <w:rsid w:val="0058119C"/>
    <w:rsid w:val="0058124C"/>
    <w:rsid w:val="00581412"/>
    <w:rsid w:val="005818BE"/>
    <w:rsid w:val="005818E4"/>
    <w:rsid w:val="00581A0D"/>
    <w:rsid w:val="005821EF"/>
    <w:rsid w:val="005827F4"/>
    <w:rsid w:val="00582A88"/>
    <w:rsid w:val="00582AB2"/>
    <w:rsid w:val="00582E6A"/>
    <w:rsid w:val="005830C5"/>
    <w:rsid w:val="005831F8"/>
    <w:rsid w:val="0058324E"/>
    <w:rsid w:val="00583611"/>
    <w:rsid w:val="00583B75"/>
    <w:rsid w:val="00583D76"/>
    <w:rsid w:val="005844EC"/>
    <w:rsid w:val="0058471E"/>
    <w:rsid w:val="00584738"/>
    <w:rsid w:val="00584C4B"/>
    <w:rsid w:val="00584C57"/>
    <w:rsid w:val="00584EB4"/>
    <w:rsid w:val="005851B4"/>
    <w:rsid w:val="0058544A"/>
    <w:rsid w:val="005855A2"/>
    <w:rsid w:val="005856B7"/>
    <w:rsid w:val="00585809"/>
    <w:rsid w:val="005858DA"/>
    <w:rsid w:val="00585B69"/>
    <w:rsid w:val="00586214"/>
    <w:rsid w:val="0058636C"/>
    <w:rsid w:val="00586FAC"/>
    <w:rsid w:val="00587583"/>
    <w:rsid w:val="00587CCC"/>
    <w:rsid w:val="00587D1F"/>
    <w:rsid w:val="0059032E"/>
    <w:rsid w:val="0059125C"/>
    <w:rsid w:val="00591439"/>
    <w:rsid w:val="00591A23"/>
    <w:rsid w:val="00591F18"/>
    <w:rsid w:val="005924CF"/>
    <w:rsid w:val="00592D18"/>
    <w:rsid w:val="00592DCF"/>
    <w:rsid w:val="00592DED"/>
    <w:rsid w:val="005931A4"/>
    <w:rsid w:val="005931C4"/>
    <w:rsid w:val="0059328D"/>
    <w:rsid w:val="00593479"/>
    <w:rsid w:val="00593734"/>
    <w:rsid w:val="00594098"/>
    <w:rsid w:val="005947F9"/>
    <w:rsid w:val="00595187"/>
    <w:rsid w:val="005953D3"/>
    <w:rsid w:val="00595455"/>
    <w:rsid w:val="00595524"/>
    <w:rsid w:val="0059585A"/>
    <w:rsid w:val="00595D89"/>
    <w:rsid w:val="00595E7D"/>
    <w:rsid w:val="00595FEB"/>
    <w:rsid w:val="005962C4"/>
    <w:rsid w:val="00596481"/>
    <w:rsid w:val="005969FA"/>
    <w:rsid w:val="00596CF7"/>
    <w:rsid w:val="005970D9"/>
    <w:rsid w:val="00597753"/>
    <w:rsid w:val="005A005C"/>
    <w:rsid w:val="005A014F"/>
    <w:rsid w:val="005A0180"/>
    <w:rsid w:val="005A0426"/>
    <w:rsid w:val="005A04DA"/>
    <w:rsid w:val="005A06F7"/>
    <w:rsid w:val="005A072B"/>
    <w:rsid w:val="005A1062"/>
    <w:rsid w:val="005A1083"/>
    <w:rsid w:val="005A1205"/>
    <w:rsid w:val="005A14E1"/>
    <w:rsid w:val="005A1E6E"/>
    <w:rsid w:val="005A2138"/>
    <w:rsid w:val="005A2F3A"/>
    <w:rsid w:val="005A314E"/>
    <w:rsid w:val="005A32CD"/>
    <w:rsid w:val="005A38F7"/>
    <w:rsid w:val="005A3C29"/>
    <w:rsid w:val="005A3FB4"/>
    <w:rsid w:val="005A42D0"/>
    <w:rsid w:val="005A4568"/>
    <w:rsid w:val="005A4C35"/>
    <w:rsid w:val="005A4DD1"/>
    <w:rsid w:val="005A50E6"/>
    <w:rsid w:val="005A59DF"/>
    <w:rsid w:val="005A5D38"/>
    <w:rsid w:val="005A640B"/>
    <w:rsid w:val="005A674E"/>
    <w:rsid w:val="005A6BBA"/>
    <w:rsid w:val="005A7B02"/>
    <w:rsid w:val="005A7C47"/>
    <w:rsid w:val="005A7CCA"/>
    <w:rsid w:val="005B0050"/>
    <w:rsid w:val="005B008D"/>
    <w:rsid w:val="005B01E9"/>
    <w:rsid w:val="005B0440"/>
    <w:rsid w:val="005B0504"/>
    <w:rsid w:val="005B059B"/>
    <w:rsid w:val="005B0E07"/>
    <w:rsid w:val="005B1194"/>
    <w:rsid w:val="005B13C3"/>
    <w:rsid w:val="005B13CC"/>
    <w:rsid w:val="005B1B67"/>
    <w:rsid w:val="005B259D"/>
    <w:rsid w:val="005B297F"/>
    <w:rsid w:val="005B2ABE"/>
    <w:rsid w:val="005B2D51"/>
    <w:rsid w:val="005B3442"/>
    <w:rsid w:val="005B36CD"/>
    <w:rsid w:val="005B3963"/>
    <w:rsid w:val="005B3E73"/>
    <w:rsid w:val="005B3F80"/>
    <w:rsid w:val="005B4412"/>
    <w:rsid w:val="005B4489"/>
    <w:rsid w:val="005B46E5"/>
    <w:rsid w:val="005B50AD"/>
    <w:rsid w:val="005B524F"/>
    <w:rsid w:val="005B55BB"/>
    <w:rsid w:val="005B55E7"/>
    <w:rsid w:val="005B5BA2"/>
    <w:rsid w:val="005B6000"/>
    <w:rsid w:val="005B6391"/>
    <w:rsid w:val="005B64E4"/>
    <w:rsid w:val="005B67C6"/>
    <w:rsid w:val="005B7326"/>
    <w:rsid w:val="005B7336"/>
    <w:rsid w:val="005B77E7"/>
    <w:rsid w:val="005B78CB"/>
    <w:rsid w:val="005B7C91"/>
    <w:rsid w:val="005B7DF8"/>
    <w:rsid w:val="005C0013"/>
    <w:rsid w:val="005C0024"/>
    <w:rsid w:val="005C0026"/>
    <w:rsid w:val="005C06CE"/>
    <w:rsid w:val="005C0AC7"/>
    <w:rsid w:val="005C0AE3"/>
    <w:rsid w:val="005C0E7A"/>
    <w:rsid w:val="005C1187"/>
    <w:rsid w:val="005C1900"/>
    <w:rsid w:val="005C19A7"/>
    <w:rsid w:val="005C2036"/>
    <w:rsid w:val="005C2203"/>
    <w:rsid w:val="005C2264"/>
    <w:rsid w:val="005C23CC"/>
    <w:rsid w:val="005C23EE"/>
    <w:rsid w:val="005C259C"/>
    <w:rsid w:val="005C29FC"/>
    <w:rsid w:val="005C311C"/>
    <w:rsid w:val="005C332D"/>
    <w:rsid w:val="005C3379"/>
    <w:rsid w:val="005C3502"/>
    <w:rsid w:val="005C3A27"/>
    <w:rsid w:val="005C3ADC"/>
    <w:rsid w:val="005C3AF0"/>
    <w:rsid w:val="005C3C44"/>
    <w:rsid w:val="005C4161"/>
    <w:rsid w:val="005C4988"/>
    <w:rsid w:val="005C4B50"/>
    <w:rsid w:val="005C5002"/>
    <w:rsid w:val="005C56C2"/>
    <w:rsid w:val="005C58A2"/>
    <w:rsid w:val="005C5A96"/>
    <w:rsid w:val="005C6541"/>
    <w:rsid w:val="005C673B"/>
    <w:rsid w:val="005C68CC"/>
    <w:rsid w:val="005C6C01"/>
    <w:rsid w:val="005C6DC6"/>
    <w:rsid w:val="005C6FA4"/>
    <w:rsid w:val="005C700F"/>
    <w:rsid w:val="005C71C6"/>
    <w:rsid w:val="005C7233"/>
    <w:rsid w:val="005C73FA"/>
    <w:rsid w:val="005C7895"/>
    <w:rsid w:val="005C7B25"/>
    <w:rsid w:val="005C7BB7"/>
    <w:rsid w:val="005C7CB4"/>
    <w:rsid w:val="005C7D5A"/>
    <w:rsid w:val="005D06BE"/>
    <w:rsid w:val="005D0BB9"/>
    <w:rsid w:val="005D0EE0"/>
    <w:rsid w:val="005D0FDC"/>
    <w:rsid w:val="005D16EF"/>
    <w:rsid w:val="005D1A2D"/>
    <w:rsid w:val="005D1A59"/>
    <w:rsid w:val="005D1B65"/>
    <w:rsid w:val="005D1BD1"/>
    <w:rsid w:val="005D21DD"/>
    <w:rsid w:val="005D224C"/>
    <w:rsid w:val="005D236D"/>
    <w:rsid w:val="005D310B"/>
    <w:rsid w:val="005D3CD0"/>
    <w:rsid w:val="005D3D2F"/>
    <w:rsid w:val="005D3EC7"/>
    <w:rsid w:val="005D457E"/>
    <w:rsid w:val="005D4661"/>
    <w:rsid w:val="005D4FB8"/>
    <w:rsid w:val="005D5927"/>
    <w:rsid w:val="005D5BED"/>
    <w:rsid w:val="005D5C57"/>
    <w:rsid w:val="005D634F"/>
    <w:rsid w:val="005D6799"/>
    <w:rsid w:val="005D690F"/>
    <w:rsid w:val="005D6944"/>
    <w:rsid w:val="005D6954"/>
    <w:rsid w:val="005D6A1C"/>
    <w:rsid w:val="005D6CD2"/>
    <w:rsid w:val="005D6FD8"/>
    <w:rsid w:val="005D7206"/>
    <w:rsid w:val="005D75C3"/>
    <w:rsid w:val="005D7605"/>
    <w:rsid w:val="005D7856"/>
    <w:rsid w:val="005E0950"/>
    <w:rsid w:val="005E0AEB"/>
    <w:rsid w:val="005E0C65"/>
    <w:rsid w:val="005E13ED"/>
    <w:rsid w:val="005E167C"/>
    <w:rsid w:val="005E192D"/>
    <w:rsid w:val="005E19A8"/>
    <w:rsid w:val="005E19F1"/>
    <w:rsid w:val="005E19F8"/>
    <w:rsid w:val="005E1B7A"/>
    <w:rsid w:val="005E1E12"/>
    <w:rsid w:val="005E21E4"/>
    <w:rsid w:val="005E237E"/>
    <w:rsid w:val="005E251E"/>
    <w:rsid w:val="005E279A"/>
    <w:rsid w:val="005E2A7F"/>
    <w:rsid w:val="005E2C41"/>
    <w:rsid w:val="005E3110"/>
    <w:rsid w:val="005E323E"/>
    <w:rsid w:val="005E3D10"/>
    <w:rsid w:val="005E3F05"/>
    <w:rsid w:val="005E42A1"/>
    <w:rsid w:val="005E42B3"/>
    <w:rsid w:val="005E4587"/>
    <w:rsid w:val="005E48A5"/>
    <w:rsid w:val="005E4B73"/>
    <w:rsid w:val="005E4BAA"/>
    <w:rsid w:val="005E4D73"/>
    <w:rsid w:val="005E54EA"/>
    <w:rsid w:val="005E57C8"/>
    <w:rsid w:val="005E59D6"/>
    <w:rsid w:val="005E5AA5"/>
    <w:rsid w:val="005E5C8B"/>
    <w:rsid w:val="005E5E5B"/>
    <w:rsid w:val="005E6056"/>
    <w:rsid w:val="005E611F"/>
    <w:rsid w:val="005E6766"/>
    <w:rsid w:val="005E6A05"/>
    <w:rsid w:val="005E7774"/>
    <w:rsid w:val="005E785B"/>
    <w:rsid w:val="005E78BD"/>
    <w:rsid w:val="005F02BE"/>
    <w:rsid w:val="005F0308"/>
    <w:rsid w:val="005F03DD"/>
    <w:rsid w:val="005F0414"/>
    <w:rsid w:val="005F08AD"/>
    <w:rsid w:val="005F0C9E"/>
    <w:rsid w:val="005F0F1C"/>
    <w:rsid w:val="005F142D"/>
    <w:rsid w:val="005F1735"/>
    <w:rsid w:val="005F18F4"/>
    <w:rsid w:val="005F1914"/>
    <w:rsid w:val="005F1F5E"/>
    <w:rsid w:val="005F216C"/>
    <w:rsid w:val="005F29AF"/>
    <w:rsid w:val="005F2A49"/>
    <w:rsid w:val="005F31D3"/>
    <w:rsid w:val="005F3221"/>
    <w:rsid w:val="005F3459"/>
    <w:rsid w:val="005F381E"/>
    <w:rsid w:val="005F3942"/>
    <w:rsid w:val="005F3A1A"/>
    <w:rsid w:val="005F450F"/>
    <w:rsid w:val="005F45DF"/>
    <w:rsid w:val="005F4C12"/>
    <w:rsid w:val="005F4C63"/>
    <w:rsid w:val="005F4DC4"/>
    <w:rsid w:val="005F4F47"/>
    <w:rsid w:val="005F541B"/>
    <w:rsid w:val="005F5E12"/>
    <w:rsid w:val="005F60C6"/>
    <w:rsid w:val="005F6234"/>
    <w:rsid w:val="005F681F"/>
    <w:rsid w:val="005F6C58"/>
    <w:rsid w:val="005F6D49"/>
    <w:rsid w:val="005F6E6C"/>
    <w:rsid w:val="005F7120"/>
    <w:rsid w:val="005F712C"/>
    <w:rsid w:val="005F7711"/>
    <w:rsid w:val="005F7B38"/>
    <w:rsid w:val="00600058"/>
    <w:rsid w:val="00600629"/>
    <w:rsid w:val="006007F5"/>
    <w:rsid w:val="00600802"/>
    <w:rsid w:val="00600874"/>
    <w:rsid w:val="00600DF9"/>
    <w:rsid w:val="00600FB7"/>
    <w:rsid w:val="006012B3"/>
    <w:rsid w:val="00601657"/>
    <w:rsid w:val="00601BC8"/>
    <w:rsid w:val="00602012"/>
    <w:rsid w:val="006021AA"/>
    <w:rsid w:val="006022E5"/>
    <w:rsid w:val="0060265C"/>
    <w:rsid w:val="00602F36"/>
    <w:rsid w:val="006031C8"/>
    <w:rsid w:val="006032C1"/>
    <w:rsid w:val="00603615"/>
    <w:rsid w:val="00603BF3"/>
    <w:rsid w:val="00603EC8"/>
    <w:rsid w:val="00603EE6"/>
    <w:rsid w:val="006044CD"/>
    <w:rsid w:val="0060475F"/>
    <w:rsid w:val="00604D04"/>
    <w:rsid w:val="00604F60"/>
    <w:rsid w:val="00605073"/>
    <w:rsid w:val="0060535B"/>
    <w:rsid w:val="006053C4"/>
    <w:rsid w:val="006055C1"/>
    <w:rsid w:val="006055F9"/>
    <w:rsid w:val="00605B87"/>
    <w:rsid w:val="006060AA"/>
    <w:rsid w:val="006060CD"/>
    <w:rsid w:val="006074C5"/>
    <w:rsid w:val="00607A95"/>
    <w:rsid w:val="006101A9"/>
    <w:rsid w:val="00610D81"/>
    <w:rsid w:val="00610E90"/>
    <w:rsid w:val="00610FCF"/>
    <w:rsid w:val="006112A0"/>
    <w:rsid w:val="006112B6"/>
    <w:rsid w:val="00611345"/>
    <w:rsid w:val="00611DC7"/>
    <w:rsid w:val="00611FA7"/>
    <w:rsid w:val="00611FFD"/>
    <w:rsid w:val="006125A9"/>
    <w:rsid w:val="00612622"/>
    <w:rsid w:val="006128BD"/>
    <w:rsid w:val="00612A27"/>
    <w:rsid w:val="00612B01"/>
    <w:rsid w:val="00612E68"/>
    <w:rsid w:val="0061304C"/>
    <w:rsid w:val="0061331C"/>
    <w:rsid w:val="0061354F"/>
    <w:rsid w:val="006138DC"/>
    <w:rsid w:val="006139B5"/>
    <w:rsid w:val="006142A7"/>
    <w:rsid w:val="0061432C"/>
    <w:rsid w:val="0061449E"/>
    <w:rsid w:val="00614D75"/>
    <w:rsid w:val="00614DC3"/>
    <w:rsid w:val="00614DCB"/>
    <w:rsid w:val="006151D1"/>
    <w:rsid w:val="00615657"/>
    <w:rsid w:val="006158B0"/>
    <w:rsid w:val="0061592A"/>
    <w:rsid w:val="00615ECE"/>
    <w:rsid w:val="00616135"/>
    <w:rsid w:val="00616214"/>
    <w:rsid w:val="0061622E"/>
    <w:rsid w:val="00616407"/>
    <w:rsid w:val="006169A6"/>
    <w:rsid w:val="00616B98"/>
    <w:rsid w:val="00616F05"/>
    <w:rsid w:val="00617085"/>
    <w:rsid w:val="006174FC"/>
    <w:rsid w:val="00617716"/>
    <w:rsid w:val="00617749"/>
    <w:rsid w:val="006179F0"/>
    <w:rsid w:val="00617A7C"/>
    <w:rsid w:val="00617BA7"/>
    <w:rsid w:val="00617C72"/>
    <w:rsid w:val="00617CF8"/>
    <w:rsid w:val="0062002C"/>
    <w:rsid w:val="0062032D"/>
    <w:rsid w:val="00620C81"/>
    <w:rsid w:val="00620EBA"/>
    <w:rsid w:val="006213E1"/>
    <w:rsid w:val="00621494"/>
    <w:rsid w:val="006214D2"/>
    <w:rsid w:val="006218A3"/>
    <w:rsid w:val="00621DC5"/>
    <w:rsid w:val="00622236"/>
    <w:rsid w:val="006222C5"/>
    <w:rsid w:val="006223BD"/>
    <w:rsid w:val="0062265D"/>
    <w:rsid w:val="00622970"/>
    <w:rsid w:val="006229FB"/>
    <w:rsid w:val="00622C87"/>
    <w:rsid w:val="00622CA2"/>
    <w:rsid w:val="006231A7"/>
    <w:rsid w:val="00623213"/>
    <w:rsid w:val="006234AD"/>
    <w:rsid w:val="0062356B"/>
    <w:rsid w:val="00623573"/>
    <w:rsid w:val="0062394B"/>
    <w:rsid w:val="00623E62"/>
    <w:rsid w:val="00623ED6"/>
    <w:rsid w:val="0062488D"/>
    <w:rsid w:val="00624BF9"/>
    <w:rsid w:val="0062502A"/>
    <w:rsid w:val="0062520A"/>
    <w:rsid w:val="00625339"/>
    <w:rsid w:val="006253FA"/>
    <w:rsid w:val="006258B9"/>
    <w:rsid w:val="00625A21"/>
    <w:rsid w:val="00625A6C"/>
    <w:rsid w:val="00625DBB"/>
    <w:rsid w:val="006261DA"/>
    <w:rsid w:val="006263EF"/>
    <w:rsid w:val="006268D3"/>
    <w:rsid w:val="00627212"/>
    <w:rsid w:val="00627406"/>
    <w:rsid w:val="006276EA"/>
    <w:rsid w:val="00627827"/>
    <w:rsid w:val="006279C2"/>
    <w:rsid w:val="00627BBA"/>
    <w:rsid w:val="00627C2C"/>
    <w:rsid w:val="00627E0B"/>
    <w:rsid w:val="00630167"/>
    <w:rsid w:val="00630716"/>
    <w:rsid w:val="00630952"/>
    <w:rsid w:val="00630E3E"/>
    <w:rsid w:val="0063106C"/>
    <w:rsid w:val="00631531"/>
    <w:rsid w:val="006315F7"/>
    <w:rsid w:val="0063187D"/>
    <w:rsid w:val="00631A3E"/>
    <w:rsid w:val="00631BC9"/>
    <w:rsid w:val="00631F14"/>
    <w:rsid w:val="0063206B"/>
    <w:rsid w:val="00632476"/>
    <w:rsid w:val="00632A4C"/>
    <w:rsid w:val="006331B8"/>
    <w:rsid w:val="006331DE"/>
    <w:rsid w:val="006332A9"/>
    <w:rsid w:val="006333BA"/>
    <w:rsid w:val="006333F0"/>
    <w:rsid w:val="00633405"/>
    <w:rsid w:val="0063351D"/>
    <w:rsid w:val="00633C34"/>
    <w:rsid w:val="0063468D"/>
    <w:rsid w:val="00634E12"/>
    <w:rsid w:val="00635351"/>
    <w:rsid w:val="006353EB"/>
    <w:rsid w:val="00635484"/>
    <w:rsid w:val="0063576F"/>
    <w:rsid w:val="0063592C"/>
    <w:rsid w:val="006360FE"/>
    <w:rsid w:val="006367CE"/>
    <w:rsid w:val="00636814"/>
    <w:rsid w:val="0063698F"/>
    <w:rsid w:val="00636BE7"/>
    <w:rsid w:val="0063716E"/>
    <w:rsid w:val="00637728"/>
    <w:rsid w:val="0063773A"/>
    <w:rsid w:val="0063778C"/>
    <w:rsid w:val="00637A25"/>
    <w:rsid w:val="006404D6"/>
    <w:rsid w:val="00640730"/>
    <w:rsid w:val="0064087D"/>
    <w:rsid w:val="0064095E"/>
    <w:rsid w:val="00640B79"/>
    <w:rsid w:val="00640FE2"/>
    <w:rsid w:val="0064135E"/>
    <w:rsid w:val="00641674"/>
    <w:rsid w:val="006417FA"/>
    <w:rsid w:val="00641A6E"/>
    <w:rsid w:val="00641AD7"/>
    <w:rsid w:val="00641D6F"/>
    <w:rsid w:val="00642554"/>
    <w:rsid w:val="00642A0B"/>
    <w:rsid w:val="00642A90"/>
    <w:rsid w:val="00642E4F"/>
    <w:rsid w:val="00643405"/>
    <w:rsid w:val="00643806"/>
    <w:rsid w:val="00644814"/>
    <w:rsid w:val="00644B93"/>
    <w:rsid w:val="00644FF2"/>
    <w:rsid w:val="006455C2"/>
    <w:rsid w:val="00645646"/>
    <w:rsid w:val="0064571E"/>
    <w:rsid w:val="00645AFA"/>
    <w:rsid w:val="00645C67"/>
    <w:rsid w:val="00645E51"/>
    <w:rsid w:val="00646084"/>
    <w:rsid w:val="006460E3"/>
    <w:rsid w:val="00646502"/>
    <w:rsid w:val="0064686C"/>
    <w:rsid w:val="00646D47"/>
    <w:rsid w:val="00647ECF"/>
    <w:rsid w:val="00647F3F"/>
    <w:rsid w:val="00647FE5"/>
    <w:rsid w:val="006507EC"/>
    <w:rsid w:val="00650B1C"/>
    <w:rsid w:val="00650B76"/>
    <w:rsid w:val="006510FB"/>
    <w:rsid w:val="0065134C"/>
    <w:rsid w:val="00651446"/>
    <w:rsid w:val="006514A3"/>
    <w:rsid w:val="00651E3E"/>
    <w:rsid w:val="00652145"/>
    <w:rsid w:val="006522DD"/>
    <w:rsid w:val="0065247B"/>
    <w:rsid w:val="00652502"/>
    <w:rsid w:val="00652DA2"/>
    <w:rsid w:val="0065315D"/>
    <w:rsid w:val="006532B1"/>
    <w:rsid w:val="00653356"/>
    <w:rsid w:val="00653973"/>
    <w:rsid w:val="00653EB7"/>
    <w:rsid w:val="006545C0"/>
    <w:rsid w:val="00655282"/>
    <w:rsid w:val="006552CF"/>
    <w:rsid w:val="00655E25"/>
    <w:rsid w:val="00656002"/>
    <w:rsid w:val="00656A0F"/>
    <w:rsid w:val="00656B62"/>
    <w:rsid w:val="006571B4"/>
    <w:rsid w:val="0065738C"/>
    <w:rsid w:val="0065791B"/>
    <w:rsid w:val="00657FD1"/>
    <w:rsid w:val="00660AD9"/>
    <w:rsid w:val="00660C49"/>
    <w:rsid w:val="00660EA8"/>
    <w:rsid w:val="00660F7F"/>
    <w:rsid w:val="00660FF2"/>
    <w:rsid w:val="006611C0"/>
    <w:rsid w:val="00661457"/>
    <w:rsid w:val="00661471"/>
    <w:rsid w:val="00661914"/>
    <w:rsid w:val="00661C07"/>
    <w:rsid w:val="0066210A"/>
    <w:rsid w:val="006621EA"/>
    <w:rsid w:val="006623F6"/>
    <w:rsid w:val="006625B9"/>
    <w:rsid w:val="00662912"/>
    <w:rsid w:val="00662A04"/>
    <w:rsid w:val="00662FA8"/>
    <w:rsid w:val="006631D7"/>
    <w:rsid w:val="0066332B"/>
    <w:rsid w:val="0066339A"/>
    <w:rsid w:val="00663606"/>
    <w:rsid w:val="0066379B"/>
    <w:rsid w:val="0066387C"/>
    <w:rsid w:val="00663E35"/>
    <w:rsid w:val="00664010"/>
    <w:rsid w:val="0066417E"/>
    <w:rsid w:val="006641C5"/>
    <w:rsid w:val="0066446B"/>
    <w:rsid w:val="006645FC"/>
    <w:rsid w:val="0066492F"/>
    <w:rsid w:val="00664C09"/>
    <w:rsid w:val="00664DCF"/>
    <w:rsid w:val="00665023"/>
    <w:rsid w:val="00665102"/>
    <w:rsid w:val="006651DD"/>
    <w:rsid w:val="006652D9"/>
    <w:rsid w:val="0066539A"/>
    <w:rsid w:val="0066551D"/>
    <w:rsid w:val="0066569C"/>
    <w:rsid w:val="006656E5"/>
    <w:rsid w:val="0066596F"/>
    <w:rsid w:val="00665A6F"/>
    <w:rsid w:val="00665B4C"/>
    <w:rsid w:val="006662AF"/>
    <w:rsid w:val="006669DA"/>
    <w:rsid w:val="00666CF7"/>
    <w:rsid w:val="0066706E"/>
    <w:rsid w:val="006670B1"/>
    <w:rsid w:val="006671E2"/>
    <w:rsid w:val="00667478"/>
    <w:rsid w:val="00667875"/>
    <w:rsid w:val="006678BC"/>
    <w:rsid w:val="00667934"/>
    <w:rsid w:val="00667AD5"/>
    <w:rsid w:val="00667E19"/>
    <w:rsid w:val="00667E44"/>
    <w:rsid w:val="00670349"/>
    <w:rsid w:val="0067034F"/>
    <w:rsid w:val="0067040E"/>
    <w:rsid w:val="0067091E"/>
    <w:rsid w:val="00670D4B"/>
    <w:rsid w:val="00670E44"/>
    <w:rsid w:val="006710E5"/>
    <w:rsid w:val="00671568"/>
    <w:rsid w:val="0067168C"/>
    <w:rsid w:val="006716AF"/>
    <w:rsid w:val="0067176F"/>
    <w:rsid w:val="0067191A"/>
    <w:rsid w:val="00671AB4"/>
    <w:rsid w:val="006720C6"/>
    <w:rsid w:val="0067247B"/>
    <w:rsid w:val="0067279F"/>
    <w:rsid w:val="006729F5"/>
    <w:rsid w:val="00672FE7"/>
    <w:rsid w:val="0067325F"/>
    <w:rsid w:val="00673377"/>
    <w:rsid w:val="006733F6"/>
    <w:rsid w:val="006735EC"/>
    <w:rsid w:val="00673607"/>
    <w:rsid w:val="00673944"/>
    <w:rsid w:val="00673F89"/>
    <w:rsid w:val="0067400A"/>
    <w:rsid w:val="00674133"/>
    <w:rsid w:val="00674DF1"/>
    <w:rsid w:val="0067547B"/>
    <w:rsid w:val="0067551D"/>
    <w:rsid w:val="00675AFB"/>
    <w:rsid w:val="00675B44"/>
    <w:rsid w:val="00675D02"/>
    <w:rsid w:val="006764C9"/>
    <w:rsid w:val="006764D7"/>
    <w:rsid w:val="00676784"/>
    <w:rsid w:val="00676C80"/>
    <w:rsid w:val="00676DAB"/>
    <w:rsid w:val="00676DC4"/>
    <w:rsid w:val="00676E63"/>
    <w:rsid w:val="00676FE2"/>
    <w:rsid w:val="00677518"/>
    <w:rsid w:val="00677B39"/>
    <w:rsid w:val="00677D2C"/>
    <w:rsid w:val="00677DD8"/>
    <w:rsid w:val="006804CA"/>
    <w:rsid w:val="00680570"/>
    <w:rsid w:val="00680668"/>
    <w:rsid w:val="00680909"/>
    <w:rsid w:val="00680E5D"/>
    <w:rsid w:val="0068111A"/>
    <w:rsid w:val="00681177"/>
    <w:rsid w:val="0068193D"/>
    <w:rsid w:val="00681ADE"/>
    <w:rsid w:val="00682661"/>
    <w:rsid w:val="006826CE"/>
    <w:rsid w:val="0068287A"/>
    <w:rsid w:val="0068299D"/>
    <w:rsid w:val="00682B52"/>
    <w:rsid w:val="0068314F"/>
    <w:rsid w:val="0068326F"/>
    <w:rsid w:val="00683344"/>
    <w:rsid w:val="006835CE"/>
    <w:rsid w:val="0068362C"/>
    <w:rsid w:val="006837CA"/>
    <w:rsid w:val="00683813"/>
    <w:rsid w:val="00683A55"/>
    <w:rsid w:val="00683A62"/>
    <w:rsid w:val="00683EDC"/>
    <w:rsid w:val="00684624"/>
    <w:rsid w:val="006849FF"/>
    <w:rsid w:val="006852B0"/>
    <w:rsid w:val="00685325"/>
    <w:rsid w:val="006855E5"/>
    <w:rsid w:val="00685803"/>
    <w:rsid w:val="00685CC7"/>
    <w:rsid w:val="00686815"/>
    <w:rsid w:val="00686D08"/>
    <w:rsid w:val="006871BA"/>
    <w:rsid w:val="00687AAA"/>
    <w:rsid w:val="00687DFD"/>
    <w:rsid w:val="00690193"/>
    <w:rsid w:val="006908DB"/>
    <w:rsid w:val="006909B0"/>
    <w:rsid w:val="00690BA6"/>
    <w:rsid w:val="00690DCD"/>
    <w:rsid w:val="00691756"/>
    <w:rsid w:val="00691979"/>
    <w:rsid w:val="00691AC1"/>
    <w:rsid w:val="00691BEE"/>
    <w:rsid w:val="006929AF"/>
    <w:rsid w:val="00692F08"/>
    <w:rsid w:val="00693162"/>
    <w:rsid w:val="00693306"/>
    <w:rsid w:val="00693416"/>
    <w:rsid w:val="00693747"/>
    <w:rsid w:val="00693908"/>
    <w:rsid w:val="00693BE6"/>
    <w:rsid w:val="00693C7A"/>
    <w:rsid w:val="006941DB"/>
    <w:rsid w:val="00694455"/>
    <w:rsid w:val="0069472A"/>
    <w:rsid w:val="00694F9D"/>
    <w:rsid w:val="006951C4"/>
    <w:rsid w:val="006955E6"/>
    <w:rsid w:val="00695F3C"/>
    <w:rsid w:val="006960E9"/>
    <w:rsid w:val="00696A10"/>
    <w:rsid w:val="00696B7F"/>
    <w:rsid w:val="00696BE9"/>
    <w:rsid w:val="006970D5"/>
    <w:rsid w:val="00697577"/>
    <w:rsid w:val="006978F2"/>
    <w:rsid w:val="00697FA0"/>
    <w:rsid w:val="00697FE2"/>
    <w:rsid w:val="006A026E"/>
    <w:rsid w:val="006A05DE"/>
    <w:rsid w:val="006A0AA1"/>
    <w:rsid w:val="006A0CC8"/>
    <w:rsid w:val="006A0E51"/>
    <w:rsid w:val="006A104C"/>
    <w:rsid w:val="006A1674"/>
    <w:rsid w:val="006A1691"/>
    <w:rsid w:val="006A172A"/>
    <w:rsid w:val="006A18CA"/>
    <w:rsid w:val="006A18D7"/>
    <w:rsid w:val="006A2243"/>
    <w:rsid w:val="006A2539"/>
    <w:rsid w:val="006A289A"/>
    <w:rsid w:val="006A2D4B"/>
    <w:rsid w:val="006A2E16"/>
    <w:rsid w:val="006A3211"/>
    <w:rsid w:val="006A3926"/>
    <w:rsid w:val="006A39C1"/>
    <w:rsid w:val="006A3A94"/>
    <w:rsid w:val="006A3E9B"/>
    <w:rsid w:val="006A4A71"/>
    <w:rsid w:val="006A4E0A"/>
    <w:rsid w:val="006A541D"/>
    <w:rsid w:val="006A5722"/>
    <w:rsid w:val="006A58FD"/>
    <w:rsid w:val="006A5A1D"/>
    <w:rsid w:val="006A5AF9"/>
    <w:rsid w:val="006A5FBB"/>
    <w:rsid w:val="006A605B"/>
    <w:rsid w:val="006A6889"/>
    <w:rsid w:val="006A6F4A"/>
    <w:rsid w:val="006A75F3"/>
    <w:rsid w:val="006A7B8A"/>
    <w:rsid w:val="006B0067"/>
    <w:rsid w:val="006B0359"/>
    <w:rsid w:val="006B035D"/>
    <w:rsid w:val="006B0469"/>
    <w:rsid w:val="006B054C"/>
    <w:rsid w:val="006B05FB"/>
    <w:rsid w:val="006B0A34"/>
    <w:rsid w:val="006B0FC1"/>
    <w:rsid w:val="006B1400"/>
    <w:rsid w:val="006B1795"/>
    <w:rsid w:val="006B18BE"/>
    <w:rsid w:val="006B1E29"/>
    <w:rsid w:val="006B1F6D"/>
    <w:rsid w:val="006B20D9"/>
    <w:rsid w:val="006B21A0"/>
    <w:rsid w:val="006B2297"/>
    <w:rsid w:val="006B2589"/>
    <w:rsid w:val="006B2C6C"/>
    <w:rsid w:val="006B37D7"/>
    <w:rsid w:val="006B38DE"/>
    <w:rsid w:val="006B40E6"/>
    <w:rsid w:val="006B4543"/>
    <w:rsid w:val="006B465B"/>
    <w:rsid w:val="006B4780"/>
    <w:rsid w:val="006B48EE"/>
    <w:rsid w:val="006B4BBE"/>
    <w:rsid w:val="006B4F3A"/>
    <w:rsid w:val="006B5177"/>
    <w:rsid w:val="006B556C"/>
    <w:rsid w:val="006B563F"/>
    <w:rsid w:val="006B56C5"/>
    <w:rsid w:val="006B581F"/>
    <w:rsid w:val="006B5AE2"/>
    <w:rsid w:val="006B5CF7"/>
    <w:rsid w:val="006B5E3A"/>
    <w:rsid w:val="006B62A6"/>
    <w:rsid w:val="006B653F"/>
    <w:rsid w:val="006B6884"/>
    <w:rsid w:val="006B692C"/>
    <w:rsid w:val="006B6B54"/>
    <w:rsid w:val="006B6CF7"/>
    <w:rsid w:val="006B6EAB"/>
    <w:rsid w:val="006B71ED"/>
    <w:rsid w:val="006B72D1"/>
    <w:rsid w:val="006B7313"/>
    <w:rsid w:val="006B73BD"/>
    <w:rsid w:val="006B743D"/>
    <w:rsid w:val="006B774D"/>
    <w:rsid w:val="006B7CDF"/>
    <w:rsid w:val="006B7D4C"/>
    <w:rsid w:val="006B7DAF"/>
    <w:rsid w:val="006C0549"/>
    <w:rsid w:val="006C0582"/>
    <w:rsid w:val="006C120F"/>
    <w:rsid w:val="006C1796"/>
    <w:rsid w:val="006C18D5"/>
    <w:rsid w:val="006C19FB"/>
    <w:rsid w:val="006C1A38"/>
    <w:rsid w:val="006C1B58"/>
    <w:rsid w:val="006C1E39"/>
    <w:rsid w:val="006C1F83"/>
    <w:rsid w:val="006C244C"/>
    <w:rsid w:val="006C269D"/>
    <w:rsid w:val="006C27A3"/>
    <w:rsid w:val="006C300F"/>
    <w:rsid w:val="006C32FC"/>
    <w:rsid w:val="006C330E"/>
    <w:rsid w:val="006C35F5"/>
    <w:rsid w:val="006C3619"/>
    <w:rsid w:val="006C362A"/>
    <w:rsid w:val="006C41DA"/>
    <w:rsid w:val="006C4313"/>
    <w:rsid w:val="006C46A1"/>
    <w:rsid w:val="006C4A9B"/>
    <w:rsid w:val="006C4AF7"/>
    <w:rsid w:val="006C5144"/>
    <w:rsid w:val="006C55BE"/>
    <w:rsid w:val="006C5642"/>
    <w:rsid w:val="006C5699"/>
    <w:rsid w:val="006C5728"/>
    <w:rsid w:val="006C5755"/>
    <w:rsid w:val="006C58DF"/>
    <w:rsid w:val="006C65E1"/>
    <w:rsid w:val="006C66A1"/>
    <w:rsid w:val="006C67B8"/>
    <w:rsid w:val="006C694E"/>
    <w:rsid w:val="006C698C"/>
    <w:rsid w:val="006C6B0E"/>
    <w:rsid w:val="006C762C"/>
    <w:rsid w:val="006C7A7B"/>
    <w:rsid w:val="006C7A7C"/>
    <w:rsid w:val="006C7AD3"/>
    <w:rsid w:val="006C7B6B"/>
    <w:rsid w:val="006C7C87"/>
    <w:rsid w:val="006C7CA6"/>
    <w:rsid w:val="006C7E07"/>
    <w:rsid w:val="006C7F87"/>
    <w:rsid w:val="006C7FC0"/>
    <w:rsid w:val="006D07A0"/>
    <w:rsid w:val="006D0D56"/>
    <w:rsid w:val="006D0E44"/>
    <w:rsid w:val="006D11EF"/>
    <w:rsid w:val="006D1A57"/>
    <w:rsid w:val="006D1D80"/>
    <w:rsid w:val="006D1EAD"/>
    <w:rsid w:val="006D23CE"/>
    <w:rsid w:val="006D2495"/>
    <w:rsid w:val="006D25D6"/>
    <w:rsid w:val="006D28F5"/>
    <w:rsid w:val="006D2D3D"/>
    <w:rsid w:val="006D3035"/>
    <w:rsid w:val="006D3041"/>
    <w:rsid w:val="006D32DD"/>
    <w:rsid w:val="006D36D0"/>
    <w:rsid w:val="006D3736"/>
    <w:rsid w:val="006D37FC"/>
    <w:rsid w:val="006D3C66"/>
    <w:rsid w:val="006D3C7B"/>
    <w:rsid w:val="006D3D98"/>
    <w:rsid w:val="006D3DA4"/>
    <w:rsid w:val="006D3E3D"/>
    <w:rsid w:val="006D4067"/>
    <w:rsid w:val="006D42F0"/>
    <w:rsid w:val="006D467F"/>
    <w:rsid w:val="006D4B98"/>
    <w:rsid w:val="006D4F46"/>
    <w:rsid w:val="006D503E"/>
    <w:rsid w:val="006D50BC"/>
    <w:rsid w:val="006D56A2"/>
    <w:rsid w:val="006D5711"/>
    <w:rsid w:val="006D5A98"/>
    <w:rsid w:val="006D5B35"/>
    <w:rsid w:val="006D5D56"/>
    <w:rsid w:val="006D5FF3"/>
    <w:rsid w:val="006D6127"/>
    <w:rsid w:val="006D63A3"/>
    <w:rsid w:val="006D67DB"/>
    <w:rsid w:val="006D68F5"/>
    <w:rsid w:val="006D6B74"/>
    <w:rsid w:val="006D71DA"/>
    <w:rsid w:val="006D7523"/>
    <w:rsid w:val="006D79DD"/>
    <w:rsid w:val="006D7A74"/>
    <w:rsid w:val="006D7EA7"/>
    <w:rsid w:val="006D7EA8"/>
    <w:rsid w:val="006E09A9"/>
    <w:rsid w:val="006E0C6E"/>
    <w:rsid w:val="006E0E0E"/>
    <w:rsid w:val="006E0F6A"/>
    <w:rsid w:val="006E1086"/>
    <w:rsid w:val="006E1406"/>
    <w:rsid w:val="006E1431"/>
    <w:rsid w:val="006E146E"/>
    <w:rsid w:val="006E1F6B"/>
    <w:rsid w:val="006E21CE"/>
    <w:rsid w:val="006E21DE"/>
    <w:rsid w:val="006E29B3"/>
    <w:rsid w:val="006E2E00"/>
    <w:rsid w:val="006E3465"/>
    <w:rsid w:val="006E3674"/>
    <w:rsid w:val="006E3679"/>
    <w:rsid w:val="006E3755"/>
    <w:rsid w:val="006E3CDC"/>
    <w:rsid w:val="006E4516"/>
    <w:rsid w:val="006E4664"/>
    <w:rsid w:val="006E4BD1"/>
    <w:rsid w:val="006E4DD2"/>
    <w:rsid w:val="006E5147"/>
    <w:rsid w:val="006E52B9"/>
    <w:rsid w:val="006E5A7E"/>
    <w:rsid w:val="006E5CB4"/>
    <w:rsid w:val="006E5E74"/>
    <w:rsid w:val="006E5EBE"/>
    <w:rsid w:val="006E65E8"/>
    <w:rsid w:val="006E6B05"/>
    <w:rsid w:val="006E7420"/>
    <w:rsid w:val="006E74BE"/>
    <w:rsid w:val="006E7593"/>
    <w:rsid w:val="006E7F6C"/>
    <w:rsid w:val="006F008F"/>
    <w:rsid w:val="006F1147"/>
    <w:rsid w:val="006F1596"/>
    <w:rsid w:val="006F1904"/>
    <w:rsid w:val="006F224B"/>
    <w:rsid w:val="006F26F2"/>
    <w:rsid w:val="006F288B"/>
    <w:rsid w:val="006F2B27"/>
    <w:rsid w:val="006F2F6C"/>
    <w:rsid w:val="006F31FB"/>
    <w:rsid w:val="006F342D"/>
    <w:rsid w:val="006F350A"/>
    <w:rsid w:val="006F39E8"/>
    <w:rsid w:val="006F3C61"/>
    <w:rsid w:val="006F4176"/>
    <w:rsid w:val="006F4363"/>
    <w:rsid w:val="006F48C3"/>
    <w:rsid w:val="006F4B67"/>
    <w:rsid w:val="006F52D3"/>
    <w:rsid w:val="006F5363"/>
    <w:rsid w:val="006F5C30"/>
    <w:rsid w:val="006F6225"/>
    <w:rsid w:val="006F6932"/>
    <w:rsid w:val="006F693E"/>
    <w:rsid w:val="006F6AFE"/>
    <w:rsid w:val="006F6D57"/>
    <w:rsid w:val="006F6DD3"/>
    <w:rsid w:val="006F6F10"/>
    <w:rsid w:val="006F7792"/>
    <w:rsid w:val="006F779E"/>
    <w:rsid w:val="006F7CCE"/>
    <w:rsid w:val="006F7F44"/>
    <w:rsid w:val="007004EB"/>
    <w:rsid w:val="00700950"/>
    <w:rsid w:val="00700D21"/>
    <w:rsid w:val="00700D24"/>
    <w:rsid w:val="00701144"/>
    <w:rsid w:val="007013CE"/>
    <w:rsid w:val="00701801"/>
    <w:rsid w:val="007018B4"/>
    <w:rsid w:val="00701921"/>
    <w:rsid w:val="00701B4D"/>
    <w:rsid w:val="00701DB7"/>
    <w:rsid w:val="00701E94"/>
    <w:rsid w:val="00701F5F"/>
    <w:rsid w:val="007024E2"/>
    <w:rsid w:val="00702C1F"/>
    <w:rsid w:val="00703127"/>
    <w:rsid w:val="0070346C"/>
    <w:rsid w:val="007039FF"/>
    <w:rsid w:val="00704134"/>
    <w:rsid w:val="00704175"/>
    <w:rsid w:val="00704AA9"/>
    <w:rsid w:val="00704CC3"/>
    <w:rsid w:val="00704F4B"/>
    <w:rsid w:val="00704FC9"/>
    <w:rsid w:val="0070583F"/>
    <w:rsid w:val="00705A19"/>
    <w:rsid w:val="00705B5C"/>
    <w:rsid w:val="00705C79"/>
    <w:rsid w:val="00705F69"/>
    <w:rsid w:val="00706284"/>
    <w:rsid w:val="00706968"/>
    <w:rsid w:val="00707102"/>
    <w:rsid w:val="0070733A"/>
    <w:rsid w:val="00707C4A"/>
    <w:rsid w:val="00707F7B"/>
    <w:rsid w:val="0071008A"/>
    <w:rsid w:val="007104F9"/>
    <w:rsid w:val="007105F2"/>
    <w:rsid w:val="00710696"/>
    <w:rsid w:val="0071076E"/>
    <w:rsid w:val="00710894"/>
    <w:rsid w:val="007108BC"/>
    <w:rsid w:val="00710A6F"/>
    <w:rsid w:val="00710B03"/>
    <w:rsid w:val="007116A3"/>
    <w:rsid w:val="00711B6D"/>
    <w:rsid w:val="0071253C"/>
    <w:rsid w:val="00712AD4"/>
    <w:rsid w:val="00712CA1"/>
    <w:rsid w:val="007130C5"/>
    <w:rsid w:val="00713152"/>
    <w:rsid w:val="007134CE"/>
    <w:rsid w:val="00713BF3"/>
    <w:rsid w:val="00713BF5"/>
    <w:rsid w:val="00713D6A"/>
    <w:rsid w:val="00713F5F"/>
    <w:rsid w:val="00713F8E"/>
    <w:rsid w:val="007143C8"/>
    <w:rsid w:val="00714496"/>
    <w:rsid w:val="007145A6"/>
    <w:rsid w:val="0071464B"/>
    <w:rsid w:val="00714E67"/>
    <w:rsid w:val="00714E88"/>
    <w:rsid w:val="007151E1"/>
    <w:rsid w:val="007158B9"/>
    <w:rsid w:val="00715DF8"/>
    <w:rsid w:val="007164E2"/>
    <w:rsid w:val="0071660A"/>
    <w:rsid w:val="00716687"/>
    <w:rsid w:val="0071691D"/>
    <w:rsid w:val="0071693C"/>
    <w:rsid w:val="007170F7"/>
    <w:rsid w:val="007172D5"/>
    <w:rsid w:val="00717345"/>
    <w:rsid w:val="00717373"/>
    <w:rsid w:val="007173AB"/>
    <w:rsid w:val="00717D93"/>
    <w:rsid w:val="00717DE5"/>
    <w:rsid w:val="007206DF"/>
    <w:rsid w:val="00720B2C"/>
    <w:rsid w:val="00720F0E"/>
    <w:rsid w:val="0072143B"/>
    <w:rsid w:val="0072148A"/>
    <w:rsid w:val="00721625"/>
    <w:rsid w:val="007218A0"/>
    <w:rsid w:val="00721FCF"/>
    <w:rsid w:val="00722679"/>
    <w:rsid w:val="0072362E"/>
    <w:rsid w:val="0072380E"/>
    <w:rsid w:val="0072386F"/>
    <w:rsid w:val="00723EAF"/>
    <w:rsid w:val="007244CE"/>
    <w:rsid w:val="00724ABC"/>
    <w:rsid w:val="007251B9"/>
    <w:rsid w:val="0072523C"/>
    <w:rsid w:val="0072552C"/>
    <w:rsid w:val="007256A6"/>
    <w:rsid w:val="00725E53"/>
    <w:rsid w:val="007260A6"/>
    <w:rsid w:val="007262EB"/>
    <w:rsid w:val="00726363"/>
    <w:rsid w:val="00726ACE"/>
    <w:rsid w:val="007272F5"/>
    <w:rsid w:val="00727341"/>
    <w:rsid w:val="00727415"/>
    <w:rsid w:val="0072745A"/>
    <w:rsid w:val="007276AB"/>
    <w:rsid w:val="00727833"/>
    <w:rsid w:val="00727927"/>
    <w:rsid w:val="0073022E"/>
    <w:rsid w:val="007303C3"/>
    <w:rsid w:val="007304EC"/>
    <w:rsid w:val="00730685"/>
    <w:rsid w:val="007308C8"/>
    <w:rsid w:val="00730C58"/>
    <w:rsid w:val="0073143D"/>
    <w:rsid w:val="00731545"/>
    <w:rsid w:val="00731AF0"/>
    <w:rsid w:val="0073242F"/>
    <w:rsid w:val="007325BA"/>
    <w:rsid w:val="007327C7"/>
    <w:rsid w:val="00732952"/>
    <w:rsid w:val="00732B34"/>
    <w:rsid w:val="00732BDE"/>
    <w:rsid w:val="00732EC3"/>
    <w:rsid w:val="00733313"/>
    <w:rsid w:val="007337AA"/>
    <w:rsid w:val="007337B2"/>
    <w:rsid w:val="00733CAD"/>
    <w:rsid w:val="00733CC3"/>
    <w:rsid w:val="00733F15"/>
    <w:rsid w:val="007340D4"/>
    <w:rsid w:val="00734332"/>
    <w:rsid w:val="007343E2"/>
    <w:rsid w:val="00734696"/>
    <w:rsid w:val="00734CD2"/>
    <w:rsid w:val="00734E3D"/>
    <w:rsid w:val="007351BE"/>
    <w:rsid w:val="00735390"/>
    <w:rsid w:val="0073555C"/>
    <w:rsid w:val="0073564C"/>
    <w:rsid w:val="00735892"/>
    <w:rsid w:val="00735945"/>
    <w:rsid w:val="00735A59"/>
    <w:rsid w:val="00736EE0"/>
    <w:rsid w:val="00737811"/>
    <w:rsid w:val="0074063D"/>
    <w:rsid w:val="00740646"/>
    <w:rsid w:val="0074074A"/>
    <w:rsid w:val="00740C6D"/>
    <w:rsid w:val="00740CE9"/>
    <w:rsid w:val="007411CB"/>
    <w:rsid w:val="007417A2"/>
    <w:rsid w:val="007418E6"/>
    <w:rsid w:val="00741F75"/>
    <w:rsid w:val="007424EC"/>
    <w:rsid w:val="007426EA"/>
    <w:rsid w:val="007427CE"/>
    <w:rsid w:val="007429AF"/>
    <w:rsid w:val="00743498"/>
    <w:rsid w:val="00743540"/>
    <w:rsid w:val="00743FFD"/>
    <w:rsid w:val="00744022"/>
    <w:rsid w:val="0074424D"/>
    <w:rsid w:val="0074440E"/>
    <w:rsid w:val="00744415"/>
    <w:rsid w:val="007445B8"/>
    <w:rsid w:val="00744E3A"/>
    <w:rsid w:val="00744E6B"/>
    <w:rsid w:val="00745280"/>
    <w:rsid w:val="00745851"/>
    <w:rsid w:val="00745D7B"/>
    <w:rsid w:val="00745DA7"/>
    <w:rsid w:val="007478E5"/>
    <w:rsid w:val="00747982"/>
    <w:rsid w:val="00747DB7"/>
    <w:rsid w:val="00747EF9"/>
    <w:rsid w:val="007500CD"/>
    <w:rsid w:val="0075043B"/>
    <w:rsid w:val="0075091E"/>
    <w:rsid w:val="00750C40"/>
    <w:rsid w:val="00750F3B"/>
    <w:rsid w:val="00751082"/>
    <w:rsid w:val="007510BD"/>
    <w:rsid w:val="00751182"/>
    <w:rsid w:val="00751243"/>
    <w:rsid w:val="0075177A"/>
    <w:rsid w:val="007518E9"/>
    <w:rsid w:val="00751FC2"/>
    <w:rsid w:val="007522B9"/>
    <w:rsid w:val="007523C0"/>
    <w:rsid w:val="0075262F"/>
    <w:rsid w:val="00752730"/>
    <w:rsid w:val="00752C9D"/>
    <w:rsid w:val="00752CE3"/>
    <w:rsid w:val="00752D30"/>
    <w:rsid w:val="0075315F"/>
    <w:rsid w:val="007538C7"/>
    <w:rsid w:val="00753A52"/>
    <w:rsid w:val="00753DB5"/>
    <w:rsid w:val="00753E6A"/>
    <w:rsid w:val="00753FB8"/>
    <w:rsid w:val="007548BF"/>
    <w:rsid w:val="007552EB"/>
    <w:rsid w:val="007555E1"/>
    <w:rsid w:val="00755600"/>
    <w:rsid w:val="00755962"/>
    <w:rsid w:val="007560F7"/>
    <w:rsid w:val="00756ACA"/>
    <w:rsid w:val="00756D6C"/>
    <w:rsid w:val="00756E53"/>
    <w:rsid w:val="0075758B"/>
    <w:rsid w:val="00757DE7"/>
    <w:rsid w:val="00757F42"/>
    <w:rsid w:val="007604A2"/>
    <w:rsid w:val="00760B5A"/>
    <w:rsid w:val="0076106E"/>
    <w:rsid w:val="007610E4"/>
    <w:rsid w:val="007611A1"/>
    <w:rsid w:val="00761549"/>
    <w:rsid w:val="00761DAF"/>
    <w:rsid w:val="007627C2"/>
    <w:rsid w:val="007629B3"/>
    <w:rsid w:val="00762C0B"/>
    <w:rsid w:val="00762EB9"/>
    <w:rsid w:val="00763156"/>
    <w:rsid w:val="0076334A"/>
    <w:rsid w:val="0076363A"/>
    <w:rsid w:val="00763679"/>
    <w:rsid w:val="00763ACE"/>
    <w:rsid w:val="00763CDF"/>
    <w:rsid w:val="007644FF"/>
    <w:rsid w:val="00764595"/>
    <w:rsid w:val="0076460E"/>
    <w:rsid w:val="0076469F"/>
    <w:rsid w:val="00764CFD"/>
    <w:rsid w:val="007657EF"/>
    <w:rsid w:val="00765AB9"/>
    <w:rsid w:val="00765B90"/>
    <w:rsid w:val="0076619B"/>
    <w:rsid w:val="007666B4"/>
    <w:rsid w:val="00766E4F"/>
    <w:rsid w:val="0076760D"/>
    <w:rsid w:val="00767AB9"/>
    <w:rsid w:val="00767F00"/>
    <w:rsid w:val="0077061F"/>
    <w:rsid w:val="007709FB"/>
    <w:rsid w:val="00770F08"/>
    <w:rsid w:val="00770FB5"/>
    <w:rsid w:val="00771031"/>
    <w:rsid w:val="00771095"/>
    <w:rsid w:val="0077153E"/>
    <w:rsid w:val="0077190C"/>
    <w:rsid w:val="00771A15"/>
    <w:rsid w:val="00771CFC"/>
    <w:rsid w:val="007720FA"/>
    <w:rsid w:val="007724C3"/>
    <w:rsid w:val="00772882"/>
    <w:rsid w:val="00772A3B"/>
    <w:rsid w:val="00772ED9"/>
    <w:rsid w:val="0077350F"/>
    <w:rsid w:val="00773777"/>
    <w:rsid w:val="00773877"/>
    <w:rsid w:val="0077399D"/>
    <w:rsid w:val="007739F6"/>
    <w:rsid w:val="00773E4C"/>
    <w:rsid w:val="00773F42"/>
    <w:rsid w:val="0077409D"/>
    <w:rsid w:val="00774DAA"/>
    <w:rsid w:val="0077501C"/>
    <w:rsid w:val="00775682"/>
    <w:rsid w:val="00775898"/>
    <w:rsid w:val="007759DD"/>
    <w:rsid w:val="00775EA4"/>
    <w:rsid w:val="007760A7"/>
    <w:rsid w:val="00776236"/>
    <w:rsid w:val="007766D0"/>
    <w:rsid w:val="00776725"/>
    <w:rsid w:val="0077672A"/>
    <w:rsid w:val="007769A3"/>
    <w:rsid w:val="00776EE8"/>
    <w:rsid w:val="00777E65"/>
    <w:rsid w:val="00777FFB"/>
    <w:rsid w:val="007801C1"/>
    <w:rsid w:val="007805DA"/>
    <w:rsid w:val="00780828"/>
    <w:rsid w:val="00780D9B"/>
    <w:rsid w:val="007810F5"/>
    <w:rsid w:val="007811FE"/>
    <w:rsid w:val="00781327"/>
    <w:rsid w:val="00781711"/>
    <w:rsid w:val="007818E4"/>
    <w:rsid w:val="00781C2E"/>
    <w:rsid w:val="00781E11"/>
    <w:rsid w:val="00782338"/>
    <w:rsid w:val="0078244A"/>
    <w:rsid w:val="00782504"/>
    <w:rsid w:val="007825EB"/>
    <w:rsid w:val="0078278D"/>
    <w:rsid w:val="00782848"/>
    <w:rsid w:val="00782A5F"/>
    <w:rsid w:val="00782AA2"/>
    <w:rsid w:val="00782CC0"/>
    <w:rsid w:val="00782EBD"/>
    <w:rsid w:val="00783700"/>
    <w:rsid w:val="0078384C"/>
    <w:rsid w:val="00783895"/>
    <w:rsid w:val="0078391F"/>
    <w:rsid w:val="00784135"/>
    <w:rsid w:val="00784DED"/>
    <w:rsid w:val="00784E43"/>
    <w:rsid w:val="007857FE"/>
    <w:rsid w:val="00785C10"/>
    <w:rsid w:val="0078677F"/>
    <w:rsid w:val="007867E1"/>
    <w:rsid w:val="0078691B"/>
    <w:rsid w:val="00786A01"/>
    <w:rsid w:val="00786D0B"/>
    <w:rsid w:val="007873BB"/>
    <w:rsid w:val="007874F9"/>
    <w:rsid w:val="007877CF"/>
    <w:rsid w:val="00787A66"/>
    <w:rsid w:val="0079007D"/>
    <w:rsid w:val="00790158"/>
    <w:rsid w:val="0079033B"/>
    <w:rsid w:val="0079041D"/>
    <w:rsid w:val="007907D2"/>
    <w:rsid w:val="00790B60"/>
    <w:rsid w:val="00790C1E"/>
    <w:rsid w:val="00790D6B"/>
    <w:rsid w:val="00790FCD"/>
    <w:rsid w:val="00791375"/>
    <w:rsid w:val="00791817"/>
    <w:rsid w:val="00791A35"/>
    <w:rsid w:val="00791C13"/>
    <w:rsid w:val="00791DB6"/>
    <w:rsid w:val="00791FDC"/>
    <w:rsid w:val="00792113"/>
    <w:rsid w:val="007923DA"/>
    <w:rsid w:val="00792A85"/>
    <w:rsid w:val="00792B3C"/>
    <w:rsid w:val="0079347E"/>
    <w:rsid w:val="0079362E"/>
    <w:rsid w:val="00793A57"/>
    <w:rsid w:val="00793D33"/>
    <w:rsid w:val="00793EA4"/>
    <w:rsid w:val="00794048"/>
    <w:rsid w:val="007942C4"/>
    <w:rsid w:val="00794303"/>
    <w:rsid w:val="007943D3"/>
    <w:rsid w:val="007944B9"/>
    <w:rsid w:val="0079498E"/>
    <w:rsid w:val="00795153"/>
    <w:rsid w:val="00795415"/>
    <w:rsid w:val="00795AD0"/>
    <w:rsid w:val="00795B4D"/>
    <w:rsid w:val="00795C98"/>
    <w:rsid w:val="00795FA5"/>
    <w:rsid w:val="007961A0"/>
    <w:rsid w:val="0079677E"/>
    <w:rsid w:val="00796AA7"/>
    <w:rsid w:val="0079708D"/>
    <w:rsid w:val="007972FE"/>
    <w:rsid w:val="007973EE"/>
    <w:rsid w:val="00797409"/>
    <w:rsid w:val="00797928"/>
    <w:rsid w:val="00797A9F"/>
    <w:rsid w:val="00797C2D"/>
    <w:rsid w:val="00797CB4"/>
    <w:rsid w:val="00797CCA"/>
    <w:rsid w:val="00797E09"/>
    <w:rsid w:val="007A0069"/>
    <w:rsid w:val="007A036E"/>
    <w:rsid w:val="007A0AC7"/>
    <w:rsid w:val="007A0DBE"/>
    <w:rsid w:val="007A0E59"/>
    <w:rsid w:val="007A0F3F"/>
    <w:rsid w:val="007A1210"/>
    <w:rsid w:val="007A152F"/>
    <w:rsid w:val="007A1AFD"/>
    <w:rsid w:val="007A2082"/>
    <w:rsid w:val="007A21F1"/>
    <w:rsid w:val="007A260A"/>
    <w:rsid w:val="007A28D4"/>
    <w:rsid w:val="007A296F"/>
    <w:rsid w:val="007A2FA9"/>
    <w:rsid w:val="007A34C3"/>
    <w:rsid w:val="007A380F"/>
    <w:rsid w:val="007A386E"/>
    <w:rsid w:val="007A3DF1"/>
    <w:rsid w:val="007A4033"/>
    <w:rsid w:val="007A4263"/>
    <w:rsid w:val="007A42A5"/>
    <w:rsid w:val="007A47DA"/>
    <w:rsid w:val="007A48CC"/>
    <w:rsid w:val="007A4C37"/>
    <w:rsid w:val="007A4D2A"/>
    <w:rsid w:val="007A5366"/>
    <w:rsid w:val="007A5996"/>
    <w:rsid w:val="007A5C4A"/>
    <w:rsid w:val="007A6031"/>
    <w:rsid w:val="007A62C7"/>
    <w:rsid w:val="007A66D2"/>
    <w:rsid w:val="007A69C3"/>
    <w:rsid w:val="007A6A05"/>
    <w:rsid w:val="007A6B7F"/>
    <w:rsid w:val="007A6D10"/>
    <w:rsid w:val="007B01A8"/>
    <w:rsid w:val="007B0360"/>
    <w:rsid w:val="007B04C6"/>
    <w:rsid w:val="007B0A46"/>
    <w:rsid w:val="007B0C74"/>
    <w:rsid w:val="007B0E96"/>
    <w:rsid w:val="007B0E98"/>
    <w:rsid w:val="007B12A4"/>
    <w:rsid w:val="007B13EA"/>
    <w:rsid w:val="007B140B"/>
    <w:rsid w:val="007B1414"/>
    <w:rsid w:val="007B1431"/>
    <w:rsid w:val="007B1AB7"/>
    <w:rsid w:val="007B1AC1"/>
    <w:rsid w:val="007B247A"/>
    <w:rsid w:val="007B29D9"/>
    <w:rsid w:val="007B29F1"/>
    <w:rsid w:val="007B2A7E"/>
    <w:rsid w:val="007B2AC4"/>
    <w:rsid w:val="007B345C"/>
    <w:rsid w:val="007B3852"/>
    <w:rsid w:val="007B3E03"/>
    <w:rsid w:val="007B420C"/>
    <w:rsid w:val="007B494D"/>
    <w:rsid w:val="007B4BCB"/>
    <w:rsid w:val="007B5155"/>
    <w:rsid w:val="007B5167"/>
    <w:rsid w:val="007B5202"/>
    <w:rsid w:val="007B5247"/>
    <w:rsid w:val="007B5300"/>
    <w:rsid w:val="007B5568"/>
    <w:rsid w:val="007B5698"/>
    <w:rsid w:val="007B5F92"/>
    <w:rsid w:val="007B6066"/>
    <w:rsid w:val="007B60BA"/>
    <w:rsid w:val="007B6A8D"/>
    <w:rsid w:val="007B6C53"/>
    <w:rsid w:val="007B6D56"/>
    <w:rsid w:val="007B6EDB"/>
    <w:rsid w:val="007B7220"/>
    <w:rsid w:val="007B72EC"/>
    <w:rsid w:val="007B7482"/>
    <w:rsid w:val="007B7497"/>
    <w:rsid w:val="007B75E6"/>
    <w:rsid w:val="007B76D7"/>
    <w:rsid w:val="007B7712"/>
    <w:rsid w:val="007B7808"/>
    <w:rsid w:val="007B7D1C"/>
    <w:rsid w:val="007C0144"/>
    <w:rsid w:val="007C04F2"/>
    <w:rsid w:val="007C0BE0"/>
    <w:rsid w:val="007C0BE6"/>
    <w:rsid w:val="007C0C27"/>
    <w:rsid w:val="007C0D80"/>
    <w:rsid w:val="007C12F7"/>
    <w:rsid w:val="007C1376"/>
    <w:rsid w:val="007C1643"/>
    <w:rsid w:val="007C17B4"/>
    <w:rsid w:val="007C183F"/>
    <w:rsid w:val="007C1AE4"/>
    <w:rsid w:val="007C1EA0"/>
    <w:rsid w:val="007C283B"/>
    <w:rsid w:val="007C284F"/>
    <w:rsid w:val="007C2E30"/>
    <w:rsid w:val="007C2E4E"/>
    <w:rsid w:val="007C2EB3"/>
    <w:rsid w:val="007C323B"/>
    <w:rsid w:val="007C3403"/>
    <w:rsid w:val="007C34AD"/>
    <w:rsid w:val="007C3D51"/>
    <w:rsid w:val="007C3DE9"/>
    <w:rsid w:val="007C3E79"/>
    <w:rsid w:val="007C4890"/>
    <w:rsid w:val="007C4B35"/>
    <w:rsid w:val="007C4BC8"/>
    <w:rsid w:val="007C56CB"/>
    <w:rsid w:val="007C589D"/>
    <w:rsid w:val="007C5E48"/>
    <w:rsid w:val="007C5E91"/>
    <w:rsid w:val="007C69F7"/>
    <w:rsid w:val="007C6A64"/>
    <w:rsid w:val="007C6C05"/>
    <w:rsid w:val="007C706E"/>
    <w:rsid w:val="007C7723"/>
    <w:rsid w:val="007C79EB"/>
    <w:rsid w:val="007C7BB4"/>
    <w:rsid w:val="007C7D15"/>
    <w:rsid w:val="007C7FAB"/>
    <w:rsid w:val="007D04C1"/>
    <w:rsid w:val="007D06CE"/>
    <w:rsid w:val="007D06F9"/>
    <w:rsid w:val="007D0D39"/>
    <w:rsid w:val="007D0DE6"/>
    <w:rsid w:val="007D1068"/>
    <w:rsid w:val="007D1402"/>
    <w:rsid w:val="007D15FE"/>
    <w:rsid w:val="007D1735"/>
    <w:rsid w:val="007D17B8"/>
    <w:rsid w:val="007D1D2D"/>
    <w:rsid w:val="007D1E18"/>
    <w:rsid w:val="007D1FBA"/>
    <w:rsid w:val="007D1FFB"/>
    <w:rsid w:val="007D2174"/>
    <w:rsid w:val="007D2420"/>
    <w:rsid w:val="007D24FE"/>
    <w:rsid w:val="007D26C0"/>
    <w:rsid w:val="007D2CF5"/>
    <w:rsid w:val="007D3295"/>
    <w:rsid w:val="007D3349"/>
    <w:rsid w:val="007D3464"/>
    <w:rsid w:val="007D3AA6"/>
    <w:rsid w:val="007D48CB"/>
    <w:rsid w:val="007D4C1C"/>
    <w:rsid w:val="007D5448"/>
    <w:rsid w:val="007D5457"/>
    <w:rsid w:val="007D5671"/>
    <w:rsid w:val="007D58AD"/>
    <w:rsid w:val="007D5BD3"/>
    <w:rsid w:val="007D5F1C"/>
    <w:rsid w:val="007D5F78"/>
    <w:rsid w:val="007D62E2"/>
    <w:rsid w:val="007D6453"/>
    <w:rsid w:val="007D650D"/>
    <w:rsid w:val="007D70A1"/>
    <w:rsid w:val="007D715A"/>
    <w:rsid w:val="007D76D3"/>
    <w:rsid w:val="007D7A72"/>
    <w:rsid w:val="007E0775"/>
    <w:rsid w:val="007E07B0"/>
    <w:rsid w:val="007E0986"/>
    <w:rsid w:val="007E0CC9"/>
    <w:rsid w:val="007E0E93"/>
    <w:rsid w:val="007E105E"/>
    <w:rsid w:val="007E127C"/>
    <w:rsid w:val="007E1F97"/>
    <w:rsid w:val="007E2389"/>
    <w:rsid w:val="007E2896"/>
    <w:rsid w:val="007E299A"/>
    <w:rsid w:val="007E32B3"/>
    <w:rsid w:val="007E3333"/>
    <w:rsid w:val="007E33CA"/>
    <w:rsid w:val="007E3440"/>
    <w:rsid w:val="007E34EF"/>
    <w:rsid w:val="007E3539"/>
    <w:rsid w:val="007E38D6"/>
    <w:rsid w:val="007E39BC"/>
    <w:rsid w:val="007E42D6"/>
    <w:rsid w:val="007E4451"/>
    <w:rsid w:val="007E48A6"/>
    <w:rsid w:val="007E49C2"/>
    <w:rsid w:val="007E50F4"/>
    <w:rsid w:val="007E5C29"/>
    <w:rsid w:val="007E5FF5"/>
    <w:rsid w:val="007E6A88"/>
    <w:rsid w:val="007E6FA7"/>
    <w:rsid w:val="007E736F"/>
    <w:rsid w:val="007E7BE1"/>
    <w:rsid w:val="007E7FD2"/>
    <w:rsid w:val="007F0595"/>
    <w:rsid w:val="007F0603"/>
    <w:rsid w:val="007F0BBD"/>
    <w:rsid w:val="007F0CCB"/>
    <w:rsid w:val="007F167B"/>
    <w:rsid w:val="007F16D7"/>
    <w:rsid w:val="007F1833"/>
    <w:rsid w:val="007F1C4A"/>
    <w:rsid w:val="007F20CC"/>
    <w:rsid w:val="007F210C"/>
    <w:rsid w:val="007F248B"/>
    <w:rsid w:val="007F24B8"/>
    <w:rsid w:val="007F261B"/>
    <w:rsid w:val="007F26FC"/>
    <w:rsid w:val="007F2DFE"/>
    <w:rsid w:val="007F2FA3"/>
    <w:rsid w:val="007F3090"/>
    <w:rsid w:val="007F3428"/>
    <w:rsid w:val="007F35C4"/>
    <w:rsid w:val="007F385C"/>
    <w:rsid w:val="007F398D"/>
    <w:rsid w:val="007F3F87"/>
    <w:rsid w:val="007F4449"/>
    <w:rsid w:val="007F4608"/>
    <w:rsid w:val="007F482F"/>
    <w:rsid w:val="007F4C3D"/>
    <w:rsid w:val="007F4CE6"/>
    <w:rsid w:val="007F5326"/>
    <w:rsid w:val="007F5504"/>
    <w:rsid w:val="007F55DC"/>
    <w:rsid w:val="007F5B85"/>
    <w:rsid w:val="007F5D4E"/>
    <w:rsid w:val="007F5E0E"/>
    <w:rsid w:val="007F631C"/>
    <w:rsid w:val="007F6357"/>
    <w:rsid w:val="007F64CD"/>
    <w:rsid w:val="007F6F3B"/>
    <w:rsid w:val="007F767D"/>
    <w:rsid w:val="007F7DAD"/>
    <w:rsid w:val="007F7DD2"/>
    <w:rsid w:val="00800341"/>
    <w:rsid w:val="00800607"/>
    <w:rsid w:val="00800981"/>
    <w:rsid w:val="00800C58"/>
    <w:rsid w:val="00800ED0"/>
    <w:rsid w:val="00801B6B"/>
    <w:rsid w:val="008028BA"/>
    <w:rsid w:val="00802F5A"/>
    <w:rsid w:val="00803163"/>
    <w:rsid w:val="00803293"/>
    <w:rsid w:val="00803587"/>
    <w:rsid w:val="008037EB"/>
    <w:rsid w:val="008038BD"/>
    <w:rsid w:val="00803B9F"/>
    <w:rsid w:val="00804F83"/>
    <w:rsid w:val="008063FF"/>
    <w:rsid w:val="00806D1D"/>
    <w:rsid w:val="0080701E"/>
    <w:rsid w:val="0080721D"/>
    <w:rsid w:val="008078A3"/>
    <w:rsid w:val="00807D3F"/>
    <w:rsid w:val="00810025"/>
    <w:rsid w:val="00810309"/>
    <w:rsid w:val="00810C82"/>
    <w:rsid w:val="00810DEE"/>
    <w:rsid w:val="00810EC5"/>
    <w:rsid w:val="0081121C"/>
    <w:rsid w:val="00811274"/>
    <w:rsid w:val="00811342"/>
    <w:rsid w:val="00811457"/>
    <w:rsid w:val="00811832"/>
    <w:rsid w:val="00811A24"/>
    <w:rsid w:val="008120A5"/>
    <w:rsid w:val="008127A6"/>
    <w:rsid w:val="00812C35"/>
    <w:rsid w:val="00812CE2"/>
    <w:rsid w:val="00812D05"/>
    <w:rsid w:val="0081372A"/>
    <w:rsid w:val="0081383C"/>
    <w:rsid w:val="00813945"/>
    <w:rsid w:val="00813EA3"/>
    <w:rsid w:val="00814013"/>
    <w:rsid w:val="0081420E"/>
    <w:rsid w:val="0081425C"/>
    <w:rsid w:val="00814513"/>
    <w:rsid w:val="00814B41"/>
    <w:rsid w:val="00814E87"/>
    <w:rsid w:val="00814EBA"/>
    <w:rsid w:val="00815020"/>
    <w:rsid w:val="0081511F"/>
    <w:rsid w:val="00815272"/>
    <w:rsid w:val="008155E9"/>
    <w:rsid w:val="008158CE"/>
    <w:rsid w:val="008158E8"/>
    <w:rsid w:val="00816171"/>
    <w:rsid w:val="008164BF"/>
    <w:rsid w:val="0081653E"/>
    <w:rsid w:val="00816ACC"/>
    <w:rsid w:val="00816DC4"/>
    <w:rsid w:val="008170D1"/>
    <w:rsid w:val="00817286"/>
    <w:rsid w:val="008174EA"/>
    <w:rsid w:val="0081795E"/>
    <w:rsid w:val="00820046"/>
    <w:rsid w:val="0082019A"/>
    <w:rsid w:val="008202C4"/>
    <w:rsid w:val="00820A69"/>
    <w:rsid w:val="00820A72"/>
    <w:rsid w:val="00820D73"/>
    <w:rsid w:val="00820E7C"/>
    <w:rsid w:val="00821252"/>
    <w:rsid w:val="00821888"/>
    <w:rsid w:val="00822BEF"/>
    <w:rsid w:val="00822C4A"/>
    <w:rsid w:val="00822E46"/>
    <w:rsid w:val="00823064"/>
    <w:rsid w:val="0082307D"/>
    <w:rsid w:val="0082323B"/>
    <w:rsid w:val="00823540"/>
    <w:rsid w:val="00823573"/>
    <w:rsid w:val="00823575"/>
    <w:rsid w:val="00823A01"/>
    <w:rsid w:val="00823A05"/>
    <w:rsid w:val="00823E25"/>
    <w:rsid w:val="0082434C"/>
    <w:rsid w:val="008245E8"/>
    <w:rsid w:val="00824886"/>
    <w:rsid w:val="00824912"/>
    <w:rsid w:val="00824AF3"/>
    <w:rsid w:val="008252F0"/>
    <w:rsid w:val="008253F3"/>
    <w:rsid w:val="008255AB"/>
    <w:rsid w:val="00825B4E"/>
    <w:rsid w:val="008267C5"/>
    <w:rsid w:val="00826B0F"/>
    <w:rsid w:val="00826CD5"/>
    <w:rsid w:val="0082724E"/>
    <w:rsid w:val="008274F7"/>
    <w:rsid w:val="008275E8"/>
    <w:rsid w:val="00827EA5"/>
    <w:rsid w:val="008303B2"/>
    <w:rsid w:val="008306A8"/>
    <w:rsid w:val="00830D9A"/>
    <w:rsid w:val="00830F25"/>
    <w:rsid w:val="008316FC"/>
    <w:rsid w:val="00831F86"/>
    <w:rsid w:val="00832292"/>
    <w:rsid w:val="008325D0"/>
    <w:rsid w:val="00832AF2"/>
    <w:rsid w:val="00832E49"/>
    <w:rsid w:val="00832FE4"/>
    <w:rsid w:val="00833450"/>
    <w:rsid w:val="0083358D"/>
    <w:rsid w:val="00833B50"/>
    <w:rsid w:val="00833DB4"/>
    <w:rsid w:val="00833F8D"/>
    <w:rsid w:val="0083406C"/>
    <w:rsid w:val="008342A4"/>
    <w:rsid w:val="00834749"/>
    <w:rsid w:val="008347F6"/>
    <w:rsid w:val="00834E76"/>
    <w:rsid w:val="00834F6B"/>
    <w:rsid w:val="00835172"/>
    <w:rsid w:val="0083553D"/>
    <w:rsid w:val="008358BE"/>
    <w:rsid w:val="008359AE"/>
    <w:rsid w:val="008359C9"/>
    <w:rsid w:val="00835A6E"/>
    <w:rsid w:val="00835E04"/>
    <w:rsid w:val="008364EC"/>
    <w:rsid w:val="00836719"/>
    <w:rsid w:val="008372A4"/>
    <w:rsid w:val="008374EA"/>
    <w:rsid w:val="008377A7"/>
    <w:rsid w:val="00837A45"/>
    <w:rsid w:val="00837E15"/>
    <w:rsid w:val="00840115"/>
    <w:rsid w:val="0084079C"/>
    <w:rsid w:val="00840C51"/>
    <w:rsid w:val="00841111"/>
    <w:rsid w:val="008412FC"/>
    <w:rsid w:val="00841601"/>
    <w:rsid w:val="00841792"/>
    <w:rsid w:val="00841F23"/>
    <w:rsid w:val="0084207B"/>
    <w:rsid w:val="0084221E"/>
    <w:rsid w:val="008426A3"/>
    <w:rsid w:val="008426D0"/>
    <w:rsid w:val="0084287F"/>
    <w:rsid w:val="00842C27"/>
    <w:rsid w:val="00842D11"/>
    <w:rsid w:val="00842DFD"/>
    <w:rsid w:val="0084303D"/>
    <w:rsid w:val="00843302"/>
    <w:rsid w:val="00843389"/>
    <w:rsid w:val="0084378A"/>
    <w:rsid w:val="00843DE7"/>
    <w:rsid w:val="00843E14"/>
    <w:rsid w:val="00844137"/>
    <w:rsid w:val="0084449B"/>
    <w:rsid w:val="0084477E"/>
    <w:rsid w:val="008447B5"/>
    <w:rsid w:val="00844A91"/>
    <w:rsid w:val="00844C47"/>
    <w:rsid w:val="00844E14"/>
    <w:rsid w:val="00844E56"/>
    <w:rsid w:val="00844F25"/>
    <w:rsid w:val="00844F3F"/>
    <w:rsid w:val="008451BA"/>
    <w:rsid w:val="008455BA"/>
    <w:rsid w:val="00845C2A"/>
    <w:rsid w:val="00845EB9"/>
    <w:rsid w:val="008461D8"/>
    <w:rsid w:val="00846249"/>
    <w:rsid w:val="008463A2"/>
    <w:rsid w:val="0084646B"/>
    <w:rsid w:val="00846A32"/>
    <w:rsid w:val="008475F1"/>
    <w:rsid w:val="00847FF9"/>
    <w:rsid w:val="008500A3"/>
    <w:rsid w:val="008500CB"/>
    <w:rsid w:val="00850D5B"/>
    <w:rsid w:val="008519D8"/>
    <w:rsid w:val="00851BEE"/>
    <w:rsid w:val="00851C7A"/>
    <w:rsid w:val="00851F42"/>
    <w:rsid w:val="0085277D"/>
    <w:rsid w:val="00852853"/>
    <w:rsid w:val="00852B34"/>
    <w:rsid w:val="00852CBC"/>
    <w:rsid w:val="00853D1D"/>
    <w:rsid w:val="00854155"/>
    <w:rsid w:val="008542BB"/>
    <w:rsid w:val="0085441C"/>
    <w:rsid w:val="00854446"/>
    <w:rsid w:val="008546B9"/>
    <w:rsid w:val="008546C3"/>
    <w:rsid w:val="0085489D"/>
    <w:rsid w:val="00854973"/>
    <w:rsid w:val="00854D4C"/>
    <w:rsid w:val="00854EEF"/>
    <w:rsid w:val="00854FAE"/>
    <w:rsid w:val="008554DC"/>
    <w:rsid w:val="008557C9"/>
    <w:rsid w:val="00855F21"/>
    <w:rsid w:val="0085628A"/>
    <w:rsid w:val="008562B5"/>
    <w:rsid w:val="00856505"/>
    <w:rsid w:val="0085655D"/>
    <w:rsid w:val="008569AC"/>
    <w:rsid w:val="00856AFC"/>
    <w:rsid w:val="00856BA5"/>
    <w:rsid w:val="00856DA3"/>
    <w:rsid w:val="00856DD2"/>
    <w:rsid w:val="00856FC6"/>
    <w:rsid w:val="0085773B"/>
    <w:rsid w:val="00857FE0"/>
    <w:rsid w:val="00860341"/>
    <w:rsid w:val="0086057F"/>
    <w:rsid w:val="00860716"/>
    <w:rsid w:val="0086095F"/>
    <w:rsid w:val="00860B63"/>
    <w:rsid w:val="008611BD"/>
    <w:rsid w:val="00861368"/>
    <w:rsid w:val="00861381"/>
    <w:rsid w:val="00861739"/>
    <w:rsid w:val="008618D1"/>
    <w:rsid w:val="00861C75"/>
    <w:rsid w:val="00862627"/>
    <w:rsid w:val="00862660"/>
    <w:rsid w:val="0086285F"/>
    <w:rsid w:val="00862A8F"/>
    <w:rsid w:val="00863371"/>
    <w:rsid w:val="0086359B"/>
    <w:rsid w:val="008637B6"/>
    <w:rsid w:val="00863853"/>
    <w:rsid w:val="008638F9"/>
    <w:rsid w:val="00863DFB"/>
    <w:rsid w:val="008640EB"/>
    <w:rsid w:val="008642A5"/>
    <w:rsid w:val="008645A1"/>
    <w:rsid w:val="00864861"/>
    <w:rsid w:val="00864AA1"/>
    <w:rsid w:val="00864DF1"/>
    <w:rsid w:val="00865134"/>
    <w:rsid w:val="008662A4"/>
    <w:rsid w:val="008663E5"/>
    <w:rsid w:val="0086655E"/>
    <w:rsid w:val="008665F3"/>
    <w:rsid w:val="008673C0"/>
    <w:rsid w:val="0086768E"/>
    <w:rsid w:val="0086783E"/>
    <w:rsid w:val="00867FE4"/>
    <w:rsid w:val="00870000"/>
    <w:rsid w:val="00870126"/>
    <w:rsid w:val="00870270"/>
    <w:rsid w:val="0087047A"/>
    <w:rsid w:val="0087062F"/>
    <w:rsid w:val="00870866"/>
    <w:rsid w:val="00870E5A"/>
    <w:rsid w:val="008713FC"/>
    <w:rsid w:val="00871647"/>
    <w:rsid w:val="00871A83"/>
    <w:rsid w:val="00871BAA"/>
    <w:rsid w:val="00872253"/>
    <w:rsid w:val="008723A2"/>
    <w:rsid w:val="00872978"/>
    <w:rsid w:val="00872D86"/>
    <w:rsid w:val="00872FFF"/>
    <w:rsid w:val="008730D8"/>
    <w:rsid w:val="00873235"/>
    <w:rsid w:val="008733C9"/>
    <w:rsid w:val="00873711"/>
    <w:rsid w:val="00873E36"/>
    <w:rsid w:val="00874142"/>
    <w:rsid w:val="00874364"/>
    <w:rsid w:val="008743FD"/>
    <w:rsid w:val="008745ED"/>
    <w:rsid w:val="0087487F"/>
    <w:rsid w:val="00874C31"/>
    <w:rsid w:val="00874C6A"/>
    <w:rsid w:val="00874C6B"/>
    <w:rsid w:val="00875082"/>
    <w:rsid w:val="00875343"/>
    <w:rsid w:val="00875893"/>
    <w:rsid w:val="00875A2E"/>
    <w:rsid w:val="00875B06"/>
    <w:rsid w:val="00875CF4"/>
    <w:rsid w:val="00876787"/>
    <w:rsid w:val="00876A0F"/>
    <w:rsid w:val="00876AA7"/>
    <w:rsid w:val="008771AC"/>
    <w:rsid w:val="00877394"/>
    <w:rsid w:val="008774ED"/>
    <w:rsid w:val="0088053A"/>
    <w:rsid w:val="008808FB"/>
    <w:rsid w:val="00880C56"/>
    <w:rsid w:val="00880E47"/>
    <w:rsid w:val="008814A4"/>
    <w:rsid w:val="008816BF"/>
    <w:rsid w:val="0088189D"/>
    <w:rsid w:val="00881C8C"/>
    <w:rsid w:val="00881CBA"/>
    <w:rsid w:val="0088223B"/>
    <w:rsid w:val="008822A7"/>
    <w:rsid w:val="00882376"/>
    <w:rsid w:val="00882FD0"/>
    <w:rsid w:val="00883014"/>
    <w:rsid w:val="00883158"/>
    <w:rsid w:val="0088315F"/>
    <w:rsid w:val="008833F1"/>
    <w:rsid w:val="00883672"/>
    <w:rsid w:val="00883747"/>
    <w:rsid w:val="00883ABB"/>
    <w:rsid w:val="00883B0A"/>
    <w:rsid w:val="00883C73"/>
    <w:rsid w:val="00883D6F"/>
    <w:rsid w:val="00883EA2"/>
    <w:rsid w:val="00883FA2"/>
    <w:rsid w:val="008840CC"/>
    <w:rsid w:val="0088473F"/>
    <w:rsid w:val="008848CC"/>
    <w:rsid w:val="00884A9A"/>
    <w:rsid w:val="00884C31"/>
    <w:rsid w:val="00884DE1"/>
    <w:rsid w:val="008853BD"/>
    <w:rsid w:val="008855D0"/>
    <w:rsid w:val="00885720"/>
    <w:rsid w:val="008859BD"/>
    <w:rsid w:val="00885BEC"/>
    <w:rsid w:val="008861EA"/>
    <w:rsid w:val="00886218"/>
    <w:rsid w:val="0088626D"/>
    <w:rsid w:val="00886410"/>
    <w:rsid w:val="008864DF"/>
    <w:rsid w:val="0088680D"/>
    <w:rsid w:val="008868C8"/>
    <w:rsid w:val="00886F28"/>
    <w:rsid w:val="008875DE"/>
    <w:rsid w:val="00887972"/>
    <w:rsid w:val="00887EA2"/>
    <w:rsid w:val="00890022"/>
    <w:rsid w:val="0089087A"/>
    <w:rsid w:val="00890895"/>
    <w:rsid w:val="00890FCC"/>
    <w:rsid w:val="0089104F"/>
    <w:rsid w:val="0089122F"/>
    <w:rsid w:val="00891390"/>
    <w:rsid w:val="00891472"/>
    <w:rsid w:val="00891964"/>
    <w:rsid w:val="00891A00"/>
    <w:rsid w:val="00891A62"/>
    <w:rsid w:val="008920B3"/>
    <w:rsid w:val="008920E4"/>
    <w:rsid w:val="00892252"/>
    <w:rsid w:val="008922C7"/>
    <w:rsid w:val="00892586"/>
    <w:rsid w:val="00892812"/>
    <w:rsid w:val="00892A24"/>
    <w:rsid w:val="00892DE7"/>
    <w:rsid w:val="00892F04"/>
    <w:rsid w:val="0089340E"/>
    <w:rsid w:val="0089377F"/>
    <w:rsid w:val="00893A17"/>
    <w:rsid w:val="00893D14"/>
    <w:rsid w:val="00893E65"/>
    <w:rsid w:val="00894392"/>
    <w:rsid w:val="008948A8"/>
    <w:rsid w:val="00895264"/>
    <w:rsid w:val="00895563"/>
    <w:rsid w:val="00895594"/>
    <w:rsid w:val="00895769"/>
    <w:rsid w:val="00895C5C"/>
    <w:rsid w:val="00896A0E"/>
    <w:rsid w:val="00896BB0"/>
    <w:rsid w:val="00896C3B"/>
    <w:rsid w:val="00896CF6"/>
    <w:rsid w:val="00896D92"/>
    <w:rsid w:val="00897A7C"/>
    <w:rsid w:val="00897AD5"/>
    <w:rsid w:val="00897D7E"/>
    <w:rsid w:val="00897F0A"/>
    <w:rsid w:val="008A00CE"/>
    <w:rsid w:val="008A03D6"/>
    <w:rsid w:val="008A057C"/>
    <w:rsid w:val="008A0962"/>
    <w:rsid w:val="008A0B89"/>
    <w:rsid w:val="008A0B8A"/>
    <w:rsid w:val="008A0F29"/>
    <w:rsid w:val="008A12A3"/>
    <w:rsid w:val="008A1347"/>
    <w:rsid w:val="008A157D"/>
    <w:rsid w:val="008A177B"/>
    <w:rsid w:val="008A1B92"/>
    <w:rsid w:val="008A1BA5"/>
    <w:rsid w:val="008A1D3B"/>
    <w:rsid w:val="008A25A3"/>
    <w:rsid w:val="008A25B4"/>
    <w:rsid w:val="008A2762"/>
    <w:rsid w:val="008A29D4"/>
    <w:rsid w:val="008A2F97"/>
    <w:rsid w:val="008A30A8"/>
    <w:rsid w:val="008A30B4"/>
    <w:rsid w:val="008A358A"/>
    <w:rsid w:val="008A358B"/>
    <w:rsid w:val="008A387C"/>
    <w:rsid w:val="008A3CC1"/>
    <w:rsid w:val="008A49BA"/>
    <w:rsid w:val="008A4A61"/>
    <w:rsid w:val="008A51AA"/>
    <w:rsid w:val="008A54D2"/>
    <w:rsid w:val="008A56B8"/>
    <w:rsid w:val="008A5FC9"/>
    <w:rsid w:val="008A6016"/>
    <w:rsid w:val="008A6088"/>
    <w:rsid w:val="008A62E4"/>
    <w:rsid w:val="008A64B3"/>
    <w:rsid w:val="008A67CD"/>
    <w:rsid w:val="008A6DB1"/>
    <w:rsid w:val="008A6F39"/>
    <w:rsid w:val="008A6FA3"/>
    <w:rsid w:val="008A70FD"/>
    <w:rsid w:val="008A78F8"/>
    <w:rsid w:val="008A7BFD"/>
    <w:rsid w:val="008A7FDA"/>
    <w:rsid w:val="008B0252"/>
    <w:rsid w:val="008B039D"/>
    <w:rsid w:val="008B0577"/>
    <w:rsid w:val="008B0617"/>
    <w:rsid w:val="008B0DAD"/>
    <w:rsid w:val="008B0F8E"/>
    <w:rsid w:val="008B102D"/>
    <w:rsid w:val="008B1203"/>
    <w:rsid w:val="008B13A7"/>
    <w:rsid w:val="008B15EB"/>
    <w:rsid w:val="008B18CE"/>
    <w:rsid w:val="008B1C8B"/>
    <w:rsid w:val="008B1F4C"/>
    <w:rsid w:val="008B24C0"/>
    <w:rsid w:val="008B2521"/>
    <w:rsid w:val="008B2810"/>
    <w:rsid w:val="008B2AFC"/>
    <w:rsid w:val="008B2F59"/>
    <w:rsid w:val="008B363A"/>
    <w:rsid w:val="008B3ED1"/>
    <w:rsid w:val="008B3F08"/>
    <w:rsid w:val="008B452F"/>
    <w:rsid w:val="008B468B"/>
    <w:rsid w:val="008B46BE"/>
    <w:rsid w:val="008B4A78"/>
    <w:rsid w:val="008B4C3E"/>
    <w:rsid w:val="008B4C77"/>
    <w:rsid w:val="008B4CCD"/>
    <w:rsid w:val="008B4D0C"/>
    <w:rsid w:val="008B4DA4"/>
    <w:rsid w:val="008B4E05"/>
    <w:rsid w:val="008B4E6E"/>
    <w:rsid w:val="008B532B"/>
    <w:rsid w:val="008B5947"/>
    <w:rsid w:val="008B5A8E"/>
    <w:rsid w:val="008B5D97"/>
    <w:rsid w:val="008B6BFA"/>
    <w:rsid w:val="008B6BFF"/>
    <w:rsid w:val="008B76DF"/>
    <w:rsid w:val="008B7837"/>
    <w:rsid w:val="008C0404"/>
    <w:rsid w:val="008C0431"/>
    <w:rsid w:val="008C0437"/>
    <w:rsid w:val="008C096F"/>
    <w:rsid w:val="008C0B31"/>
    <w:rsid w:val="008C0F93"/>
    <w:rsid w:val="008C1AC0"/>
    <w:rsid w:val="008C1C99"/>
    <w:rsid w:val="008C2309"/>
    <w:rsid w:val="008C248F"/>
    <w:rsid w:val="008C2695"/>
    <w:rsid w:val="008C2836"/>
    <w:rsid w:val="008C2A3F"/>
    <w:rsid w:val="008C2AB6"/>
    <w:rsid w:val="008C2DF6"/>
    <w:rsid w:val="008C317C"/>
    <w:rsid w:val="008C31B9"/>
    <w:rsid w:val="008C361C"/>
    <w:rsid w:val="008C3DE8"/>
    <w:rsid w:val="008C4042"/>
    <w:rsid w:val="008C42C4"/>
    <w:rsid w:val="008C46B9"/>
    <w:rsid w:val="008C4789"/>
    <w:rsid w:val="008C484B"/>
    <w:rsid w:val="008C4A1A"/>
    <w:rsid w:val="008C6368"/>
    <w:rsid w:val="008C6536"/>
    <w:rsid w:val="008C68C1"/>
    <w:rsid w:val="008C6C21"/>
    <w:rsid w:val="008C6DB2"/>
    <w:rsid w:val="008C7195"/>
    <w:rsid w:val="008C75A9"/>
    <w:rsid w:val="008C7902"/>
    <w:rsid w:val="008C7AE8"/>
    <w:rsid w:val="008C7D28"/>
    <w:rsid w:val="008C7E0A"/>
    <w:rsid w:val="008D03D6"/>
    <w:rsid w:val="008D0460"/>
    <w:rsid w:val="008D0938"/>
    <w:rsid w:val="008D0B05"/>
    <w:rsid w:val="008D0C22"/>
    <w:rsid w:val="008D0FF4"/>
    <w:rsid w:val="008D1456"/>
    <w:rsid w:val="008D1475"/>
    <w:rsid w:val="008D19C4"/>
    <w:rsid w:val="008D1C69"/>
    <w:rsid w:val="008D1D66"/>
    <w:rsid w:val="008D1FC8"/>
    <w:rsid w:val="008D3099"/>
    <w:rsid w:val="008D3509"/>
    <w:rsid w:val="008D37D5"/>
    <w:rsid w:val="008D3895"/>
    <w:rsid w:val="008D398F"/>
    <w:rsid w:val="008D3C26"/>
    <w:rsid w:val="008D3F4C"/>
    <w:rsid w:val="008D4061"/>
    <w:rsid w:val="008D4207"/>
    <w:rsid w:val="008D48C5"/>
    <w:rsid w:val="008D4C1D"/>
    <w:rsid w:val="008D4D4A"/>
    <w:rsid w:val="008D525E"/>
    <w:rsid w:val="008D57E2"/>
    <w:rsid w:val="008D607B"/>
    <w:rsid w:val="008D61FC"/>
    <w:rsid w:val="008D6622"/>
    <w:rsid w:val="008D696D"/>
    <w:rsid w:val="008D6B28"/>
    <w:rsid w:val="008D6BD2"/>
    <w:rsid w:val="008D76A6"/>
    <w:rsid w:val="008D7AA0"/>
    <w:rsid w:val="008D7B3F"/>
    <w:rsid w:val="008D7CD0"/>
    <w:rsid w:val="008D7DA6"/>
    <w:rsid w:val="008D7DAD"/>
    <w:rsid w:val="008D7EBA"/>
    <w:rsid w:val="008E00B0"/>
    <w:rsid w:val="008E013D"/>
    <w:rsid w:val="008E0651"/>
    <w:rsid w:val="008E06DE"/>
    <w:rsid w:val="008E086D"/>
    <w:rsid w:val="008E11E1"/>
    <w:rsid w:val="008E1356"/>
    <w:rsid w:val="008E162D"/>
    <w:rsid w:val="008E171D"/>
    <w:rsid w:val="008E188E"/>
    <w:rsid w:val="008E1992"/>
    <w:rsid w:val="008E1AB1"/>
    <w:rsid w:val="008E1DDD"/>
    <w:rsid w:val="008E1E83"/>
    <w:rsid w:val="008E2206"/>
    <w:rsid w:val="008E2486"/>
    <w:rsid w:val="008E2CB9"/>
    <w:rsid w:val="008E2E1D"/>
    <w:rsid w:val="008E3051"/>
    <w:rsid w:val="008E3659"/>
    <w:rsid w:val="008E3DFD"/>
    <w:rsid w:val="008E3E73"/>
    <w:rsid w:val="008E4257"/>
    <w:rsid w:val="008E43C8"/>
    <w:rsid w:val="008E4883"/>
    <w:rsid w:val="008E4C3E"/>
    <w:rsid w:val="008E4EEB"/>
    <w:rsid w:val="008E4F39"/>
    <w:rsid w:val="008E582F"/>
    <w:rsid w:val="008E58F4"/>
    <w:rsid w:val="008E58FA"/>
    <w:rsid w:val="008E5D9B"/>
    <w:rsid w:val="008E6487"/>
    <w:rsid w:val="008E679B"/>
    <w:rsid w:val="008E6810"/>
    <w:rsid w:val="008E6FBF"/>
    <w:rsid w:val="008E7648"/>
    <w:rsid w:val="008E766A"/>
    <w:rsid w:val="008E7908"/>
    <w:rsid w:val="008E7BAD"/>
    <w:rsid w:val="008E7C15"/>
    <w:rsid w:val="008E7C83"/>
    <w:rsid w:val="008F00C6"/>
    <w:rsid w:val="008F0359"/>
    <w:rsid w:val="008F0C9C"/>
    <w:rsid w:val="008F0D96"/>
    <w:rsid w:val="008F0FE3"/>
    <w:rsid w:val="008F1022"/>
    <w:rsid w:val="008F1133"/>
    <w:rsid w:val="008F1415"/>
    <w:rsid w:val="008F19CB"/>
    <w:rsid w:val="008F21D2"/>
    <w:rsid w:val="008F246A"/>
    <w:rsid w:val="008F2D1F"/>
    <w:rsid w:val="008F2D51"/>
    <w:rsid w:val="008F2D86"/>
    <w:rsid w:val="008F2E4A"/>
    <w:rsid w:val="008F3473"/>
    <w:rsid w:val="008F3A66"/>
    <w:rsid w:val="008F42DB"/>
    <w:rsid w:val="008F4517"/>
    <w:rsid w:val="008F472C"/>
    <w:rsid w:val="008F4B45"/>
    <w:rsid w:val="008F52D4"/>
    <w:rsid w:val="008F5338"/>
    <w:rsid w:val="008F588D"/>
    <w:rsid w:val="008F59BE"/>
    <w:rsid w:val="008F5C78"/>
    <w:rsid w:val="008F625C"/>
    <w:rsid w:val="008F6391"/>
    <w:rsid w:val="008F645B"/>
    <w:rsid w:val="008F6558"/>
    <w:rsid w:val="008F66B5"/>
    <w:rsid w:val="008F66BE"/>
    <w:rsid w:val="008F6E45"/>
    <w:rsid w:val="008F78C5"/>
    <w:rsid w:val="008F7C55"/>
    <w:rsid w:val="008F7D8D"/>
    <w:rsid w:val="008F7F21"/>
    <w:rsid w:val="008F7F77"/>
    <w:rsid w:val="008F7F9C"/>
    <w:rsid w:val="00900224"/>
    <w:rsid w:val="00900A70"/>
    <w:rsid w:val="00900F5D"/>
    <w:rsid w:val="009012AA"/>
    <w:rsid w:val="00901579"/>
    <w:rsid w:val="009018A9"/>
    <w:rsid w:val="00901977"/>
    <w:rsid w:val="00901A2C"/>
    <w:rsid w:val="00901D17"/>
    <w:rsid w:val="00901E1F"/>
    <w:rsid w:val="00901E7F"/>
    <w:rsid w:val="00902BBD"/>
    <w:rsid w:val="00902E4D"/>
    <w:rsid w:val="009031DF"/>
    <w:rsid w:val="00903832"/>
    <w:rsid w:val="00903865"/>
    <w:rsid w:val="009038B1"/>
    <w:rsid w:val="00903E99"/>
    <w:rsid w:val="00904002"/>
    <w:rsid w:val="00904297"/>
    <w:rsid w:val="0090448F"/>
    <w:rsid w:val="0090464B"/>
    <w:rsid w:val="00905432"/>
    <w:rsid w:val="009055CC"/>
    <w:rsid w:val="0090567D"/>
    <w:rsid w:val="00905AFA"/>
    <w:rsid w:val="00906958"/>
    <w:rsid w:val="00906988"/>
    <w:rsid w:val="00906BE4"/>
    <w:rsid w:val="00906CF9"/>
    <w:rsid w:val="00906EB6"/>
    <w:rsid w:val="0090704A"/>
    <w:rsid w:val="00907310"/>
    <w:rsid w:val="0090766A"/>
    <w:rsid w:val="00907BEE"/>
    <w:rsid w:val="009102F6"/>
    <w:rsid w:val="00910329"/>
    <w:rsid w:val="00910838"/>
    <w:rsid w:val="00910A1D"/>
    <w:rsid w:val="0091150C"/>
    <w:rsid w:val="00911C11"/>
    <w:rsid w:val="00911DA5"/>
    <w:rsid w:val="00911EFE"/>
    <w:rsid w:val="00912A21"/>
    <w:rsid w:val="00912A9F"/>
    <w:rsid w:val="00912CFE"/>
    <w:rsid w:val="009135F7"/>
    <w:rsid w:val="00913D59"/>
    <w:rsid w:val="00914652"/>
    <w:rsid w:val="00914678"/>
    <w:rsid w:val="0091478B"/>
    <w:rsid w:val="009148CD"/>
    <w:rsid w:val="009149A6"/>
    <w:rsid w:val="00914ABD"/>
    <w:rsid w:val="00915240"/>
    <w:rsid w:val="009152A4"/>
    <w:rsid w:val="00915575"/>
    <w:rsid w:val="00915AA2"/>
    <w:rsid w:val="00915F44"/>
    <w:rsid w:val="00915F54"/>
    <w:rsid w:val="00915F9D"/>
    <w:rsid w:val="009161FA"/>
    <w:rsid w:val="00916A57"/>
    <w:rsid w:val="00916A9F"/>
    <w:rsid w:val="00917027"/>
    <w:rsid w:val="0091728D"/>
    <w:rsid w:val="00917349"/>
    <w:rsid w:val="00920143"/>
    <w:rsid w:val="009201CD"/>
    <w:rsid w:val="009202FD"/>
    <w:rsid w:val="00920596"/>
    <w:rsid w:val="00920678"/>
    <w:rsid w:val="009208FF"/>
    <w:rsid w:val="00920945"/>
    <w:rsid w:val="00920B53"/>
    <w:rsid w:val="009211D3"/>
    <w:rsid w:val="0092188A"/>
    <w:rsid w:val="00921919"/>
    <w:rsid w:val="00921968"/>
    <w:rsid w:val="009220A1"/>
    <w:rsid w:val="009228D0"/>
    <w:rsid w:val="00922C6E"/>
    <w:rsid w:val="009230D7"/>
    <w:rsid w:val="009232B5"/>
    <w:rsid w:val="009234E6"/>
    <w:rsid w:val="00923B73"/>
    <w:rsid w:val="00923D34"/>
    <w:rsid w:val="00923E46"/>
    <w:rsid w:val="00924342"/>
    <w:rsid w:val="00924B37"/>
    <w:rsid w:val="00924B3F"/>
    <w:rsid w:val="00924F90"/>
    <w:rsid w:val="00924F93"/>
    <w:rsid w:val="00925324"/>
    <w:rsid w:val="00925950"/>
    <w:rsid w:val="00925A3D"/>
    <w:rsid w:val="00925B66"/>
    <w:rsid w:val="00925D00"/>
    <w:rsid w:val="00926096"/>
    <w:rsid w:val="009260DF"/>
    <w:rsid w:val="009260FE"/>
    <w:rsid w:val="009265F7"/>
    <w:rsid w:val="009266F1"/>
    <w:rsid w:val="00926D45"/>
    <w:rsid w:val="00926ECA"/>
    <w:rsid w:val="00926F55"/>
    <w:rsid w:val="0092708F"/>
    <w:rsid w:val="009271B3"/>
    <w:rsid w:val="0092723A"/>
    <w:rsid w:val="009278A1"/>
    <w:rsid w:val="00927917"/>
    <w:rsid w:val="00927A20"/>
    <w:rsid w:val="00927AC3"/>
    <w:rsid w:val="00927E01"/>
    <w:rsid w:val="009300B7"/>
    <w:rsid w:val="00930222"/>
    <w:rsid w:val="00930F6A"/>
    <w:rsid w:val="009310D1"/>
    <w:rsid w:val="00931271"/>
    <w:rsid w:val="0093137B"/>
    <w:rsid w:val="009313AB"/>
    <w:rsid w:val="00931665"/>
    <w:rsid w:val="00931C0B"/>
    <w:rsid w:val="00931D62"/>
    <w:rsid w:val="00931DE3"/>
    <w:rsid w:val="00931E7C"/>
    <w:rsid w:val="00931EF2"/>
    <w:rsid w:val="00932310"/>
    <w:rsid w:val="0093248B"/>
    <w:rsid w:val="0093264C"/>
    <w:rsid w:val="00932972"/>
    <w:rsid w:val="00932CFA"/>
    <w:rsid w:val="00932EEA"/>
    <w:rsid w:val="009333AB"/>
    <w:rsid w:val="0093345B"/>
    <w:rsid w:val="00933A91"/>
    <w:rsid w:val="00933B84"/>
    <w:rsid w:val="00933C2B"/>
    <w:rsid w:val="00933CD9"/>
    <w:rsid w:val="00933E2A"/>
    <w:rsid w:val="0093427F"/>
    <w:rsid w:val="009343CC"/>
    <w:rsid w:val="00934559"/>
    <w:rsid w:val="00934838"/>
    <w:rsid w:val="00934844"/>
    <w:rsid w:val="009348D0"/>
    <w:rsid w:val="009351DF"/>
    <w:rsid w:val="009353F3"/>
    <w:rsid w:val="009355D7"/>
    <w:rsid w:val="009358B4"/>
    <w:rsid w:val="00936158"/>
    <w:rsid w:val="0093631E"/>
    <w:rsid w:val="009363BD"/>
    <w:rsid w:val="00936B01"/>
    <w:rsid w:val="00936D61"/>
    <w:rsid w:val="00936DD7"/>
    <w:rsid w:val="00936ECB"/>
    <w:rsid w:val="00936F70"/>
    <w:rsid w:val="00936FDB"/>
    <w:rsid w:val="0093715A"/>
    <w:rsid w:val="00937436"/>
    <w:rsid w:val="00937510"/>
    <w:rsid w:val="009375D4"/>
    <w:rsid w:val="009376BB"/>
    <w:rsid w:val="009404D7"/>
    <w:rsid w:val="00940859"/>
    <w:rsid w:val="00940DD0"/>
    <w:rsid w:val="00940ED0"/>
    <w:rsid w:val="009413BE"/>
    <w:rsid w:val="00941520"/>
    <w:rsid w:val="00941750"/>
    <w:rsid w:val="00941785"/>
    <w:rsid w:val="00941797"/>
    <w:rsid w:val="0094185D"/>
    <w:rsid w:val="00941EB2"/>
    <w:rsid w:val="0094242B"/>
    <w:rsid w:val="00942495"/>
    <w:rsid w:val="0094258D"/>
    <w:rsid w:val="00942610"/>
    <w:rsid w:val="0094277E"/>
    <w:rsid w:val="00942966"/>
    <w:rsid w:val="00942D4D"/>
    <w:rsid w:val="0094300E"/>
    <w:rsid w:val="0094375E"/>
    <w:rsid w:val="009437EB"/>
    <w:rsid w:val="009438C8"/>
    <w:rsid w:val="00943D18"/>
    <w:rsid w:val="00943E62"/>
    <w:rsid w:val="00944414"/>
    <w:rsid w:val="00944772"/>
    <w:rsid w:val="00944C81"/>
    <w:rsid w:val="00945159"/>
    <w:rsid w:val="00945467"/>
    <w:rsid w:val="009455F8"/>
    <w:rsid w:val="00945722"/>
    <w:rsid w:val="00945938"/>
    <w:rsid w:val="009460A3"/>
    <w:rsid w:val="009469A4"/>
    <w:rsid w:val="00946A00"/>
    <w:rsid w:val="00946AFC"/>
    <w:rsid w:val="00946D82"/>
    <w:rsid w:val="00947426"/>
    <w:rsid w:val="00947A03"/>
    <w:rsid w:val="00947A57"/>
    <w:rsid w:val="00947BC5"/>
    <w:rsid w:val="00947E3B"/>
    <w:rsid w:val="009509DC"/>
    <w:rsid w:val="00950C75"/>
    <w:rsid w:val="00950CF8"/>
    <w:rsid w:val="00950E8D"/>
    <w:rsid w:val="00951070"/>
    <w:rsid w:val="0095119C"/>
    <w:rsid w:val="00951204"/>
    <w:rsid w:val="009512CE"/>
    <w:rsid w:val="00951B6E"/>
    <w:rsid w:val="00951E4F"/>
    <w:rsid w:val="00952177"/>
    <w:rsid w:val="00952671"/>
    <w:rsid w:val="009526BC"/>
    <w:rsid w:val="00952DF8"/>
    <w:rsid w:val="00952F5C"/>
    <w:rsid w:val="0095300C"/>
    <w:rsid w:val="00953156"/>
    <w:rsid w:val="00953314"/>
    <w:rsid w:val="00953632"/>
    <w:rsid w:val="00953914"/>
    <w:rsid w:val="00953A77"/>
    <w:rsid w:val="00953A8A"/>
    <w:rsid w:val="00954560"/>
    <w:rsid w:val="0095474F"/>
    <w:rsid w:val="00954E75"/>
    <w:rsid w:val="009550A1"/>
    <w:rsid w:val="00955D5E"/>
    <w:rsid w:val="00956141"/>
    <w:rsid w:val="009561AA"/>
    <w:rsid w:val="009568B1"/>
    <w:rsid w:val="00956934"/>
    <w:rsid w:val="00956A02"/>
    <w:rsid w:val="00956C83"/>
    <w:rsid w:val="00956F9C"/>
    <w:rsid w:val="00957126"/>
    <w:rsid w:val="009577BF"/>
    <w:rsid w:val="00960293"/>
    <w:rsid w:val="00960934"/>
    <w:rsid w:val="00960A1A"/>
    <w:rsid w:val="00960BBE"/>
    <w:rsid w:val="00960F15"/>
    <w:rsid w:val="00961183"/>
    <w:rsid w:val="00961A09"/>
    <w:rsid w:val="009620FE"/>
    <w:rsid w:val="009624E7"/>
    <w:rsid w:val="0096260A"/>
    <w:rsid w:val="00962740"/>
    <w:rsid w:val="009627DA"/>
    <w:rsid w:val="00962FA0"/>
    <w:rsid w:val="009632F1"/>
    <w:rsid w:val="0096350E"/>
    <w:rsid w:val="0096355F"/>
    <w:rsid w:val="0096373B"/>
    <w:rsid w:val="009637A8"/>
    <w:rsid w:val="00963992"/>
    <w:rsid w:val="00964092"/>
    <w:rsid w:val="009640DC"/>
    <w:rsid w:val="009645A8"/>
    <w:rsid w:val="00964AE7"/>
    <w:rsid w:val="00964B90"/>
    <w:rsid w:val="00964C21"/>
    <w:rsid w:val="009654E5"/>
    <w:rsid w:val="009654F6"/>
    <w:rsid w:val="009657D7"/>
    <w:rsid w:val="00965A13"/>
    <w:rsid w:val="00965A18"/>
    <w:rsid w:val="00965C24"/>
    <w:rsid w:val="00965DB7"/>
    <w:rsid w:val="009660E1"/>
    <w:rsid w:val="00966661"/>
    <w:rsid w:val="0096679A"/>
    <w:rsid w:val="00966937"/>
    <w:rsid w:val="00966D42"/>
    <w:rsid w:val="00966FCF"/>
    <w:rsid w:val="009672BA"/>
    <w:rsid w:val="00967599"/>
    <w:rsid w:val="009676BE"/>
    <w:rsid w:val="009677C8"/>
    <w:rsid w:val="00970144"/>
    <w:rsid w:val="00970E4A"/>
    <w:rsid w:val="00970F95"/>
    <w:rsid w:val="00971023"/>
    <w:rsid w:val="009710E3"/>
    <w:rsid w:val="00971565"/>
    <w:rsid w:val="009717C5"/>
    <w:rsid w:val="0097193E"/>
    <w:rsid w:val="00971999"/>
    <w:rsid w:val="00972149"/>
    <w:rsid w:val="00972538"/>
    <w:rsid w:val="00972DCB"/>
    <w:rsid w:val="00972E7E"/>
    <w:rsid w:val="00972EDF"/>
    <w:rsid w:val="0097315B"/>
    <w:rsid w:val="00973233"/>
    <w:rsid w:val="009734E8"/>
    <w:rsid w:val="0097388C"/>
    <w:rsid w:val="00973A49"/>
    <w:rsid w:val="00973B5F"/>
    <w:rsid w:val="00973C15"/>
    <w:rsid w:val="00973C47"/>
    <w:rsid w:val="00973E75"/>
    <w:rsid w:val="00973E87"/>
    <w:rsid w:val="00974151"/>
    <w:rsid w:val="0097427A"/>
    <w:rsid w:val="0097474A"/>
    <w:rsid w:val="00974758"/>
    <w:rsid w:val="0097479D"/>
    <w:rsid w:val="00974B66"/>
    <w:rsid w:val="00975141"/>
    <w:rsid w:val="00975501"/>
    <w:rsid w:val="009759EA"/>
    <w:rsid w:val="00976CEA"/>
    <w:rsid w:val="00976F1E"/>
    <w:rsid w:val="00977F34"/>
    <w:rsid w:val="0098047D"/>
    <w:rsid w:val="00980ACC"/>
    <w:rsid w:val="00980DEB"/>
    <w:rsid w:val="00980EBF"/>
    <w:rsid w:val="00980F48"/>
    <w:rsid w:val="0098105E"/>
    <w:rsid w:val="00981554"/>
    <w:rsid w:val="0098188E"/>
    <w:rsid w:val="00981FEB"/>
    <w:rsid w:val="00982157"/>
    <w:rsid w:val="00982227"/>
    <w:rsid w:val="0098230E"/>
    <w:rsid w:val="00982A7D"/>
    <w:rsid w:val="00982C1C"/>
    <w:rsid w:val="00982EDC"/>
    <w:rsid w:val="009830B8"/>
    <w:rsid w:val="009831BA"/>
    <w:rsid w:val="00983285"/>
    <w:rsid w:val="00983375"/>
    <w:rsid w:val="009833DE"/>
    <w:rsid w:val="00983F0F"/>
    <w:rsid w:val="00983F15"/>
    <w:rsid w:val="00984236"/>
    <w:rsid w:val="009843DB"/>
    <w:rsid w:val="009843FB"/>
    <w:rsid w:val="00984624"/>
    <w:rsid w:val="00984687"/>
    <w:rsid w:val="009848C2"/>
    <w:rsid w:val="00984906"/>
    <w:rsid w:val="00984AE2"/>
    <w:rsid w:val="00984BE3"/>
    <w:rsid w:val="00984DE7"/>
    <w:rsid w:val="00985A09"/>
    <w:rsid w:val="00985BE2"/>
    <w:rsid w:val="00985C4E"/>
    <w:rsid w:val="00986026"/>
    <w:rsid w:val="00986BF2"/>
    <w:rsid w:val="009872C6"/>
    <w:rsid w:val="00987C8E"/>
    <w:rsid w:val="00987D4D"/>
    <w:rsid w:val="00990018"/>
    <w:rsid w:val="009900C8"/>
    <w:rsid w:val="009901B4"/>
    <w:rsid w:val="009905A6"/>
    <w:rsid w:val="00990616"/>
    <w:rsid w:val="00990AFA"/>
    <w:rsid w:val="00990ECF"/>
    <w:rsid w:val="00990F78"/>
    <w:rsid w:val="0099143B"/>
    <w:rsid w:val="0099155E"/>
    <w:rsid w:val="00991584"/>
    <w:rsid w:val="00991A33"/>
    <w:rsid w:val="00991B07"/>
    <w:rsid w:val="00991FF3"/>
    <w:rsid w:val="00992605"/>
    <w:rsid w:val="009926B4"/>
    <w:rsid w:val="009929A9"/>
    <w:rsid w:val="00992E6C"/>
    <w:rsid w:val="00992FE2"/>
    <w:rsid w:val="0099355A"/>
    <w:rsid w:val="00993991"/>
    <w:rsid w:val="00993CA9"/>
    <w:rsid w:val="00993EE2"/>
    <w:rsid w:val="00993FA2"/>
    <w:rsid w:val="00994087"/>
    <w:rsid w:val="00994285"/>
    <w:rsid w:val="009943F9"/>
    <w:rsid w:val="00994492"/>
    <w:rsid w:val="009948D0"/>
    <w:rsid w:val="009948E7"/>
    <w:rsid w:val="00994DE3"/>
    <w:rsid w:val="00995543"/>
    <w:rsid w:val="0099559B"/>
    <w:rsid w:val="00995A91"/>
    <w:rsid w:val="00995AF0"/>
    <w:rsid w:val="0099636C"/>
    <w:rsid w:val="0099681F"/>
    <w:rsid w:val="009974E8"/>
    <w:rsid w:val="00997583"/>
    <w:rsid w:val="009975AC"/>
    <w:rsid w:val="009A0023"/>
    <w:rsid w:val="009A0404"/>
    <w:rsid w:val="009A0579"/>
    <w:rsid w:val="009A0D27"/>
    <w:rsid w:val="009A126A"/>
    <w:rsid w:val="009A16D2"/>
    <w:rsid w:val="009A2BCB"/>
    <w:rsid w:val="009A3584"/>
    <w:rsid w:val="009A35DF"/>
    <w:rsid w:val="009A36C0"/>
    <w:rsid w:val="009A4145"/>
    <w:rsid w:val="009A4398"/>
    <w:rsid w:val="009A469D"/>
    <w:rsid w:val="009A47B6"/>
    <w:rsid w:val="009A47D5"/>
    <w:rsid w:val="009A4869"/>
    <w:rsid w:val="009A488E"/>
    <w:rsid w:val="009A4A4B"/>
    <w:rsid w:val="009A4F08"/>
    <w:rsid w:val="009A5009"/>
    <w:rsid w:val="009A51C2"/>
    <w:rsid w:val="009A525A"/>
    <w:rsid w:val="009A5268"/>
    <w:rsid w:val="009A571F"/>
    <w:rsid w:val="009A5E1D"/>
    <w:rsid w:val="009A5F3F"/>
    <w:rsid w:val="009A5FDC"/>
    <w:rsid w:val="009A5FF1"/>
    <w:rsid w:val="009A605D"/>
    <w:rsid w:val="009A60D1"/>
    <w:rsid w:val="009A690B"/>
    <w:rsid w:val="009A6D18"/>
    <w:rsid w:val="009A6ED7"/>
    <w:rsid w:val="009A6EF1"/>
    <w:rsid w:val="009A6F02"/>
    <w:rsid w:val="009A6F6D"/>
    <w:rsid w:val="009A7040"/>
    <w:rsid w:val="009A79BF"/>
    <w:rsid w:val="009A7A2E"/>
    <w:rsid w:val="009A7F7E"/>
    <w:rsid w:val="009B04AE"/>
    <w:rsid w:val="009B0B33"/>
    <w:rsid w:val="009B0C26"/>
    <w:rsid w:val="009B0D22"/>
    <w:rsid w:val="009B0D70"/>
    <w:rsid w:val="009B116E"/>
    <w:rsid w:val="009B1299"/>
    <w:rsid w:val="009B12AA"/>
    <w:rsid w:val="009B1594"/>
    <w:rsid w:val="009B18E9"/>
    <w:rsid w:val="009B2250"/>
    <w:rsid w:val="009B22D3"/>
    <w:rsid w:val="009B2AE6"/>
    <w:rsid w:val="009B2DE5"/>
    <w:rsid w:val="009B3322"/>
    <w:rsid w:val="009B3BF9"/>
    <w:rsid w:val="009B3C7A"/>
    <w:rsid w:val="009B403E"/>
    <w:rsid w:val="009B4201"/>
    <w:rsid w:val="009B44A3"/>
    <w:rsid w:val="009B497A"/>
    <w:rsid w:val="009B4DD6"/>
    <w:rsid w:val="009B4F55"/>
    <w:rsid w:val="009B51B3"/>
    <w:rsid w:val="009B5228"/>
    <w:rsid w:val="009B5249"/>
    <w:rsid w:val="009B5281"/>
    <w:rsid w:val="009B603C"/>
    <w:rsid w:val="009B6416"/>
    <w:rsid w:val="009B67C0"/>
    <w:rsid w:val="009B6C34"/>
    <w:rsid w:val="009B717F"/>
    <w:rsid w:val="009B7837"/>
    <w:rsid w:val="009B7DF4"/>
    <w:rsid w:val="009B7E90"/>
    <w:rsid w:val="009C0200"/>
    <w:rsid w:val="009C069C"/>
    <w:rsid w:val="009C0865"/>
    <w:rsid w:val="009C0979"/>
    <w:rsid w:val="009C09BD"/>
    <w:rsid w:val="009C103F"/>
    <w:rsid w:val="009C10F1"/>
    <w:rsid w:val="009C1788"/>
    <w:rsid w:val="009C199F"/>
    <w:rsid w:val="009C1B4A"/>
    <w:rsid w:val="009C1BCD"/>
    <w:rsid w:val="009C3248"/>
    <w:rsid w:val="009C32D8"/>
    <w:rsid w:val="009C353D"/>
    <w:rsid w:val="009C35B3"/>
    <w:rsid w:val="009C3814"/>
    <w:rsid w:val="009C3D16"/>
    <w:rsid w:val="009C4D1F"/>
    <w:rsid w:val="009C4D50"/>
    <w:rsid w:val="009C522A"/>
    <w:rsid w:val="009C5A50"/>
    <w:rsid w:val="009C5DAB"/>
    <w:rsid w:val="009C5E7D"/>
    <w:rsid w:val="009C600D"/>
    <w:rsid w:val="009C63EF"/>
    <w:rsid w:val="009C6909"/>
    <w:rsid w:val="009C705E"/>
    <w:rsid w:val="009C740E"/>
    <w:rsid w:val="009C7A9C"/>
    <w:rsid w:val="009C7CF8"/>
    <w:rsid w:val="009C7F0C"/>
    <w:rsid w:val="009D00CD"/>
    <w:rsid w:val="009D0256"/>
    <w:rsid w:val="009D0855"/>
    <w:rsid w:val="009D16A0"/>
    <w:rsid w:val="009D1968"/>
    <w:rsid w:val="009D1B96"/>
    <w:rsid w:val="009D2524"/>
    <w:rsid w:val="009D26BB"/>
    <w:rsid w:val="009D28CB"/>
    <w:rsid w:val="009D2EA0"/>
    <w:rsid w:val="009D31C1"/>
    <w:rsid w:val="009D33A2"/>
    <w:rsid w:val="009D37E3"/>
    <w:rsid w:val="009D38A9"/>
    <w:rsid w:val="009D3C2B"/>
    <w:rsid w:val="009D43EC"/>
    <w:rsid w:val="009D48C2"/>
    <w:rsid w:val="009D4941"/>
    <w:rsid w:val="009D49A7"/>
    <w:rsid w:val="009D4EBD"/>
    <w:rsid w:val="009D4FAE"/>
    <w:rsid w:val="009D53B9"/>
    <w:rsid w:val="009D5640"/>
    <w:rsid w:val="009D5BF5"/>
    <w:rsid w:val="009D5E5C"/>
    <w:rsid w:val="009D5E83"/>
    <w:rsid w:val="009D6185"/>
    <w:rsid w:val="009D61D3"/>
    <w:rsid w:val="009D6CEA"/>
    <w:rsid w:val="009D6CF9"/>
    <w:rsid w:val="009D6F32"/>
    <w:rsid w:val="009D708D"/>
    <w:rsid w:val="009D7112"/>
    <w:rsid w:val="009D72CE"/>
    <w:rsid w:val="009D7514"/>
    <w:rsid w:val="009D7670"/>
    <w:rsid w:val="009D7953"/>
    <w:rsid w:val="009D79B1"/>
    <w:rsid w:val="009D7C95"/>
    <w:rsid w:val="009E0120"/>
    <w:rsid w:val="009E0330"/>
    <w:rsid w:val="009E0535"/>
    <w:rsid w:val="009E090F"/>
    <w:rsid w:val="009E0CE9"/>
    <w:rsid w:val="009E0EBB"/>
    <w:rsid w:val="009E1886"/>
    <w:rsid w:val="009E2327"/>
    <w:rsid w:val="009E23EA"/>
    <w:rsid w:val="009E2512"/>
    <w:rsid w:val="009E26DC"/>
    <w:rsid w:val="009E27D6"/>
    <w:rsid w:val="009E291A"/>
    <w:rsid w:val="009E2C1E"/>
    <w:rsid w:val="009E3077"/>
    <w:rsid w:val="009E338E"/>
    <w:rsid w:val="009E352F"/>
    <w:rsid w:val="009E3A25"/>
    <w:rsid w:val="009E3F6F"/>
    <w:rsid w:val="009E43D8"/>
    <w:rsid w:val="009E45D8"/>
    <w:rsid w:val="009E4F3E"/>
    <w:rsid w:val="009E52CB"/>
    <w:rsid w:val="009E5404"/>
    <w:rsid w:val="009E546A"/>
    <w:rsid w:val="009E5A96"/>
    <w:rsid w:val="009E5B14"/>
    <w:rsid w:val="009E5EBD"/>
    <w:rsid w:val="009E5FE8"/>
    <w:rsid w:val="009E6065"/>
    <w:rsid w:val="009E60F3"/>
    <w:rsid w:val="009E6386"/>
    <w:rsid w:val="009E6A10"/>
    <w:rsid w:val="009E70B6"/>
    <w:rsid w:val="009E7800"/>
    <w:rsid w:val="009E7A11"/>
    <w:rsid w:val="009F03CE"/>
    <w:rsid w:val="009F06E6"/>
    <w:rsid w:val="009F094A"/>
    <w:rsid w:val="009F0CCC"/>
    <w:rsid w:val="009F0D44"/>
    <w:rsid w:val="009F1400"/>
    <w:rsid w:val="009F19E3"/>
    <w:rsid w:val="009F1DDD"/>
    <w:rsid w:val="009F1F51"/>
    <w:rsid w:val="009F22C2"/>
    <w:rsid w:val="009F2407"/>
    <w:rsid w:val="009F244F"/>
    <w:rsid w:val="009F2603"/>
    <w:rsid w:val="009F2665"/>
    <w:rsid w:val="009F2761"/>
    <w:rsid w:val="009F2973"/>
    <w:rsid w:val="009F2D82"/>
    <w:rsid w:val="009F3223"/>
    <w:rsid w:val="009F3791"/>
    <w:rsid w:val="009F37B0"/>
    <w:rsid w:val="009F39DE"/>
    <w:rsid w:val="009F3E75"/>
    <w:rsid w:val="009F40F7"/>
    <w:rsid w:val="009F4108"/>
    <w:rsid w:val="009F4364"/>
    <w:rsid w:val="009F4476"/>
    <w:rsid w:val="009F464E"/>
    <w:rsid w:val="009F4C68"/>
    <w:rsid w:val="009F4ED3"/>
    <w:rsid w:val="009F5578"/>
    <w:rsid w:val="009F5688"/>
    <w:rsid w:val="009F5BE3"/>
    <w:rsid w:val="009F5C65"/>
    <w:rsid w:val="009F657E"/>
    <w:rsid w:val="009F6765"/>
    <w:rsid w:val="009F67C0"/>
    <w:rsid w:val="009F67C8"/>
    <w:rsid w:val="009F6800"/>
    <w:rsid w:val="009F68FB"/>
    <w:rsid w:val="009F6C14"/>
    <w:rsid w:val="009F6DA5"/>
    <w:rsid w:val="009F6DCF"/>
    <w:rsid w:val="009F6FF1"/>
    <w:rsid w:val="009F722F"/>
    <w:rsid w:val="009F7629"/>
    <w:rsid w:val="009F7DCA"/>
    <w:rsid w:val="00A003FB"/>
    <w:rsid w:val="00A0051F"/>
    <w:rsid w:val="00A00870"/>
    <w:rsid w:val="00A0093D"/>
    <w:rsid w:val="00A00949"/>
    <w:rsid w:val="00A01110"/>
    <w:rsid w:val="00A0112D"/>
    <w:rsid w:val="00A02524"/>
    <w:rsid w:val="00A02577"/>
    <w:rsid w:val="00A02952"/>
    <w:rsid w:val="00A02A11"/>
    <w:rsid w:val="00A02C0D"/>
    <w:rsid w:val="00A02F1A"/>
    <w:rsid w:val="00A03366"/>
    <w:rsid w:val="00A033D5"/>
    <w:rsid w:val="00A040A1"/>
    <w:rsid w:val="00A0453F"/>
    <w:rsid w:val="00A045DB"/>
    <w:rsid w:val="00A04D1A"/>
    <w:rsid w:val="00A05228"/>
    <w:rsid w:val="00A05543"/>
    <w:rsid w:val="00A05E96"/>
    <w:rsid w:val="00A06705"/>
    <w:rsid w:val="00A06B72"/>
    <w:rsid w:val="00A0772B"/>
    <w:rsid w:val="00A077B1"/>
    <w:rsid w:val="00A07999"/>
    <w:rsid w:val="00A07F7C"/>
    <w:rsid w:val="00A1006B"/>
    <w:rsid w:val="00A108DF"/>
    <w:rsid w:val="00A114BA"/>
    <w:rsid w:val="00A1154C"/>
    <w:rsid w:val="00A119F8"/>
    <w:rsid w:val="00A11EE4"/>
    <w:rsid w:val="00A11F75"/>
    <w:rsid w:val="00A12184"/>
    <w:rsid w:val="00A12740"/>
    <w:rsid w:val="00A1278F"/>
    <w:rsid w:val="00A12957"/>
    <w:rsid w:val="00A12C6F"/>
    <w:rsid w:val="00A12EA7"/>
    <w:rsid w:val="00A13268"/>
    <w:rsid w:val="00A13326"/>
    <w:rsid w:val="00A14250"/>
    <w:rsid w:val="00A1443A"/>
    <w:rsid w:val="00A14599"/>
    <w:rsid w:val="00A1461C"/>
    <w:rsid w:val="00A14936"/>
    <w:rsid w:val="00A14AEE"/>
    <w:rsid w:val="00A14F30"/>
    <w:rsid w:val="00A150E6"/>
    <w:rsid w:val="00A151A7"/>
    <w:rsid w:val="00A15836"/>
    <w:rsid w:val="00A159DE"/>
    <w:rsid w:val="00A15C7C"/>
    <w:rsid w:val="00A15D0D"/>
    <w:rsid w:val="00A15ECC"/>
    <w:rsid w:val="00A15F4A"/>
    <w:rsid w:val="00A16826"/>
    <w:rsid w:val="00A16AC7"/>
    <w:rsid w:val="00A16C6E"/>
    <w:rsid w:val="00A17520"/>
    <w:rsid w:val="00A17631"/>
    <w:rsid w:val="00A205DE"/>
    <w:rsid w:val="00A2092D"/>
    <w:rsid w:val="00A20D80"/>
    <w:rsid w:val="00A21259"/>
    <w:rsid w:val="00A216DA"/>
    <w:rsid w:val="00A227F3"/>
    <w:rsid w:val="00A22E66"/>
    <w:rsid w:val="00A22F0F"/>
    <w:rsid w:val="00A231AA"/>
    <w:rsid w:val="00A231D7"/>
    <w:rsid w:val="00A2335E"/>
    <w:rsid w:val="00A233AA"/>
    <w:rsid w:val="00A23529"/>
    <w:rsid w:val="00A2387A"/>
    <w:rsid w:val="00A2397E"/>
    <w:rsid w:val="00A23ACA"/>
    <w:rsid w:val="00A23B45"/>
    <w:rsid w:val="00A23B7A"/>
    <w:rsid w:val="00A24320"/>
    <w:rsid w:val="00A2468F"/>
    <w:rsid w:val="00A24ACD"/>
    <w:rsid w:val="00A24E95"/>
    <w:rsid w:val="00A254F9"/>
    <w:rsid w:val="00A256F9"/>
    <w:rsid w:val="00A261F3"/>
    <w:rsid w:val="00A2645A"/>
    <w:rsid w:val="00A2670B"/>
    <w:rsid w:val="00A2704C"/>
    <w:rsid w:val="00A275C7"/>
    <w:rsid w:val="00A2762A"/>
    <w:rsid w:val="00A278D9"/>
    <w:rsid w:val="00A279FF"/>
    <w:rsid w:val="00A27EC1"/>
    <w:rsid w:val="00A3050C"/>
    <w:rsid w:val="00A30521"/>
    <w:rsid w:val="00A31AAD"/>
    <w:rsid w:val="00A31DCB"/>
    <w:rsid w:val="00A321F2"/>
    <w:rsid w:val="00A326CF"/>
    <w:rsid w:val="00A32CE6"/>
    <w:rsid w:val="00A33068"/>
    <w:rsid w:val="00A330F2"/>
    <w:rsid w:val="00A3384D"/>
    <w:rsid w:val="00A33DA3"/>
    <w:rsid w:val="00A34109"/>
    <w:rsid w:val="00A341BA"/>
    <w:rsid w:val="00A34317"/>
    <w:rsid w:val="00A34A14"/>
    <w:rsid w:val="00A34B24"/>
    <w:rsid w:val="00A357F6"/>
    <w:rsid w:val="00A35A77"/>
    <w:rsid w:val="00A35E7E"/>
    <w:rsid w:val="00A36318"/>
    <w:rsid w:val="00A36333"/>
    <w:rsid w:val="00A364FC"/>
    <w:rsid w:val="00A3657F"/>
    <w:rsid w:val="00A36988"/>
    <w:rsid w:val="00A36A77"/>
    <w:rsid w:val="00A36CE2"/>
    <w:rsid w:val="00A36DDC"/>
    <w:rsid w:val="00A376B6"/>
    <w:rsid w:val="00A405AB"/>
    <w:rsid w:val="00A4073A"/>
    <w:rsid w:val="00A40753"/>
    <w:rsid w:val="00A41445"/>
    <w:rsid w:val="00A41536"/>
    <w:rsid w:val="00A415D5"/>
    <w:rsid w:val="00A415EB"/>
    <w:rsid w:val="00A41860"/>
    <w:rsid w:val="00A4189A"/>
    <w:rsid w:val="00A41E9B"/>
    <w:rsid w:val="00A424B4"/>
    <w:rsid w:val="00A428FF"/>
    <w:rsid w:val="00A42D20"/>
    <w:rsid w:val="00A42D55"/>
    <w:rsid w:val="00A430B2"/>
    <w:rsid w:val="00A430DE"/>
    <w:rsid w:val="00A43CFB"/>
    <w:rsid w:val="00A44096"/>
    <w:rsid w:val="00A44110"/>
    <w:rsid w:val="00A44493"/>
    <w:rsid w:val="00A44A5C"/>
    <w:rsid w:val="00A44B46"/>
    <w:rsid w:val="00A44BE4"/>
    <w:rsid w:val="00A453BC"/>
    <w:rsid w:val="00A4558F"/>
    <w:rsid w:val="00A4569F"/>
    <w:rsid w:val="00A45A6F"/>
    <w:rsid w:val="00A45BB0"/>
    <w:rsid w:val="00A45D60"/>
    <w:rsid w:val="00A45D77"/>
    <w:rsid w:val="00A46500"/>
    <w:rsid w:val="00A46584"/>
    <w:rsid w:val="00A46ABC"/>
    <w:rsid w:val="00A47803"/>
    <w:rsid w:val="00A47FBD"/>
    <w:rsid w:val="00A50216"/>
    <w:rsid w:val="00A5043A"/>
    <w:rsid w:val="00A5060C"/>
    <w:rsid w:val="00A5062E"/>
    <w:rsid w:val="00A507C4"/>
    <w:rsid w:val="00A5107C"/>
    <w:rsid w:val="00A513D7"/>
    <w:rsid w:val="00A514FC"/>
    <w:rsid w:val="00A51538"/>
    <w:rsid w:val="00A51588"/>
    <w:rsid w:val="00A517F8"/>
    <w:rsid w:val="00A51926"/>
    <w:rsid w:val="00A519D8"/>
    <w:rsid w:val="00A524E0"/>
    <w:rsid w:val="00A5259E"/>
    <w:rsid w:val="00A526B2"/>
    <w:rsid w:val="00A52823"/>
    <w:rsid w:val="00A52BF4"/>
    <w:rsid w:val="00A53028"/>
    <w:rsid w:val="00A53AFB"/>
    <w:rsid w:val="00A54235"/>
    <w:rsid w:val="00A544C9"/>
    <w:rsid w:val="00A548E3"/>
    <w:rsid w:val="00A54B0C"/>
    <w:rsid w:val="00A54CA4"/>
    <w:rsid w:val="00A54D69"/>
    <w:rsid w:val="00A55053"/>
    <w:rsid w:val="00A552B3"/>
    <w:rsid w:val="00A55788"/>
    <w:rsid w:val="00A55E7C"/>
    <w:rsid w:val="00A55FA9"/>
    <w:rsid w:val="00A55FF6"/>
    <w:rsid w:val="00A56490"/>
    <w:rsid w:val="00A56E37"/>
    <w:rsid w:val="00A570C4"/>
    <w:rsid w:val="00A5729A"/>
    <w:rsid w:val="00A578BA"/>
    <w:rsid w:val="00A57BA1"/>
    <w:rsid w:val="00A57C72"/>
    <w:rsid w:val="00A57CEA"/>
    <w:rsid w:val="00A57E4E"/>
    <w:rsid w:val="00A60496"/>
    <w:rsid w:val="00A60C11"/>
    <w:rsid w:val="00A60C23"/>
    <w:rsid w:val="00A60DD9"/>
    <w:rsid w:val="00A611AA"/>
    <w:rsid w:val="00A61A15"/>
    <w:rsid w:val="00A61E7C"/>
    <w:rsid w:val="00A62085"/>
    <w:rsid w:val="00A62A8D"/>
    <w:rsid w:val="00A62D8E"/>
    <w:rsid w:val="00A62F76"/>
    <w:rsid w:val="00A63335"/>
    <w:rsid w:val="00A63749"/>
    <w:rsid w:val="00A63DE4"/>
    <w:rsid w:val="00A63DE8"/>
    <w:rsid w:val="00A640D1"/>
    <w:rsid w:val="00A6438D"/>
    <w:rsid w:val="00A64439"/>
    <w:rsid w:val="00A649BA"/>
    <w:rsid w:val="00A64AB0"/>
    <w:rsid w:val="00A64C5D"/>
    <w:rsid w:val="00A652C2"/>
    <w:rsid w:val="00A65A3C"/>
    <w:rsid w:val="00A65B86"/>
    <w:rsid w:val="00A660C5"/>
    <w:rsid w:val="00A66270"/>
    <w:rsid w:val="00A66397"/>
    <w:rsid w:val="00A664BD"/>
    <w:rsid w:val="00A66DAB"/>
    <w:rsid w:val="00A66E8E"/>
    <w:rsid w:val="00A674CA"/>
    <w:rsid w:val="00A67643"/>
    <w:rsid w:val="00A6778B"/>
    <w:rsid w:val="00A678C2"/>
    <w:rsid w:val="00A678D1"/>
    <w:rsid w:val="00A67AD9"/>
    <w:rsid w:val="00A67F21"/>
    <w:rsid w:val="00A70542"/>
    <w:rsid w:val="00A70585"/>
    <w:rsid w:val="00A7089F"/>
    <w:rsid w:val="00A709A5"/>
    <w:rsid w:val="00A70CC9"/>
    <w:rsid w:val="00A70FB8"/>
    <w:rsid w:val="00A71216"/>
    <w:rsid w:val="00A715DA"/>
    <w:rsid w:val="00A719CD"/>
    <w:rsid w:val="00A71B84"/>
    <w:rsid w:val="00A7217D"/>
    <w:rsid w:val="00A72364"/>
    <w:rsid w:val="00A723DA"/>
    <w:rsid w:val="00A72851"/>
    <w:rsid w:val="00A72A3B"/>
    <w:rsid w:val="00A72F61"/>
    <w:rsid w:val="00A73093"/>
    <w:rsid w:val="00A7321A"/>
    <w:rsid w:val="00A7340D"/>
    <w:rsid w:val="00A739DF"/>
    <w:rsid w:val="00A73A15"/>
    <w:rsid w:val="00A74157"/>
    <w:rsid w:val="00A742D5"/>
    <w:rsid w:val="00A7462E"/>
    <w:rsid w:val="00A74DBD"/>
    <w:rsid w:val="00A74E6E"/>
    <w:rsid w:val="00A751B9"/>
    <w:rsid w:val="00A7534F"/>
    <w:rsid w:val="00A75B2A"/>
    <w:rsid w:val="00A76037"/>
    <w:rsid w:val="00A7669B"/>
    <w:rsid w:val="00A766EE"/>
    <w:rsid w:val="00A76769"/>
    <w:rsid w:val="00A76D36"/>
    <w:rsid w:val="00A771BD"/>
    <w:rsid w:val="00A77558"/>
    <w:rsid w:val="00A77CC7"/>
    <w:rsid w:val="00A77D91"/>
    <w:rsid w:val="00A801F3"/>
    <w:rsid w:val="00A8054A"/>
    <w:rsid w:val="00A80800"/>
    <w:rsid w:val="00A8080B"/>
    <w:rsid w:val="00A80A89"/>
    <w:rsid w:val="00A80B90"/>
    <w:rsid w:val="00A80DBB"/>
    <w:rsid w:val="00A80DED"/>
    <w:rsid w:val="00A80DFA"/>
    <w:rsid w:val="00A80E8C"/>
    <w:rsid w:val="00A811A6"/>
    <w:rsid w:val="00A8146A"/>
    <w:rsid w:val="00A81914"/>
    <w:rsid w:val="00A822E3"/>
    <w:rsid w:val="00A82B7D"/>
    <w:rsid w:val="00A82CA9"/>
    <w:rsid w:val="00A82F48"/>
    <w:rsid w:val="00A82F92"/>
    <w:rsid w:val="00A8321A"/>
    <w:rsid w:val="00A83264"/>
    <w:rsid w:val="00A83743"/>
    <w:rsid w:val="00A838C9"/>
    <w:rsid w:val="00A83A6E"/>
    <w:rsid w:val="00A84286"/>
    <w:rsid w:val="00A84335"/>
    <w:rsid w:val="00A84500"/>
    <w:rsid w:val="00A846CB"/>
    <w:rsid w:val="00A8482A"/>
    <w:rsid w:val="00A848BE"/>
    <w:rsid w:val="00A84C65"/>
    <w:rsid w:val="00A84E8F"/>
    <w:rsid w:val="00A85435"/>
    <w:rsid w:val="00A8571D"/>
    <w:rsid w:val="00A858F9"/>
    <w:rsid w:val="00A8595E"/>
    <w:rsid w:val="00A86870"/>
    <w:rsid w:val="00A8693F"/>
    <w:rsid w:val="00A86967"/>
    <w:rsid w:val="00A8726A"/>
    <w:rsid w:val="00A875EE"/>
    <w:rsid w:val="00A87B5B"/>
    <w:rsid w:val="00A87DDB"/>
    <w:rsid w:val="00A87E56"/>
    <w:rsid w:val="00A9001E"/>
    <w:rsid w:val="00A9022C"/>
    <w:rsid w:val="00A90A3F"/>
    <w:rsid w:val="00A91134"/>
    <w:rsid w:val="00A91139"/>
    <w:rsid w:val="00A9129E"/>
    <w:rsid w:val="00A91536"/>
    <w:rsid w:val="00A91741"/>
    <w:rsid w:val="00A91BA2"/>
    <w:rsid w:val="00A91D75"/>
    <w:rsid w:val="00A9214A"/>
    <w:rsid w:val="00A9217C"/>
    <w:rsid w:val="00A927A5"/>
    <w:rsid w:val="00A92AB0"/>
    <w:rsid w:val="00A92BDD"/>
    <w:rsid w:val="00A92CDE"/>
    <w:rsid w:val="00A93057"/>
    <w:rsid w:val="00A9306A"/>
    <w:rsid w:val="00A9367F"/>
    <w:rsid w:val="00A93ADA"/>
    <w:rsid w:val="00A93C22"/>
    <w:rsid w:val="00A94021"/>
    <w:rsid w:val="00A9443A"/>
    <w:rsid w:val="00A944AC"/>
    <w:rsid w:val="00A95110"/>
    <w:rsid w:val="00A9528C"/>
    <w:rsid w:val="00A952CA"/>
    <w:rsid w:val="00A954DC"/>
    <w:rsid w:val="00A95D11"/>
    <w:rsid w:val="00A95FF7"/>
    <w:rsid w:val="00A964B1"/>
    <w:rsid w:val="00A9684C"/>
    <w:rsid w:val="00A96C64"/>
    <w:rsid w:val="00A96FEC"/>
    <w:rsid w:val="00A97288"/>
    <w:rsid w:val="00A97D04"/>
    <w:rsid w:val="00A97D46"/>
    <w:rsid w:val="00A97EB7"/>
    <w:rsid w:val="00AA04EE"/>
    <w:rsid w:val="00AA0921"/>
    <w:rsid w:val="00AA0CD0"/>
    <w:rsid w:val="00AA11EB"/>
    <w:rsid w:val="00AA14A9"/>
    <w:rsid w:val="00AA18E1"/>
    <w:rsid w:val="00AA1A8B"/>
    <w:rsid w:val="00AA209B"/>
    <w:rsid w:val="00AA210A"/>
    <w:rsid w:val="00AA222C"/>
    <w:rsid w:val="00AA2665"/>
    <w:rsid w:val="00AA2729"/>
    <w:rsid w:val="00AA2AA6"/>
    <w:rsid w:val="00AA2DD8"/>
    <w:rsid w:val="00AA3065"/>
    <w:rsid w:val="00AA3404"/>
    <w:rsid w:val="00AA346D"/>
    <w:rsid w:val="00AA352D"/>
    <w:rsid w:val="00AA36D6"/>
    <w:rsid w:val="00AA385A"/>
    <w:rsid w:val="00AA3896"/>
    <w:rsid w:val="00AA395C"/>
    <w:rsid w:val="00AA3B62"/>
    <w:rsid w:val="00AA3C0C"/>
    <w:rsid w:val="00AA3CCF"/>
    <w:rsid w:val="00AA401D"/>
    <w:rsid w:val="00AA445C"/>
    <w:rsid w:val="00AA46F9"/>
    <w:rsid w:val="00AA4AAF"/>
    <w:rsid w:val="00AA4F1A"/>
    <w:rsid w:val="00AA50B7"/>
    <w:rsid w:val="00AA528F"/>
    <w:rsid w:val="00AA581D"/>
    <w:rsid w:val="00AA5C8C"/>
    <w:rsid w:val="00AA6060"/>
    <w:rsid w:val="00AA629B"/>
    <w:rsid w:val="00AA651A"/>
    <w:rsid w:val="00AA664E"/>
    <w:rsid w:val="00AA6764"/>
    <w:rsid w:val="00AA6906"/>
    <w:rsid w:val="00AA6A4F"/>
    <w:rsid w:val="00AA6BA4"/>
    <w:rsid w:val="00AA6F56"/>
    <w:rsid w:val="00AA6F67"/>
    <w:rsid w:val="00AA7623"/>
    <w:rsid w:val="00AA7691"/>
    <w:rsid w:val="00AB00F4"/>
    <w:rsid w:val="00AB0146"/>
    <w:rsid w:val="00AB0168"/>
    <w:rsid w:val="00AB0724"/>
    <w:rsid w:val="00AB0A77"/>
    <w:rsid w:val="00AB0B52"/>
    <w:rsid w:val="00AB0FB7"/>
    <w:rsid w:val="00AB10D9"/>
    <w:rsid w:val="00AB11C4"/>
    <w:rsid w:val="00AB1DDB"/>
    <w:rsid w:val="00AB218F"/>
    <w:rsid w:val="00AB22F1"/>
    <w:rsid w:val="00AB23C0"/>
    <w:rsid w:val="00AB24B5"/>
    <w:rsid w:val="00AB2586"/>
    <w:rsid w:val="00AB27B5"/>
    <w:rsid w:val="00AB2A41"/>
    <w:rsid w:val="00AB2B35"/>
    <w:rsid w:val="00AB2B3F"/>
    <w:rsid w:val="00AB2D6F"/>
    <w:rsid w:val="00AB2D7D"/>
    <w:rsid w:val="00AB2FC3"/>
    <w:rsid w:val="00AB2FD9"/>
    <w:rsid w:val="00AB3599"/>
    <w:rsid w:val="00AB37CB"/>
    <w:rsid w:val="00AB3DD8"/>
    <w:rsid w:val="00AB4209"/>
    <w:rsid w:val="00AB4255"/>
    <w:rsid w:val="00AB44B7"/>
    <w:rsid w:val="00AB486D"/>
    <w:rsid w:val="00AB4871"/>
    <w:rsid w:val="00AB4BC7"/>
    <w:rsid w:val="00AB4D59"/>
    <w:rsid w:val="00AB4EC7"/>
    <w:rsid w:val="00AB5882"/>
    <w:rsid w:val="00AB5CD3"/>
    <w:rsid w:val="00AB5D90"/>
    <w:rsid w:val="00AB5DCA"/>
    <w:rsid w:val="00AB5E57"/>
    <w:rsid w:val="00AB5EC6"/>
    <w:rsid w:val="00AB60D9"/>
    <w:rsid w:val="00AB62D2"/>
    <w:rsid w:val="00AB67F0"/>
    <w:rsid w:val="00AB6A52"/>
    <w:rsid w:val="00AB6EEE"/>
    <w:rsid w:val="00AB6F69"/>
    <w:rsid w:val="00AB6F81"/>
    <w:rsid w:val="00AB703F"/>
    <w:rsid w:val="00AB71FA"/>
    <w:rsid w:val="00AB7447"/>
    <w:rsid w:val="00AB769D"/>
    <w:rsid w:val="00AB77C4"/>
    <w:rsid w:val="00AB7835"/>
    <w:rsid w:val="00AB784F"/>
    <w:rsid w:val="00AB79AC"/>
    <w:rsid w:val="00AB7C63"/>
    <w:rsid w:val="00AB7FD1"/>
    <w:rsid w:val="00AC0430"/>
    <w:rsid w:val="00AC05B5"/>
    <w:rsid w:val="00AC0819"/>
    <w:rsid w:val="00AC0C5C"/>
    <w:rsid w:val="00AC1A06"/>
    <w:rsid w:val="00AC1F8D"/>
    <w:rsid w:val="00AC26EB"/>
    <w:rsid w:val="00AC2B0E"/>
    <w:rsid w:val="00AC31C8"/>
    <w:rsid w:val="00AC3507"/>
    <w:rsid w:val="00AC3829"/>
    <w:rsid w:val="00AC397C"/>
    <w:rsid w:val="00AC3982"/>
    <w:rsid w:val="00AC3994"/>
    <w:rsid w:val="00AC3A97"/>
    <w:rsid w:val="00AC3B23"/>
    <w:rsid w:val="00AC3EF2"/>
    <w:rsid w:val="00AC48DD"/>
    <w:rsid w:val="00AC4999"/>
    <w:rsid w:val="00AC4A1B"/>
    <w:rsid w:val="00AC4AED"/>
    <w:rsid w:val="00AC4CAF"/>
    <w:rsid w:val="00AC6820"/>
    <w:rsid w:val="00AC6922"/>
    <w:rsid w:val="00AC6DBB"/>
    <w:rsid w:val="00AC6FF9"/>
    <w:rsid w:val="00AC70FF"/>
    <w:rsid w:val="00AC71C8"/>
    <w:rsid w:val="00AC7608"/>
    <w:rsid w:val="00AC7AA1"/>
    <w:rsid w:val="00AD01B2"/>
    <w:rsid w:val="00AD0307"/>
    <w:rsid w:val="00AD04EB"/>
    <w:rsid w:val="00AD066C"/>
    <w:rsid w:val="00AD0671"/>
    <w:rsid w:val="00AD0ECF"/>
    <w:rsid w:val="00AD0F46"/>
    <w:rsid w:val="00AD115E"/>
    <w:rsid w:val="00AD119D"/>
    <w:rsid w:val="00AD1709"/>
    <w:rsid w:val="00AD1CCC"/>
    <w:rsid w:val="00AD1FB6"/>
    <w:rsid w:val="00AD213B"/>
    <w:rsid w:val="00AD245F"/>
    <w:rsid w:val="00AD2591"/>
    <w:rsid w:val="00AD2755"/>
    <w:rsid w:val="00AD2DB2"/>
    <w:rsid w:val="00AD31BD"/>
    <w:rsid w:val="00AD347D"/>
    <w:rsid w:val="00AD3706"/>
    <w:rsid w:val="00AD3747"/>
    <w:rsid w:val="00AD3AD4"/>
    <w:rsid w:val="00AD3B7F"/>
    <w:rsid w:val="00AD4ED8"/>
    <w:rsid w:val="00AD5053"/>
    <w:rsid w:val="00AD52A4"/>
    <w:rsid w:val="00AD5567"/>
    <w:rsid w:val="00AD5D05"/>
    <w:rsid w:val="00AD5DE3"/>
    <w:rsid w:val="00AD5E63"/>
    <w:rsid w:val="00AD5FC9"/>
    <w:rsid w:val="00AD6432"/>
    <w:rsid w:val="00AD6EED"/>
    <w:rsid w:val="00AD76F7"/>
    <w:rsid w:val="00AD784D"/>
    <w:rsid w:val="00AD7857"/>
    <w:rsid w:val="00AD79C0"/>
    <w:rsid w:val="00AE0799"/>
    <w:rsid w:val="00AE0805"/>
    <w:rsid w:val="00AE1712"/>
    <w:rsid w:val="00AE179A"/>
    <w:rsid w:val="00AE1811"/>
    <w:rsid w:val="00AE1A04"/>
    <w:rsid w:val="00AE1AD6"/>
    <w:rsid w:val="00AE1C3C"/>
    <w:rsid w:val="00AE1C45"/>
    <w:rsid w:val="00AE1EDE"/>
    <w:rsid w:val="00AE2ACD"/>
    <w:rsid w:val="00AE2D4A"/>
    <w:rsid w:val="00AE309B"/>
    <w:rsid w:val="00AE3172"/>
    <w:rsid w:val="00AE3304"/>
    <w:rsid w:val="00AE3482"/>
    <w:rsid w:val="00AE3555"/>
    <w:rsid w:val="00AE38AB"/>
    <w:rsid w:val="00AE3942"/>
    <w:rsid w:val="00AE407C"/>
    <w:rsid w:val="00AE40BA"/>
    <w:rsid w:val="00AE421F"/>
    <w:rsid w:val="00AE49C4"/>
    <w:rsid w:val="00AE4B65"/>
    <w:rsid w:val="00AE4E05"/>
    <w:rsid w:val="00AE4EF6"/>
    <w:rsid w:val="00AE5134"/>
    <w:rsid w:val="00AE52DB"/>
    <w:rsid w:val="00AE5375"/>
    <w:rsid w:val="00AE53DD"/>
    <w:rsid w:val="00AE55D5"/>
    <w:rsid w:val="00AE57EB"/>
    <w:rsid w:val="00AE5974"/>
    <w:rsid w:val="00AE5B21"/>
    <w:rsid w:val="00AE5F4A"/>
    <w:rsid w:val="00AE6090"/>
    <w:rsid w:val="00AE64C9"/>
    <w:rsid w:val="00AE659A"/>
    <w:rsid w:val="00AE6A30"/>
    <w:rsid w:val="00AE6C2C"/>
    <w:rsid w:val="00AE6CA7"/>
    <w:rsid w:val="00AE6E7C"/>
    <w:rsid w:val="00AE7472"/>
    <w:rsid w:val="00AE74EB"/>
    <w:rsid w:val="00AE7CF8"/>
    <w:rsid w:val="00AF0407"/>
    <w:rsid w:val="00AF0481"/>
    <w:rsid w:val="00AF072D"/>
    <w:rsid w:val="00AF07AE"/>
    <w:rsid w:val="00AF0A56"/>
    <w:rsid w:val="00AF0CFB"/>
    <w:rsid w:val="00AF13EE"/>
    <w:rsid w:val="00AF1413"/>
    <w:rsid w:val="00AF169A"/>
    <w:rsid w:val="00AF1A0C"/>
    <w:rsid w:val="00AF1BF3"/>
    <w:rsid w:val="00AF1EC1"/>
    <w:rsid w:val="00AF207C"/>
    <w:rsid w:val="00AF2483"/>
    <w:rsid w:val="00AF257A"/>
    <w:rsid w:val="00AF2707"/>
    <w:rsid w:val="00AF2FCC"/>
    <w:rsid w:val="00AF3A17"/>
    <w:rsid w:val="00AF3B91"/>
    <w:rsid w:val="00AF440E"/>
    <w:rsid w:val="00AF4B59"/>
    <w:rsid w:val="00AF4C28"/>
    <w:rsid w:val="00AF4F9C"/>
    <w:rsid w:val="00AF528B"/>
    <w:rsid w:val="00AF5690"/>
    <w:rsid w:val="00AF5AC3"/>
    <w:rsid w:val="00AF5E80"/>
    <w:rsid w:val="00AF612E"/>
    <w:rsid w:val="00AF63C0"/>
    <w:rsid w:val="00AF68C8"/>
    <w:rsid w:val="00AF6950"/>
    <w:rsid w:val="00AF6ABC"/>
    <w:rsid w:val="00AF6B39"/>
    <w:rsid w:val="00AF6E52"/>
    <w:rsid w:val="00AF6EEC"/>
    <w:rsid w:val="00AF70B6"/>
    <w:rsid w:val="00AF720A"/>
    <w:rsid w:val="00AF7251"/>
    <w:rsid w:val="00AF7878"/>
    <w:rsid w:val="00B0061C"/>
    <w:rsid w:val="00B00DD2"/>
    <w:rsid w:val="00B01627"/>
    <w:rsid w:val="00B02131"/>
    <w:rsid w:val="00B021AA"/>
    <w:rsid w:val="00B02982"/>
    <w:rsid w:val="00B02A1A"/>
    <w:rsid w:val="00B02B16"/>
    <w:rsid w:val="00B0358C"/>
    <w:rsid w:val="00B03814"/>
    <w:rsid w:val="00B039B1"/>
    <w:rsid w:val="00B03BB1"/>
    <w:rsid w:val="00B03F4F"/>
    <w:rsid w:val="00B041E7"/>
    <w:rsid w:val="00B04705"/>
    <w:rsid w:val="00B0483A"/>
    <w:rsid w:val="00B04849"/>
    <w:rsid w:val="00B04F2B"/>
    <w:rsid w:val="00B0531B"/>
    <w:rsid w:val="00B05D94"/>
    <w:rsid w:val="00B062B0"/>
    <w:rsid w:val="00B06877"/>
    <w:rsid w:val="00B06C71"/>
    <w:rsid w:val="00B07304"/>
    <w:rsid w:val="00B0735B"/>
    <w:rsid w:val="00B07448"/>
    <w:rsid w:val="00B07ED5"/>
    <w:rsid w:val="00B07ED6"/>
    <w:rsid w:val="00B07F12"/>
    <w:rsid w:val="00B10341"/>
    <w:rsid w:val="00B103A8"/>
    <w:rsid w:val="00B1047E"/>
    <w:rsid w:val="00B10A28"/>
    <w:rsid w:val="00B110AE"/>
    <w:rsid w:val="00B1141B"/>
    <w:rsid w:val="00B11F88"/>
    <w:rsid w:val="00B12551"/>
    <w:rsid w:val="00B128C9"/>
    <w:rsid w:val="00B12EC5"/>
    <w:rsid w:val="00B13052"/>
    <w:rsid w:val="00B13124"/>
    <w:rsid w:val="00B13E96"/>
    <w:rsid w:val="00B13FC3"/>
    <w:rsid w:val="00B142B8"/>
    <w:rsid w:val="00B144FF"/>
    <w:rsid w:val="00B1455D"/>
    <w:rsid w:val="00B14666"/>
    <w:rsid w:val="00B1505A"/>
    <w:rsid w:val="00B154F9"/>
    <w:rsid w:val="00B155CA"/>
    <w:rsid w:val="00B15B95"/>
    <w:rsid w:val="00B15E2D"/>
    <w:rsid w:val="00B163E0"/>
    <w:rsid w:val="00B16CF2"/>
    <w:rsid w:val="00B171E1"/>
    <w:rsid w:val="00B175A3"/>
    <w:rsid w:val="00B1761B"/>
    <w:rsid w:val="00B176DE"/>
    <w:rsid w:val="00B177A6"/>
    <w:rsid w:val="00B17B4B"/>
    <w:rsid w:val="00B2005B"/>
    <w:rsid w:val="00B20100"/>
    <w:rsid w:val="00B20741"/>
    <w:rsid w:val="00B207F4"/>
    <w:rsid w:val="00B208E3"/>
    <w:rsid w:val="00B2092A"/>
    <w:rsid w:val="00B20933"/>
    <w:rsid w:val="00B20E76"/>
    <w:rsid w:val="00B21582"/>
    <w:rsid w:val="00B219F8"/>
    <w:rsid w:val="00B221EB"/>
    <w:rsid w:val="00B2247F"/>
    <w:rsid w:val="00B2248B"/>
    <w:rsid w:val="00B224D1"/>
    <w:rsid w:val="00B22602"/>
    <w:rsid w:val="00B227D0"/>
    <w:rsid w:val="00B22A5D"/>
    <w:rsid w:val="00B23317"/>
    <w:rsid w:val="00B23A50"/>
    <w:rsid w:val="00B23B9B"/>
    <w:rsid w:val="00B243A5"/>
    <w:rsid w:val="00B24646"/>
    <w:rsid w:val="00B246DA"/>
    <w:rsid w:val="00B2526C"/>
    <w:rsid w:val="00B254E2"/>
    <w:rsid w:val="00B25621"/>
    <w:rsid w:val="00B259DE"/>
    <w:rsid w:val="00B25F39"/>
    <w:rsid w:val="00B260BD"/>
    <w:rsid w:val="00B263CA"/>
    <w:rsid w:val="00B2681E"/>
    <w:rsid w:val="00B26A63"/>
    <w:rsid w:val="00B2712E"/>
    <w:rsid w:val="00B273AB"/>
    <w:rsid w:val="00B276CE"/>
    <w:rsid w:val="00B27768"/>
    <w:rsid w:val="00B2778C"/>
    <w:rsid w:val="00B27841"/>
    <w:rsid w:val="00B278E4"/>
    <w:rsid w:val="00B27A3F"/>
    <w:rsid w:val="00B27C49"/>
    <w:rsid w:val="00B30354"/>
    <w:rsid w:val="00B30480"/>
    <w:rsid w:val="00B306F4"/>
    <w:rsid w:val="00B30CBC"/>
    <w:rsid w:val="00B31E43"/>
    <w:rsid w:val="00B3203D"/>
    <w:rsid w:val="00B32133"/>
    <w:rsid w:val="00B322EC"/>
    <w:rsid w:val="00B323FA"/>
    <w:rsid w:val="00B329CE"/>
    <w:rsid w:val="00B32B04"/>
    <w:rsid w:val="00B33879"/>
    <w:rsid w:val="00B33B1D"/>
    <w:rsid w:val="00B33BC4"/>
    <w:rsid w:val="00B3405F"/>
    <w:rsid w:val="00B340AE"/>
    <w:rsid w:val="00B34287"/>
    <w:rsid w:val="00B34469"/>
    <w:rsid w:val="00B344FB"/>
    <w:rsid w:val="00B345BA"/>
    <w:rsid w:val="00B345EF"/>
    <w:rsid w:val="00B34616"/>
    <w:rsid w:val="00B346FE"/>
    <w:rsid w:val="00B34719"/>
    <w:rsid w:val="00B3478C"/>
    <w:rsid w:val="00B34DD2"/>
    <w:rsid w:val="00B34F8F"/>
    <w:rsid w:val="00B3518A"/>
    <w:rsid w:val="00B3527A"/>
    <w:rsid w:val="00B35289"/>
    <w:rsid w:val="00B354A1"/>
    <w:rsid w:val="00B3562D"/>
    <w:rsid w:val="00B356FF"/>
    <w:rsid w:val="00B35F03"/>
    <w:rsid w:val="00B36014"/>
    <w:rsid w:val="00B363D8"/>
    <w:rsid w:val="00B36742"/>
    <w:rsid w:val="00B3674D"/>
    <w:rsid w:val="00B36B63"/>
    <w:rsid w:val="00B36D27"/>
    <w:rsid w:val="00B36F45"/>
    <w:rsid w:val="00B37182"/>
    <w:rsid w:val="00B37714"/>
    <w:rsid w:val="00B37AB5"/>
    <w:rsid w:val="00B37EBC"/>
    <w:rsid w:val="00B37F19"/>
    <w:rsid w:val="00B40200"/>
    <w:rsid w:val="00B403F5"/>
    <w:rsid w:val="00B404D2"/>
    <w:rsid w:val="00B406CA"/>
    <w:rsid w:val="00B40DB0"/>
    <w:rsid w:val="00B410B7"/>
    <w:rsid w:val="00B41106"/>
    <w:rsid w:val="00B41765"/>
    <w:rsid w:val="00B419C9"/>
    <w:rsid w:val="00B41B43"/>
    <w:rsid w:val="00B41B72"/>
    <w:rsid w:val="00B41D24"/>
    <w:rsid w:val="00B41F8D"/>
    <w:rsid w:val="00B42322"/>
    <w:rsid w:val="00B42753"/>
    <w:rsid w:val="00B42B17"/>
    <w:rsid w:val="00B42D00"/>
    <w:rsid w:val="00B42DA4"/>
    <w:rsid w:val="00B42F26"/>
    <w:rsid w:val="00B42F89"/>
    <w:rsid w:val="00B430D6"/>
    <w:rsid w:val="00B43463"/>
    <w:rsid w:val="00B4374B"/>
    <w:rsid w:val="00B439A8"/>
    <w:rsid w:val="00B43B79"/>
    <w:rsid w:val="00B43FB0"/>
    <w:rsid w:val="00B4437C"/>
    <w:rsid w:val="00B44A28"/>
    <w:rsid w:val="00B44BB1"/>
    <w:rsid w:val="00B44CFB"/>
    <w:rsid w:val="00B45638"/>
    <w:rsid w:val="00B45792"/>
    <w:rsid w:val="00B45B67"/>
    <w:rsid w:val="00B45CD6"/>
    <w:rsid w:val="00B45D8B"/>
    <w:rsid w:val="00B45ECF"/>
    <w:rsid w:val="00B464A2"/>
    <w:rsid w:val="00B46547"/>
    <w:rsid w:val="00B468BC"/>
    <w:rsid w:val="00B46B16"/>
    <w:rsid w:val="00B46F84"/>
    <w:rsid w:val="00B47176"/>
    <w:rsid w:val="00B473A7"/>
    <w:rsid w:val="00B476C1"/>
    <w:rsid w:val="00B47807"/>
    <w:rsid w:val="00B47A55"/>
    <w:rsid w:val="00B47B29"/>
    <w:rsid w:val="00B50286"/>
    <w:rsid w:val="00B5062F"/>
    <w:rsid w:val="00B50AD2"/>
    <w:rsid w:val="00B50BBB"/>
    <w:rsid w:val="00B50BC9"/>
    <w:rsid w:val="00B50E1F"/>
    <w:rsid w:val="00B51372"/>
    <w:rsid w:val="00B513B6"/>
    <w:rsid w:val="00B51612"/>
    <w:rsid w:val="00B51D23"/>
    <w:rsid w:val="00B51FD9"/>
    <w:rsid w:val="00B520C0"/>
    <w:rsid w:val="00B522A6"/>
    <w:rsid w:val="00B52C71"/>
    <w:rsid w:val="00B52F79"/>
    <w:rsid w:val="00B532BA"/>
    <w:rsid w:val="00B533A6"/>
    <w:rsid w:val="00B535D5"/>
    <w:rsid w:val="00B53838"/>
    <w:rsid w:val="00B53ECA"/>
    <w:rsid w:val="00B54A0A"/>
    <w:rsid w:val="00B54A0E"/>
    <w:rsid w:val="00B54F7C"/>
    <w:rsid w:val="00B55172"/>
    <w:rsid w:val="00B5517A"/>
    <w:rsid w:val="00B551B2"/>
    <w:rsid w:val="00B55750"/>
    <w:rsid w:val="00B558D0"/>
    <w:rsid w:val="00B564F6"/>
    <w:rsid w:val="00B56C15"/>
    <w:rsid w:val="00B56D36"/>
    <w:rsid w:val="00B574C9"/>
    <w:rsid w:val="00B5753C"/>
    <w:rsid w:val="00B576D3"/>
    <w:rsid w:val="00B57783"/>
    <w:rsid w:val="00B57947"/>
    <w:rsid w:val="00B57BD7"/>
    <w:rsid w:val="00B6035F"/>
    <w:rsid w:val="00B604AF"/>
    <w:rsid w:val="00B604D2"/>
    <w:rsid w:val="00B60619"/>
    <w:rsid w:val="00B6076F"/>
    <w:rsid w:val="00B607C9"/>
    <w:rsid w:val="00B60821"/>
    <w:rsid w:val="00B6091D"/>
    <w:rsid w:val="00B60C4F"/>
    <w:rsid w:val="00B60C58"/>
    <w:rsid w:val="00B6155D"/>
    <w:rsid w:val="00B615B8"/>
    <w:rsid w:val="00B61D8F"/>
    <w:rsid w:val="00B628B1"/>
    <w:rsid w:val="00B631BB"/>
    <w:rsid w:val="00B63919"/>
    <w:rsid w:val="00B63920"/>
    <w:rsid w:val="00B63AC4"/>
    <w:rsid w:val="00B63BF7"/>
    <w:rsid w:val="00B64BF9"/>
    <w:rsid w:val="00B64DD4"/>
    <w:rsid w:val="00B6526C"/>
    <w:rsid w:val="00B65FE8"/>
    <w:rsid w:val="00B6652C"/>
    <w:rsid w:val="00B66668"/>
    <w:rsid w:val="00B66852"/>
    <w:rsid w:val="00B66FFE"/>
    <w:rsid w:val="00B67479"/>
    <w:rsid w:val="00B674A9"/>
    <w:rsid w:val="00B6762E"/>
    <w:rsid w:val="00B6780F"/>
    <w:rsid w:val="00B67B9B"/>
    <w:rsid w:val="00B67BED"/>
    <w:rsid w:val="00B67E33"/>
    <w:rsid w:val="00B67F84"/>
    <w:rsid w:val="00B70A4D"/>
    <w:rsid w:val="00B70A93"/>
    <w:rsid w:val="00B711C3"/>
    <w:rsid w:val="00B71546"/>
    <w:rsid w:val="00B71CD1"/>
    <w:rsid w:val="00B71F25"/>
    <w:rsid w:val="00B72002"/>
    <w:rsid w:val="00B725F8"/>
    <w:rsid w:val="00B727A0"/>
    <w:rsid w:val="00B729B4"/>
    <w:rsid w:val="00B72A25"/>
    <w:rsid w:val="00B72AEB"/>
    <w:rsid w:val="00B72EF6"/>
    <w:rsid w:val="00B72EFD"/>
    <w:rsid w:val="00B72F72"/>
    <w:rsid w:val="00B7303A"/>
    <w:rsid w:val="00B7316A"/>
    <w:rsid w:val="00B732A1"/>
    <w:rsid w:val="00B733B9"/>
    <w:rsid w:val="00B737D9"/>
    <w:rsid w:val="00B73A66"/>
    <w:rsid w:val="00B73CF3"/>
    <w:rsid w:val="00B73DDF"/>
    <w:rsid w:val="00B73F9D"/>
    <w:rsid w:val="00B74062"/>
    <w:rsid w:val="00B743DA"/>
    <w:rsid w:val="00B74589"/>
    <w:rsid w:val="00B74D34"/>
    <w:rsid w:val="00B7506D"/>
    <w:rsid w:val="00B75471"/>
    <w:rsid w:val="00B75591"/>
    <w:rsid w:val="00B75C14"/>
    <w:rsid w:val="00B75C38"/>
    <w:rsid w:val="00B75EDA"/>
    <w:rsid w:val="00B75FF2"/>
    <w:rsid w:val="00B7648E"/>
    <w:rsid w:val="00B7668B"/>
    <w:rsid w:val="00B76940"/>
    <w:rsid w:val="00B76A12"/>
    <w:rsid w:val="00B76D39"/>
    <w:rsid w:val="00B76EDD"/>
    <w:rsid w:val="00B76F16"/>
    <w:rsid w:val="00B7748E"/>
    <w:rsid w:val="00B77538"/>
    <w:rsid w:val="00B80391"/>
    <w:rsid w:val="00B8074E"/>
    <w:rsid w:val="00B8169C"/>
    <w:rsid w:val="00B82012"/>
    <w:rsid w:val="00B829CD"/>
    <w:rsid w:val="00B82BBF"/>
    <w:rsid w:val="00B82D35"/>
    <w:rsid w:val="00B82D4A"/>
    <w:rsid w:val="00B82DF3"/>
    <w:rsid w:val="00B82FC4"/>
    <w:rsid w:val="00B830D8"/>
    <w:rsid w:val="00B83442"/>
    <w:rsid w:val="00B83853"/>
    <w:rsid w:val="00B83925"/>
    <w:rsid w:val="00B839C5"/>
    <w:rsid w:val="00B83D48"/>
    <w:rsid w:val="00B83DD1"/>
    <w:rsid w:val="00B83E8D"/>
    <w:rsid w:val="00B8455C"/>
    <w:rsid w:val="00B845DD"/>
    <w:rsid w:val="00B846C0"/>
    <w:rsid w:val="00B846DF"/>
    <w:rsid w:val="00B847EA"/>
    <w:rsid w:val="00B848E2"/>
    <w:rsid w:val="00B84986"/>
    <w:rsid w:val="00B84AEA"/>
    <w:rsid w:val="00B850FC"/>
    <w:rsid w:val="00B85385"/>
    <w:rsid w:val="00B85F07"/>
    <w:rsid w:val="00B86525"/>
    <w:rsid w:val="00B86847"/>
    <w:rsid w:val="00B86C66"/>
    <w:rsid w:val="00B87030"/>
    <w:rsid w:val="00B878E4"/>
    <w:rsid w:val="00B879B9"/>
    <w:rsid w:val="00B900DC"/>
    <w:rsid w:val="00B90350"/>
    <w:rsid w:val="00B903C2"/>
    <w:rsid w:val="00B905D9"/>
    <w:rsid w:val="00B905FB"/>
    <w:rsid w:val="00B907D6"/>
    <w:rsid w:val="00B90C1F"/>
    <w:rsid w:val="00B90D25"/>
    <w:rsid w:val="00B90E30"/>
    <w:rsid w:val="00B90E6D"/>
    <w:rsid w:val="00B91035"/>
    <w:rsid w:val="00B91305"/>
    <w:rsid w:val="00B9157F"/>
    <w:rsid w:val="00B91678"/>
    <w:rsid w:val="00B91D13"/>
    <w:rsid w:val="00B92741"/>
    <w:rsid w:val="00B92849"/>
    <w:rsid w:val="00B92A45"/>
    <w:rsid w:val="00B931FB"/>
    <w:rsid w:val="00B936ED"/>
    <w:rsid w:val="00B93BA2"/>
    <w:rsid w:val="00B940C5"/>
    <w:rsid w:val="00B941DE"/>
    <w:rsid w:val="00B9463B"/>
    <w:rsid w:val="00B94741"/>
    <w:rsid w:val="00B94817"/>
    <w:rsid w:val="00B948DF"/>
    <w:rsid w:val="00B94BB8"/>
    <w:rsid w:val="00B94E49"/>
    <w:rsid w:val="00B94F89"/>
    <w:rsid w:val="00B95694"/>
    <w:rsid w:val="00B96131"/>
    <w:rsid w:val="00B964C7"/>
    <w:rsid w:val="00B96888"/>
    <w:rsid w:val="00B96A23"/>
    <w:rsid w:val="00B96AA8"/>
    <w:rsid w:val="00B96C6C"/>
    <w:rsid w:val="00B971D5"/>
    <w:rsid w:val="00B97954"/>
    <w:rsid w:val="00B97B00"/>
    <w:rsid w:val="00B97C8C"/>
    <w:rsid w:val="00B97DAF"/>
    <w:rsid w:val="00BA0116"/>
    <w:rsid w:val="00BA013A"/>
    <w:rsid w:val="00BA0375"/>
    <w:rsid w:val="00BA07E6"/>
    <w:rsid w:val="00BA0FA6"/>
    <w:rsid w:val="00BA1025"/>
    <w:rsid w:val="00BA1049"/>
    <w:rsid w:val="00BA1442"/>
    <w:rsid w:val="00BA145C"/>
    <w:rsid w:val="00BA154B"/>
    <w:rsid w:val="00BA177B"/>
    <w:rsid w:val="00BA18D6"/>
    <w:rsid w:val="00BA1A49"/>
    <w:rsid w:val="00BA1A6E"/>
    <w:rsid w:val="00BA1E99"/>
    <w:rsid w:val="00BA2068"/>
    <w:rsid w:val="00BA20AB"/>
    <w:rsid w:val="00BA291D"/>
    <w:rsid w:val="00BA293D"/>
    <w:rsid w:val="00BA2996"/>
    <w:rsid w:val="00BA2F78"/>
    <w:rsid w:val="00BA33D1"/>
    <w:rsid w:val="00BA36AB"/>
    <w:rsid w:val="00BA3738"/>
    <w:rsid w:val="00BA3C87"/>
    <w:rsid w:val="00BA3C94"/>
    <w:rsid w:val="00BA42AF"/>
    <w:rsid w:val="00BA45AE"/>
    <w:rsid w:val="00BA4C14"/>
    <w:rsid w:val="00BA4C99"/>
    <w:rsid w:val="00BA4DBB"/>
    <w:rsid w:val="00BA58CB"/>
    <w:rsid w:val="00BA5F08"/>
    <w:rsid w:val="00BA5FBE"/>
    <w:rsid w:val="00BA5FC8"/>
    <w:rsid w:val="00BA6077"/>
    <w:rsid w:val="00BA626C"/>
    <w:rsid w:val="00BA62F0"/>
    <w:rsid w:val="00BA659E"/>
    <w:rsid w:val="00BA6A66"/>
    <w:rsid w:val="00BA71DE"/>
    <w:rsid w:val="00BA7D13"/>
    <w:rsid w:val="00BB00E3"/>
    <w:rsid w:val="00BB03CD"/>
    <w:rsid w:val="00BB0489"/>
    <w:rsid w:val="00BB05A9"/>
    <w:rsid w:val="00BB0DE2"/>
    <w:rsid w:val="00BB11E9"/>
    <w:rsid w:val="00BB1658"/>
    <w:rsid w:val="00BB1E2C"/>
    <w:rsid w:val="00BB2505"/>
    <w:rsid w:val="00BB25EB"/>
    <w:rsid w:val="00BB2F92"/>
    <w:rsid w:val="00BB395D"/>
    <w:rsid w:val="00BB3B0E"/>
    <w:rsid w:val="00BB4335"/>
    <w:rsid w:val="00BB43B6"/>
    <w:rsid w:val="00BB4434"/>
    <w:rsid w:val="00BB44DE"/>
    <w:rsid w:val="00BB4C72"/>
    <w:rsid w:val="00BB4CFD"/>
    <w:rsid w:val="00BB5283"/>
    <w:rsid w:val="00BB52AD"/>
    <w:rsid w:val="00BB56B2"/>
    <w:rsid w:val="00BB5BE5"/>
    <w:rsid w:val="00BB61C8"/>
    <w:rsid w:val="00BB6235"/>
    <w:rsid w:val="00BB6825"/>
    <w:rsid w:val="00BB6C96"/>
    <w:rsid w:val="00BB751A"/>
    <w:rsid w:val="00BB769B"/>
    <w:rsid w:val="00BB7731"/>
    <w:rsid w:val="00BB773E"/>
    <w:rsid w:val="00BB7950"/>
    <w:rsid w:val="00BB7D29"/>
    <w:rsid w:val="00BC01DC"/>
    <w:rsid w:val="00BC0491"/>
    <w:rsid w:val="00BC05B4"/>
    <w:rsid w:val="00BC071D"/>
    <w:rsid w:val="00BC0FCD"/>
    <w:rsid w:val="00BC11EB"/>
    <w:rsid w:val="00BC139C"/>
    <w:rsid w:val="00BC153C"/>
    <w:rsid w:val="00BC16E0"/>
    <w:rsid w:val="00BC1856"/>
    <w:rsid w:val="00BC1DFC"/>
    <w:rsid w:val="00BC2179"/>
    <w:rsid w:val="00BC2766"/>
    <w:rsid w:val="00BC2870"/>
    <w:rsid w:val="00BC29D8"/>
    <w:rsid w:val="00BC2D84"/>
    <w:rsid w:val="00BC2F58"/>
    <w:rsid w:val="00BC3490"/>
    <w:rsid w:val="00BC3812"/>
    <w:rsid w:val="00BC3B4B"/>
    <w:rsid w:val="00BC42B9"/>
    <w:rsid w:val="00BC4838"/>
    <w:rsid w:val="00BC4B61"/>
    <w:rsid w:val="00BC4EA2"/>
    <w:rsid w:val="00BC529A"/>
    <w:rsid w:val="00BC57E3"/>
    <w:rsid w:val="00BC5E8C"/>
    <w:rsid w:val="00BC5F6C"/>
    <w:rsid w:val="00BC6222"/>
    <w:rsid w:val="00BC6720"/>
    <w:rsid w:val="00BC6A7F"/>
    <w:rsid w:val="00BC703C"/>
    <w:rsid w:val="00BC7239"/>
    <w:rsid w:val="00BC7644"/>
    <w:rsid w:val="00BC79B9"/>
    <w:rsid w:val="00BC7B46"/>
    <w:rsid w:val="00BD0012"/>
    <w:rsid w:val="00BD06C1"/>
    <w:rsid w:val="00BD1292"/>
    <w:rsid w:val="00BD187D"/>
    <w:rsid w:val="00BD1AC5"/>
    <w:rsid w:val="00BD1ACB"/>
    <w:rsid w:val="00BD1E6F"/>
    <w:rsid w:val="00BD1ED6"/>
    <w:rsid w:val="00BD2269"/>
    <w:rsid w:val="00BD2371"/>
    <w:rsid w:val="00BD23AB"/>
    <w:rsid w:val="00BD31FF"/>
    <w:rsid w:val="00BD340D"/>
    <w:rsid w:val="00BD3847"/>
    <w:rsid w:val="00BD389A"/>
    <w:rsid w:val="00BD3B7B"/>
    <w:rsid w:val="00BD3C15"/>
    <w:rsid w:val="00BD43CF"/>
    <w:rsid w:val="00BD4437"/>
    <w:rsid w:val="00BD461D"/>
    <w:rsid w:val="00BD4765"/>
    <w:rsid w:val="00BD4795"/>
    <w:rsid w:val="00BD47B1"/>
    <w:rsid w:val="00BD4972"/>
    <w:rsid w:val="00BD4975"/>
    <w:rsid w:val="00BD49E5"/>
    <w:rsid w:val="00BD4A29"/>
    <w:rsid w:val="00BD4BF7"/>
    <w:rsid w:val="00BD50F3"/>
    <w:rsid w:val="00BD52BC"/>
    <w:rsid w:val="00BD590D"/>
    <w:rsid w:val="00BD59AC"/>
    <w:rsid w:val="00BD6C79"/>
    <w:rsid w:val="00BD6D73"/>
    <w:rsid w:val="00BD6E65"/>
    <w:rsid w:val="00BD71C1"/>
    <w:rsid w:val="00BD7337"/>
    <w:rsid w:val="00BD792F"/>
    <w:rsid w:val="00BD7B96"/>
    <w:rsid w:val="00BD7C89"/>
    <w:rsid w:val="00BD7F6A"/>
    <w:rsid w:val="00BE03F7"/>
    <w:rsid w:val="00BE05D3"/>
    <w:rsid w:val="00BE09C6"/>
    <w:rsid w:val="00BE0E0A"/>
    <w:rsid w:val="00BE1274"/>
    <w:rsid w:val="00BE14FE"/>
    <w:rsid w:val="00BE1541"/>
    <w:rsid w:val="00BE17F3"/>
    <w:rsid w:val="00BE2052"/>
    <w:rsid w:val="00BE20D3"/>
    <w:rsid w:val="00BE290C"/>
    <w:rsid w:val="00BE2CEE"/>
    <w:rsid w:val="00BE2E34"/>
    <w:rsid w:val="00BE2F3E"/>
    <w:rsid w:val="00BE2F72"/>
    <w:rsid w:val="00BE30C2"/>
    <w:rsid w:val="00BE34AB"/>
    <w:rsid w:val="00BE35F8"/>
    <w:rsid w:val="00BE3657"/>
    <w:rsid w:val="00BE38D8"/>
    <w:rsid w:val="00BE39D5"/>
    <w:rsid w:val="00BE3AA8"/>
    <w:rsid w:val="00BE3C39"/>
    <w:rsid w:val="00BE3EDF"/>
    <w:rsid w:val="00BE4241"/>
    <w:rsid w:val="00BE43C1"/>
    <w:rsid w:val="00BE43C5"/>
    <w:rsid w:val="00BE4AF1"/>
    <w:rsid w:val="00BE50D6"/>
    <w:rsid w:val="00BE51E1"/>
    <w:rsid w:val="00BE5810"/>
    <w:rsid w:val="00BE5FB6"/>
    <w:rsid w:val="00BE632C"/>
    <w:rsid w:val="00BE6407"/>
    <w:rsid w:val="00BE65D0"/>
    <w:rsid w:val="00BE66CB"/>
    <w:rsid w:val="00BE674F"/>
    <w:rsid w:val="00BE6A74"/>
    <w:rsid w:val="00BE6EA5"/>
    <w:rsid w:val="00BE6F36"/>
    <w:rsid w:val="00BE7CA5"/>
    <w:rsid w:val="00BF001D"/>
    <w:rsid w:val="00BF11F3"/>
    <w:rsid w:val="00BF1A8A"/>
    <w:rsid w:val="00BF202E"/>
    <w:rsid w:val="00BF2330"/>
    <w:rsid w:val="00BF2506"/>
    <w:rsid w:val="00BF253A"/>
    <w:rsid w:val="00BF265E"/>
    <w:rsid w:val="00BF27F1"/>
    <w:rsid w:val="00BF2DB3"/>
    <w:rsid w:val="00BF3350"/>
    <w:rsid w:val="00BF34DC"/>
    <w:rsid w:val="00BF367A"/>
    <w:rsid w:val="00BF38A7"/>
    <w:rsid w:val="00BF399D"/>
    <w:rsid w:val="00BF39D7"/>
    <w:rsid w:val="00BF3B4A"/>
    <w:rsid w:val="00BF3BF7"/>
    <w:rsid w:val="00BF3E14"/>
    <w:rsid w:val="00BF3EEE"/>
    <w:rsid w:val="00BF404A"/>
    <w:rsid w:val="00BF4472"/>
    <w:rsid w:val="00BF451C"/>
    <w:rsid w:val="00BF4B02"/>
    <w:rsid w:val="00BF4CCC"/>
    <w:rsid w:val="00BF4FF9"/>
    <w:rsid w:val="00BF521E"/>
    <w:rsid w:val="00BF54D1"/>
    <w:rsid w:val="00BF591D"/>
    <w:rsid w:val="00BF6441"/>
    <w:rsid w:val="00BF65F3"/>
    <w:rsid w:val="00BF66C5"/>
    <w:rsid w:val="00BF68DF"/>
    <w:rsid w:val="00BF6909"/>
    <w:rsid w:val="00BF6924"/>
    <w:rsid w:val="00BF6A5A"/>
    <w:rsid w:val="00BF6C4B"/>
    <w:rsid w:val="00BF6CFD"/>
    <w:rsid w:val="00BF7003"/>
    <w:rsid w:val="00BF701E"/>
    <w:rsid w:val="00BF766D"/>
    <w:rsid w:val="00BF788E"/>
    <w:rsid w:val="00BF791F"/>
    <w:rsid w:val="00BF7D80"/>
    <w:rsid w:val="00BF7F76"/>
    <w:rsid w:val="00BF7FC4"/>
    <w:rsid w:val="00C00045"/>
    <w:rsid w:val="00C004D1"/>
    <w:rsid w:val="00C005FA"/>
    <w:rsid w:val="00C00791"/>
    <w:rsid w:val="00C00E8C"/>
    <w:rsid w:val="00C00FE2"/>
    <w:rsid w:val="00C010F6"/>
    <w:rsid w:val="00C01118"/>
    <w:rsid w:val="00C012BC"/>
    <w:rsid w:val="00C015FA"/>
    <w:rsid w:val="00C018D6"/>
    <w:rsid w:val="00C02043"/>
    <w:rsid w:val="00C0271F"/>
    <w:rsid w:val="00C0281F"/>
    <w:rsid w:val="00C02C3C"/>
    <w:rsid w:val="00C02C7B"/>
    <w:rsid w:val="00C02D02"/>
    <w:rsid w:val="00C02F1B"/>
    <w:rsid w:val="00C03214"/>
    <w:rsid w:val="00C0349A"/>
    <w:rsid w:val="00C036C5"/>
    <w:rsid w:val="00C038AB"/>
    <w:rsid w:val="00C03F3D"/>
    <w:rsid w:val="00C0410C"/>
    <w:rsid w:val="00C042BF"/>
    <w:rsid w:val="00C04347"/>
    <w:rsid w:val="00C04788"/>
    <w:rsid w:val="00C04A18"/>
    <w:rsid w:val="00C04C9D"/>
    <w:rsid w:val="00C04D7B"/>
    <w:rsid w:val="00C05788"/>
    <w:rsid w:val="00C058DC"/>
    <w:rsid w:val="00C0596A"/>
    <w:rsid w:val="00C05AC1"/>
    <w:rsid w:val="00C061CA"/>
    <w:rsid w:val="00C062E5"/>
    <w:rsid w:val="00C066F9"/>
    <w:rsid w:val="00C06908"/>
    <w:rsid w:val="00C06B4D"/>
    <w:rsid w:val="00C06C32"/>
    <w:rsid w:val="00C06C4D"/>
    <w:rsid w:val="00C06C7A"/>
    <w:rsid w:val="00C06C88"/>
    <w:rsid w:val="00C070CD"/>
    <w:rsid w:val="00C072CD"/>
    <w:rsid w:val="00C0739B"/>
    <w:rsid w:val="00C0762D"/>
    <w:rsid w:val="00C07732"/>
    <w:rsid w:val="00C07B72"/>
    <w:rsid w:val="00C07BAF"/>
    <w:rsid w:val="00C106BC"/>
    <w:rsid w:val="00C106EC"/>
    <w:rsid w:val="00C107BA"/>
    <w:rsid w:val="00C10F71"/>
    <w:rsid w:val="00C110ED"/>
    <w:rsid w:val="00C11185"/>
    <w:rsid w:val="00C11252"/>
    <w:rsid w:val="00C113C9"/>
    <w:rsid w:val="00C11827"/>
    <w:rsid w:val="00C11B08"/>
    <w:rsid w:val="00C11B7F"/>
    <w:rsid w:val="00C11C19"/>
    <w:rsid w:val="00C12F89"/>
    <w:rsid w:val="00C132E5"/>
    <w:rsid w:val="00C13519"/>
    <w:rsid w:val="00C13593"/>
    <w:rsid w:val="00C135BA"/>
    <w:rsid w:val="00C13627"/>
    <w:rsid w:val="00C13A1F"/>
    <w:rsid w:val="00C13AC2"/>
    <w:rsid w:val="00C13B43"/>
    <w:rsid w:val="00C13BCE"/>
    <w:rsid w:val="00C146E2"/>
    <w:rsid w:val="00C14A3F"/>
    <w:rsid w:val="00C14DF7"/>
    <w:rsid w:val="00C1511E"/>
    <w:rsid w:val="00C15161"/>
    <w:rsid w:val="00C1519F"/>
    <w:rsid w:val="00C1526B"/>
    <w:rsid w:val="00C15716"/>
    <w:rsid w:val="00C15C45"/>
    <w:rsid w:val="00C15D1D"/>
    <w:rsid w:val="00C15E06"/>
    <w:rsid w:val="00C1609C"/>
    <w:rsid w:val="00C16298"/>
    <w:rsid w:val="00C165E6"/>
    <w:rsid w:val="00C16683"/>
    <w:rsid w:val="00C16A0B"/>
    <w:rsid w:val="00C1790B"/>
    <w:rsid w:val="00C17A0B"/>
    <w:rsid w:val="00C17B62"/>
    <w:rsid w:val="00C17BEA"/>
    <w:rsid w:val="00C17F8E"/>
    <w:rsid w:val="00C2007A"/>
    <w:rsid w:val="00C2073D"/>
    <w:rsid w:val="00C20A23"/>
    <w:rsid w:val="00C20F0D"/>
    <w:rsid w:val="00C21049"/>
    <w:rsid w:val="00C21167"/>
    <w:rsid w:val="00C21245"/>
    <w:rsid w:val="00C21615"/>
    <w:rsid w:val="00C219C8"/>
    <w:rsid w:val="00C21DEA"/>
    <w:rsid w:val="00C222E4"/>
    <w:rsid w:val="00C2361E"/>
    <w:rsid w:val="00C237B9"/>
    <w:rsid w:val="00C23825"/>
    <w:rsid w:val="00C23C77"/>
    <w:rsid w:val="00C23F44"/>
    <w:rsid w:val="00C23FA8"/>
    <w:rsid w:val="00C24001"/>
    <w:rsid w:val="00C24244"/>
    <w:rsid w:val="00C24407"/>
    <w:rsid w:val="00C249F8"/>
    <w:rsid w:val="00C24C97"/>
    <w:rsid w:val="00C24F29"/>
    <w:rsid w:val="00C250A9"/>
    <w:rsid w:val="00C255C9"/>
    <w:rsid w:val="00C25853"/>
    <w:rsid w:val="00C25A5B"/>
    <w:rsid w:val="00C25EDA"/>
    <w:rsid w:val="00C260DD"/>
    <w:rsid w:val="00C2668D"/>
    <w:rsid w:val="00C2668E"/>
    <w:rsid w:val="00C267D4"/>
    <w:rsid w:val="00C26965"/>
    <w:rsid w:val="00C26FB0"/>
    <w:rsid w:val="00C27129"/>
    <w:rsid w:val="00C277E7"/>
    <w:rsid w:val="00C27C30"/>
    <w:rsid w:val="00C27EA2"/>
    <w:rsid w:val="00C27ECB"/>
    <w:rsid w:val="00C3032C"/>
    <w:rsid w:val="00C307AB"/>
    <w:rsid w:val="00C30B19"/>
    <w:rsid w:val="00C30B27"/>
    <w:rsid w:val="00C30CA4"/>
    <w:rsid w:val="00C30D0D"/>
    <w:rsid w:val="00C30F6D"/>
    <w:rsid w:val="00C31405"/>
    <w:rsid w:val="00C3140D"/>
    <w:rsid w:val="00C315BE"/>
    <w:rsid w:val="00C32050"/>
    <w:rsid w:val="00C32062"/>
    <w:rsid w:val="00C3286E"/>
    <w:rsid w:val="00C32BC4"/>
    <w:rsid w:val="00C32E03"/>
    <w:rsid w:val="00C32F56"/>
    <w:rsid w:val="00C33115"/>
    <w:rsid w:val="00C3319C"/>
    <w:rsid w:val="00C333D4"/>
    <w:rsid w:val="00C3365B"/>
    <w:rsid w:val="00C3368E"/>
    <w:rsid w:val="00C33A05"/>
    <w:rsid w:val="00C33D5D"/>
    <w:rsid w:val="00C342C4"/>
    <w:rsid w:val="00C34842"/>
    <w:rsid w:val="00C34AC8"/>
    <w:rsid w:val="00C34D48"/>
    <w:rsid w:val="00C350FE"/>
    <w:rsid w:val="00C35318"/>
    <w:rsid w:val="00C35385"/>
    <w:rsid w:val="00C35398"/>
    <w:rsid w:val="00C355F0"/>
    <w:rsid w:val="00C3560F"/>
    <w:rsid w:val="00C356E1"/>
    <w:rsid w:val="00C35C6F"/>
    <w:rsid w:val="00C365B3"/>
    <w:rsid w:val="00C36C48"/>
    <w:rsid w:val="00C36D74"/>
    <w:rsid w:val="00C36DC7"/>
    <w:rsid w:val="00C372EC"/>
    <w:rsid w:val="00C37333"/>
    <w:rsid w:val="00C37376"/>
    <w:rsid w:val="00C3762C"/>
    <w:rsid w:val="00C37A1B"/>
    <w:rsid w:val="00C37B2E"/>
    <w:rsid w:val="00C37D9E"/>
    <w:rsid w:val="00C37E09"/>
    <w:rsid w:val="00C37EAF"/>
    <w:rsid w:val="00C4011A"/>
    <w:rsid w:val="00C4012C"/>
    <w:rsid w:val="00C4065B"/>
    <w:rsid w:val="00C4074B"/>
    <w:rsid w:val="00C40B3F"/>
    <w:rsid w:val="00C41106"/>
    <w:rsid w:val="00C41462"/>
    <w:rsid w:val="00C4174C"/>
    <w:rsid w:val="00C41903"/>
    <w:rsid w:val="00C41BD7"/>
    <w:rsid w:val="00C4232D"/>
    <w:rsid w:val="00C42335"/>
    <w:rsid w:val="00C42463"/>
    <w:rsid w:val="00C424C9"/>
    <w:rsid w:val="00C427F9"/>
    <w:rsid w:val="00C42B8D"/>
    <w:rsid w:val="00C4305C"/>
    <w:rsid w:val="00C43267"/>
    <w:rsid w:val="00C432FB"/>
    <w:rsid w:val="00C43530"/>
    <w:rsid w:val="00C43D79"/>
    <w:rsid w:val="00C44245"/>
    <w:rsid w:val="00C4454B"/>
    <w:rsid w:val="00C44647"/>
    <w:rsid w:val="00C4468B"/>
    <w:rsid w:val="00C44A4D"/>
    <w:rsid w:val="00C44DEE"/>
    <w:rsid w:val="00C45004"/>
    <w:rsid w:val="00C454B1"/>
    <w:rsid w:val="00C45905"/>
    <w:rsid w:val="00C45E9B"/>
    <w:rsid w:val="00C461CA"/>
    <w:rsid w:val="00C46775"/>
    <w:rsid w:val="00C46C39"/>
    <w:rsid w:val="00C4774B"/>
    <w:rsid w:val="00C47F1F"/>
    <w:rsid w:val="00C50080"/>
    <w:rsid w:val="00C50A9C"/>
    <w:rsid w:val="00C50FA3"/>
    <w:rsid w:val="00C510CC"/>
    <w:rsid w:val="00C51111"/>
    <w:rsid w:val="00C51396"/>
    <w:rsid w:val="00C5159E"/>
    <w:rsid w:val="00C51AD6"/>
    <w:rsid w:val="00C51C79"/>
    <w:rsid w:val="00C51F21"/>
    <w:rsid w:val="00C5237F"/>
    <w:rsid w:val="00C52A88"/>
    <w:rsid w:val="00C52BF0"/>
    <w:rsid w:val="00C52C33"/>
    <w:rsid w:val="00C52D23"/>
    <w:rsid w:val="00C52E34"/>
    <w:rsid w:val="00C52F48"/>
    <w:rsid w:val="00C53230"/>
    <w:rsid w:val="00C535D6"/>
    <w:rsid w:val="00C53758"/>
    <w:rsid w:val="00C53795"/>
    <w:rsid w:val="00C53D52"/>
    <w:rsid w:val="00C53D59"/>
    <w:rsid w:val="00C53F7D"/>
    <w:rsid w:val="00C542EF"/>
    <w:rsid w:val="00C54AF3"/>
    <w:rsid w:val="00C54EC5"/>
    <w:rsid w:val="00C553CC"/>
    <w:rsid w:val="00C5561C"/>
    <w:rsid w:val="00C565C5"/>
    <w:rsid w:val="00C56A60"/>
    <w:rsid w:val="00C56B23"/>
    <w:rsid w:val="00C56B30"/>
    <w:rsid w:val="00C56C58"/>
    <w:rsid w:val="00C56E92"/>
    <w:rsid w:val="00C56EE3"/>
    <w:rsid w:val="00C56F8D"/>
    <w:rsid w:val="00C56FAA"/>
    <w:rsid w:val="00C570E5"/>
    <w:rsid w:val="00C57151"/>
    <w:rsid w:val="00C57CCC"/>
    <w:rsid w:val="00C57D90"/>
    <w:rsid w:val="00C57F1B"/>
    <w:rsid w:val="00C60936"/>
    <w:rsid w:val="00C60CC8"/>
    <w:rsid w:val="00C611E9"/>
    <w:rsid w:val="00C61418"/>
    <w:rsid w:val="00C61C48"/>
    <w:rsid w:val="00C61F50"/>
    <w:rsid w:val="00C6275B"/>
    <w:rsid w:val="00C62AB3"/>
    <w:rsid w:val="00C62E0B"/>
    <w:rsid w:val="00C63221"/>
    <w:rsid w:val="00C636A8"/>
    <w:rsid w:val="00C636E0"/>
    <w:rsid w:val="00C644CE"/>
    <w:rsid w:val="00C64601"/>
    <w:rsid w:val="00C6472C"/>
    <w:rsid w:val="00C64832"/>
    <w:rsid w:val="00C649AF"/>
    <w:rsid w:val="00C64B1F"/>
    <w:rsid w:val="00C64D8B"/>
    <w:rsid w:val="00C64DAD"/>
    <w:rsid w:val="00C653C3"/>
    <w:rsid w:val="00C65A16"/>
    <w:rsid w:val="00C666DD"/>
    <w:rsid w:val="00C668F2"/>
    <w:rsid w:val="00C66C77"/>
    <w:rsid w:val="00C66CDE"/>
    <w:rsid w:val="00C66D5E"/>
    <w:rsid w:val="00C66E14"/>
    <w:rsid w:val="00C6732F"/>
    <w:rsid w:val="00C6733D"/>
    <w:rsid w:val="00C67346"/>
    <w:rsid w:val="00C67A73"/>
    <w:rsid w:val="00C67B8D"/>
    <w:rsid w:val="00C7053D"/>
    <w:rsid w:val="00C70655"/>
    <w:rsid w:val="00C70839"/>
    <w:rsid w:val="00C708EB"/>
    <w:rsid w:val="00C709FD"/>
    <w:rsid w:val="00C71635"/>
    <w:rsid w:val="00C71935"/>
    <w:rsid w:val="00C71AFF"/>
    <w:rsid w:val="00C71B64"/>
    <w:rsid w:val="00C71F22"/>
    <w:rsid w:val="00C72264"/>
    <w:rsid w:val="00C72459"/>
    <w:rsid w:val="00C73369"/>
    <w:rsid w:val="00C73673"/>
    <w:rsid w:val="00C74010"/>
    <w:rsid w:val="00C74578"/>
    <w:rsid w:val="00C749FA"/>
    <w:rsid w:val="00C74A49"/>
    <w:rsid w:val="00C74B02"/>
    <w:rsid w:val="00C74CFA"/>
    <w:rsid w:val="00C74EA5"/>
    <w:rsid w:val="00C74F09"/>
    <w:rsid w:val="00C75E6E"/>
    <w:rsid w:val="00C762C2"/>
    <w:rsid w:val="00C7648C"/>
    <w:rsid w:val="00C76D02"/>
    <w:rsid w:val="00C76E79"/>
    <w:rsid w:val="00C76F3D"/>
    <w:rsid w:val="00C76FDB"/>
    <w:rsid w:val="00C77211"/>
    <w:rsid w:val="00C772DF"/>
    <w:rsid w:val="00C77350"/>
    <w:rsid w:val="00C77600"/>
    <w:rsid w:val="00C7776B"/>
    <w:rsid w:val="00C77D95"/>
    <w:rsid w:val="00C77E46"/>
    <w:rsid w:val="00C80430"/>
    <w:rsid w:val="00C806B2"/>
    <w:rsid w:val="00C80DDF"/>
    <w:rsid w:val="00C80FAE"/>
    <w:rsid w:val="00C81075"/>
    <w:rsid w:val="00C8137F"/>
    <w:rsid w:val="00C815E8"/>
    <w:rsid w:val="00C81626"/>
    <w:rsid w:val="00C81643"/>
    <w:rsid w:val="00C8186F"/>
    <w:rsid w:val="00C818C1"/>
    <w:rsid w:val="00C81E48"/>
    <w:rsid w:val="00C82106"/>
    <w:rsid w:val="00C821FA"/>
    <w:rsid w:val="00C829C6"/>
    <w:rsid w:val="00C82A4B"/>
    <w:rsid w:val="00C82B65"/>
    <w:rsid w:val="00C82B68"/>
    <w:rsid w:val="00C82BFB"/>
    <w:rsid w:val="00C8308F"/>
    <w:rsid w:val="00C8311D"/>
    <w:rsid w:val="00C837A2"/>
    <w:rsid w:val="00C83904"/>
    <w:rsid w:val="00C83B96"/>
    <w:rsid w:val="00C83D01"/>
    <w:rsid w:val="00C83DC0"/>
    <w:rsid w:val="00C84587"/>
    <w:rsid w:val="00C84696"/>
    <w:rsid w:val="00C84A24"/>
    <w:rsid w:val="00C84B34"/>
    <w:rsid w:val="00C85310"/>
    <w:rsid w:val="00C85464"/>
    <w:rsid w:val="00C856AE"/>
    <w:rsid w:val="00C857C7"/>
    <w:rsid w:val="00C859C2"/>
    <w:rsid w:val="00C85C18"/>
    <w:rsid w:val="00C86B8F"/>
    <w:rsid w:val="00C86F17"/>
    <w:rsid w:val="00C87010"/>
    <w:rsid w:val="00C8708F"/>
    <w:rsid w:val="00C87302"/>
    <w:rsid w:val="00C875BE"/>
    <w:rsid w:val="00C906F6"/>
    <w:rsid w:val="00C908DB"/>
    <w:rsid w:val="00C90B7B"/>
    <w:rsid w:val="00C90C33"/>
    <w:rsid w:val="00C90D9B"/>
    <w:rsid w:val="00C90FB9"/>
    <w:rsid w:val="00C91113"/>
    <w:rsid w:val="00C912B1"/>
    <w:rsid w:val="00C915DF"/>
    <w:rsid w:val="00C91C6F"/>
    <w:rsid w:val="00C926CC"/>
    <w:rsid w:val="00C92A03"/>
    <w:rsid w:val="00C92D11"/>
    <w:rsid w:val="00C931D6"/>
    <w:rsid w:val="00C93787"/>
    <w:rsid w:val="00C93C91"/>
    <w:rsid w:val="00C93DAD"/>
    <w:rsid w:val="00C94942"/>
    <w:rsid w:val="00C94A54"/>
    <w:rsid w:val="00C94C0C"/>
    <w:rsid w:val="00C9533B"/>
    <w:rsid w:val="00C956B5"/>
    <w:rsid w:val="00C95AA0"/>
    <w:rsid w:val="00C95AC1"/>
    <w:rsid w:val="00C963F8"/>
    <w:rsid w:val="00C96431"/>
    <w:rsid w:val="00C96552"/>
    <w:rsid w:val="00C9667D"/>
    <w:rsid w:val="00C9682F"/>
    <w:rsid w:val="00C96ED0"/>
    <w:rsid w:val="00C97351"/>
    <w:rsid w:val="00C973DB"/>
    <w:rsid w:val="00C97594"/>
    <w:rsid w:val="00C97675"/>
    <w:rsid w:val="00C97D79"/>
    <w:rsid w:val="00CA0011"/>
    <w:rsid w:val="00CA00A0"/>
    <w:rsid w:val="00CA03DD"/>
    <w:rsid w:val="00CA04F3"/>
    <w:rsid w:val="00CA06EE"/>
    <w:rsid w:val="00CA0979"/>
    <w:rsid w:val="00CA09F1"/>
    <w:rsid w:val="00CA0DE6"/>
    <w:rsid w:val="00CA0DFC"/>
    <w:rsid w:val="00CA13D1"/>
    <w:rsid w:val="00CA163B"/>
    <w:rsid w:val="00CA1699"/>
    <w:rsid w:val="00CA1AA1"/>
    <w:rsid w:val="00CA1B33"/>
    <w:rsid w:val="00CA2303"/>
    <w:rsid w:val="00CA2363"/>
    <w:rsid w:val="00CA25C0"/>
    <w:rsid w:val="00CA2DF8"/>
    <w:rsid w:val="00CA30F7"/>
    <w:rsid w:val="00CA317C"/>
    <w:rsid w:val="00CA3398"/>
    <w:rsid w:val="00CA3528"/>
    <w:rsid w:val="00CA380C"/>
    <w:rsid w:val="00CA3A9F"/>
    <w:rsid w:val="00CA3C3F"/>
    <w:rsid w:val="00CA3C75"/>
    <w:rsid w:val="00CA4110"/>
    <w:rsid w:val="00CA4291"/>
    <w:rsid w:val="00CA4662"/>
    <w:rsid w:val="00CA4747"/>
    <w:rsid w:val="00CA4A54"/>
    <w:rsid w:val="00CA51EA"/>
    <w:rsid w:val="00CA57FA"/>
    <w:rsid w:val="00CA588E"/>
    <w:rsid w:val="00CA5B8F"/>
    <w:rsid w:val="00CA5C00"/>
    <w:rsid w:val="00CA604B"/>
    <w:rsid w:val="00CA60F3"/>
    <w:rsid w:val="00CA6146"/>
    <w:rsid w:val="00CA685A"/>
    <w:rsid w:val="00CA688E"/>
    <w:rsid w:val="00CA6BA4"/>
    <w:rsid w:val="00CA6CB5"/>
    <w:rsid w:val="00CA6FA6"/>
    <w:rsid w:val="00CA7169"/>
    <w:rsid w:val="00CA723F"/>
    <w:rsid w:val="00CA7A47"/>
    <w:rsid w:val="00CA7A99"/>
    <w:rsid w:val="00CA7B50"/>
    <w:rsid w:val="00CA7D59"/>
    <w:rsid w:val="00CA7FC0"/>
    <w:rsid w:val="00CB081B"/>
    <w:rsid w:val="00CB0866"/>
    <w:rsid w:val="00CB0B90"/>
    <w:rsid w:val="00CB0F8F"/>
    <w:rsid w:val="00CB1065"/>
    <w:rsid w:val="00CB1729"/>
    <w:rsid w:val="00CB184F"/>
    <w:rsid w:val="00CB1E90"/>
    <w:rsid w:val="00CB20F5"/>
    <w:rsid w:val="00CB22A4"/>
    <w:rsid w:val="00CB23E6"/>
    <w:rsid w:val="00CB2540"/>
    <w:rsid w:val="00CB294E"/>
    <w:rsid w:val="00CB2DE8"/>
    <w:rsid w:val="00CB3032"/>
    <w:rsid w:val="00CB3119"/>
    <w:rsid w:val="00CB3285"/>
    <w:rsid w:val="00CB3FB6"/>
    <w:rsid w:val="00CB44BF"/>
    <w:rsid w:val="00CB48E6"/>
    <w:rsid w:val="00CB4B0B"/>
    <w:rsid w:val="00CB5890"/>
    <w:rsid w:val="00CB5B24"/>
    <w:rsid w:val="00CB65AC"/>
    <w:rsid w:val="00CB6A99"/>
    <w:rsid w:val="00CB6B53"/>
    <w:rsid w:val="00CB7132"/>
    <w:rsid w:val="00CB73FF"/>
    <w:rsid w:val="00CB76CD"/>
    <w:rsid w:val="00CB7A94"/>
    <w:rsid w:val="00CC01A8"/>
    <w:rsid w:val="00CC0350"/>
    <w:rsid w:val="00CC084D"/>
    <w:rsid w:val="00CC0A80"/>
    <w:rsid w:val="00CC0AE2"/>
    <w:rsid w:val="00CC0F2E"/>
    <w:rsid w:val="00CC1464"/>
    <w:rsid w:val="00CC1986"/>
    <w:rsid w:val="00CC1B0E"/>
    <w:rsid w:val="00CC1BE8"/>
    <w:rsid w:val="00CC1F33"/>
    <w:rsid w:val="00CC2328"/>
    <w:rsid w:val="00CC239F"/>
    <w:rsid w:val="00CC2482"/>
    <w:rsid w:val="00CC32EF"/>
    <w:rsid w:val="00CC355D"/>
    <w:rsid w:val="00CC3633"/>
    <w:rsid w:val="00CC3A38"/>
    <w:rsid w:val="00CC3C96"/>
    <w:rsid w:val="00CC4A13"/>
    <w:rsid w:val="00CC4F12"/>
    <w:rsid w:val="00CC52A1"/>
    <w:rsid w:val="00CC5359"/>
    <w:rsid w:val="00CC5367"/>
    <w:rsid w:val="00CC5807"/>
    <w:rsid w:val="00CC5906"/>
    <w:rsid w:val="00CC5BC2"/>
    <w:rsid w:val="00CC6835"/>
    <w:rsid w:val="00CC6FD7"/>
    <w:rsid w:val="00CC7B81"/>
    <w:rsid w:val="00CD0111"/>
    <w:rsid w:val="00CD04C1"/>
    <w:rsid w:val="00CD053E"/>
    <w:rsid w:val="00CD0648"/>
    <w:rsid w:val="00CD07BC"/>
    <w:rsid w:val="00CD09B2"/>
    <w:rsid w:val="00CD0F68"/>
    <w:rsid w:val="00CD189F"/>
    <w:rsid w:val="00CD1D1D"/>
    <w:rsid w:val="00CD1DB7"/>
    <w:rsid w:val="00CD2221"/>
    <w:rsid w:val="00CD2819"/>
    <w:rsid w:val="00CD2980"/>
    <w:rsid w:val="00CD2D55"/>
    <w:rsid w:val="00CD2E27"/>
    <w:rsid w:val="00CD32E8"/>
    <w:rsid w:val="00CD33AA"/>
    <w:rsid w:val="00CD34C3"/>
    <w:rsid w:val="00CD34D7"/>
    <w:rsid w:val="00CD3960"/>
    <w:rsid w:val="00CD3A2C"/>
    <w:rsid w:val="00CD3A4D"/>
    <w:rsid w:val="00CD3F1B"/>
    <w:rsid w:val="00CD4305"/>
    <w:rsid w:val="00CD4414"/>
    <w:rsid w:val="00CD456E"/>
    <w:rsid w:val="00CD4B94"/>
    <w:rsid w:val="00CD4BFB"/>
    <w:rsid w:val="00CD4FF3"/>
    <w:rsid w:val="00CD50D1"/>
    <w:rsid w:val="00CD51A4"/>
    <w:rsid w:val="00CD5458"/>
    <w:rsid w:val="00CD55BA"/>
    <w:rsid w:val="00CD5714"/>
    <w:rsid w:val="00CD5812"/>
    <w:rsid w:val="00CD594D"/>
    <w:rsid w:val="00CD59B4"/>
    <w:rsid w:val="00CD5D1F"/>
    <w:rsid w:val="00CD5E31"/>
    <w:rsid w:val="00CD6064"/>
    <w:rsid w:val="00CD60A8"/>
    <w:rsid w:val="00CD6223"/>
    <w:rsid w:val="00CD62F2"/>
    <w:rsid w:val="00CD64F1"/>
    <w:rsid w:val="00CD6688"/>
    <w:rsid w:val="00CD66E8"/>
    <w:rsid w:val="00CD6CD3"/>
    <w:rsid w:val="00CD6E13"/>
    <w:rsid w:val="00CD7598"/>
    <w:rsid w:val="00CD7627"/>
    <w:rsid w:val="00CD7699"/>
    <w:rsid w:val="00CD76C0"/>
    <w:rsid w:val="00CD7769"/>
    <w:rsid w:val="00CD7917"/>
    <w:rsid w:val="00CD7FCE"/>
    <w:rsid w:val="00CE048B"/>
    <w:rsid w:val="00CE0844"/>
    <w:rsid w:val="00CE091F"/>
    <w:rsid w:val="00CE0A9D"/>
    <w:rsid w:val="00CE0EB9"/>
    <w:rsid w:val="00CE0F6C"/>
    <w:rsid w:val="00CE1024"/>
    <w:rsid w:val="00CE1DB6"/>
    <w:rsid w:val="00CE1E95"/>
    <w:rsid w:val="00CE1FB5"/>
    <w:rsid w:val="00CE236A"/>
    <w:rsid w:val="00CE27A0"/>
    <w:rsid w:val="00CE280E"/>
    <w:rsid w:val="00CE2A56"/>
    <w:rsid w:val="00CE2BCD"/>
    <w:rsid w:val="00CE2D3E"/>
    <w:rsid w:val="00CE3353"/>
    <w:rsid w:val="00CE3873"/>
    <w:rsid w:val="00CE3B81"/>
    <w:rsid w:val="00CE3B91"/>
    <w:rsid w:val="00CE3DAE"/>
    <w:rsid w:val="00CE417C"/>
    <w:rsid w:val="00CE41BD"/>
    <w:rsid w:val="00CE4335"/>
    <w:rsid w:val="00CE445D"/>
    <w:rsid w:val="00CE4C23"/>
    <w:rsid w:val="00CE520F"/>
    <w:rsid w:val="00CE5218"/>
    <w:rsid w:val="00CE56C0"/>
    <w:rsid w:val="00CE577A"/>
    <w:rsid w:val="00CE59FF"/>
    <w:rsid w:val="00CE5C1D"/>
    <w:rsid w:val="00CE5E5A"/>
    <w:rsid w:val="00CE6265"/>
    <w:rsid w:val="00CE64DF"/>
    <w:rsid w:val="00CE665D"/>
    <w:rsid w:val="00CE6DDF"/>
    <w:rsid w:val="00CE6FE8"/>
    <w:rsid w:val="00CE704D"/>
    <w:rsid w:val="00CE7238"/>
    <w:rsid w:val="00CE76BF"/>
    <w:rsid w:val="00CE76FA"/>
    <w:rsid w:val="00CE775B"/>
    <w:rsid w:val="00CE78F0"/>
    <w:rsid w:val="00CF0048"/>
    <w:rsid w:val="00CF0215"/>
    <w:rsid w:val="00CF0293"/>
    <w:rsid w:val="00CF08A8"/>
    <w:rsid w:val="00CF0A05"/>
    <w:rsid w:val="00CF0A64"/>
    <w:rsid w:val="00CF0C47"/>
    <w:rsid w:val="00CF1088"/>
    <w:rsid w:val="00CF1612"/>
    <w:rsid w:val="00CF1B2D"/>
    <w:rsid w:val="00CF21E4"/>
    <w:rsid w:val="00CF2424"/>
    <w:rsid w:val="00CF2811"/>
    <w:rsid w:val="00CF2920"/>
    <w:rsid w:val="00CF2BC0"/>
    <w:rsid w:val="00CF2DB0"/>
    <w:rsid w:val="00CF3089"/>
    <w:rsid w:val="00CF31D3"/>
    <w:rsid w:val="00CF3202"/>
    <w:rsid w:val="00CF366A"/>
    <w:rsid w:val="00CF370E"/>
    <w:rsid w:val="00CF3A13"/>
    <w:rsid w:val="00CF3BD1"/>
    <w:rsid w:val="00CF3DF1"/>
    <w:rsid w:val="00CF3E48"/>
    <w:rsid w:val="00CF4086"/>
    <w:rsid w:val="00CF43A0"/>
    <w:rsid w:val="00CF4ADF"/>
    <w:rsid w:val="00CF4D0B"/>
    <w:rsid w:val="00CF4DD8"/>
    <w:rsid w:val="00CF4EB1"/>
    <w:rsid w:val="00CF522E"/>
    <w:rsid w:val="00CF56AA"/>
    <w:rsid w:val="00CF5750"/>
    <w:rsid w:val="00CF576C"/>
    <w:rsid w:val="00CF57D6"/>
    <w:rsid w:val="00CF5A6B"/>
    <w:rsid w:val="00CF6088"/>
    <w:rsid w:val="00CF6576"/>
    <w:rsid w:val="00CF66E8"/>
    <w:rsid w:val="00CF6EC6"/>
    <w:rsid w:val="00CF703C"/>
    <w:rsid w:val="00CF7172"/>
    <w:rsid w:val="00CF733D"/>
    <w:rsid w:val="00CF7795"/>
    <w:rsid w:val="00CF7DAB"/>
    <w:rsid w:val="00CF7EBA"/>
    <w:rsid w:val="00D00031"/>
    <w:rsid w:val="00D00A3C"/>
    <w:rsid w:val="00D015D4"/>
    <w:rsid w:val="00D01C9F"/>
    <w:rsid w:val="00D02231"/>
    <w:rsid w:val="00D02472"/>
    <w:rsid w:val="00D024C2"/>
    <w:rsid w:val="00D02791"/>
    <w:rsid w:val="00D027B6"/>
    <w:rsid w:val="00D027CC"/>
    <w:rsid w:val="00D02EEA"/>
    <w:rsid w:val="00D03322"/>
    <w:rsid w:val="00D035E8"/>
    <w:rsid w:val="00D03644"/>
    <w:rsid w:val="00D04179"/>
    <w:rsid w:val="00D0460A"/>
    <w:rsid w:val="00D0491E"/>
    <w:rsid w:val="00D05533"/>
    <w:rsid w:val="00D05A26"/>
    <w:rsid w:val="00D05CA5"/>
    <w:rsid w:val="00D05CDF"/>
    <w:rsid w:val="00D05E66"/>
    <w:rsid w:val="00D06688"/>
    <w:rsid w:val="00D06AE1"/>
    <w:rsid w:val="00D06B98"/>
    <w:rsid w:val="00D06D5D"/>
    <w:rsid w:val="00D073AA"/>
    <w:rsid w:val="00D074AE"/>
    <w:rsid w:val="00D075DA"/>
    <w:rsid w:val="00D0775B"/>
    <w:rsid w:val="00D07D0B"/>
    <w:rsid w:val="00D10092"/>
    <w:rsid w:val="00D100F1"/>
    <w:rsid w:val="00D10991"/>
    <w:rsid w:val="00D10C75"/>
    <w:rsid w:val="00D10EF9"/>
    <w:rsid w:val="00D119FF"/>
    <w:rsid w:val="00D128EB"/>
    <w:rsid w:val="00D12A38"/>
    <w:rsid w:val="00D13EBE"/>
    <w:rsid w:val="00D13F01"/>
    <w:rsid w:val="00D1433A"/>
    <w:rsid w:val="00D147C3"/>
    <w:rsid w:val="00D14E4C"/>
    <w:rsid w:val="00D14EE2"/>
    <w:rsid w:val="00D15146"/>
    <w:rsid w:val="00D16559"/>
    <w:rsid w:val="00D16695"/>
    <w:rsid w:val="00D168BC"/>
    <w:rsid w:val="00D16C7C"/>
    <w:rsid w:val="00D16DD7"/>
    <w:rsid w:val="00D174EA"/>
    <w:rsid w:val="00D20110"/>
    <w:rsid w:val="00D202D5"/>
    <w:rsid w:val="00D203F5"/>
    <w:rsid w:val="00D20785"/>
    <w:rsid w:val="00D2091E"/>
    <w:rsid w:val="00D2096D"/>
    <w:rsid w:val="00D20DE7"/>
    <w:rsid w:val="00D20E5D"/>
    <w:rsid w:val="00D20E8B"/>
    <w:rsid w:val="00D20EA1"/>
    <w:rsid w:val="00D20FE2"/>
    <w:rsid w:val="00D210E6"/>
    <w:rsid w:val="00D21281"/>
    <w:rsid w:val="00D2151E"/>
    <w:rsid w:val="00D219FC"/>
    <w:rsid w:val="00D21F86"/>
    <w:rsid w:val="00D225C7"/>
    <w:rsid w:val="00D22632"/>
    <w:rsid w:val="00D22EC0"/>
    <w:rsid w:val="00D22FE9"/>
    <w:rsid w:val="00D23479"/>
    <w:rsid w:val="00D2347A"/>
    <w:rsid w:val="00D2350B"/>
    <w:rsid w:val="00D23A3E"/>
    <w:rsid w:val="00D23C5A"/>
    <w:rsid w:val="00D23F67"/>
    <w:rsid w:val="00D2410A"/>
    <w:rsid w:val="00D2426F"/>
    <w:rsid w:val="00D2465C"/>
    <w:rsid w:val="00D24715"/>
    <w:rsid w:val="00D247CC"/>
    <w:rsid w:val="00D24A06"/>
    <w:rsid w:val="00D24B47"/>
    <w:rsid w:val="00D24B8A"/>
    <w:rsid w:val="00D2525F"/>
    <w:rsid w:val="00D25370"/>
    <w:rsid w:val="00D256A1"/>
    <w:rsid w:val="00D2592D"/>
    <w:rsid w:val="00D25A04"/>
    <w:rsid w:val="00D25B3A"/>
    <w:rsid w:val="00D25CF4"/>
    <w:rsid w:val="00D25E69"/>
    <w:rsid w:val="00D25ED0"/>
    <w:rsid w:val="00D25F3B"/>
    <w:rsid w:val="00D2619F"/>
    <w:rsid w:val="00D262E3"/>
    <w:rsid w:val="00D26956"/>
    <w:rsid w:val="00D26C7A"/>
    <w:rsid w:val="00D26D8C"/>
    <w:rsid w:val="00D26E00"/>
    <w:rsid w:val="00D2742A"/>
    <w:rsid w:val="00D278ED"/>
    <w:rsid w:val="00D3076A"/>
    <w:rsid w:val="00D31C0E"/>
    <w:rsid w:val="00D31E08"/>
    <w:rsid w:val="00D3226C"/>
    <w:rsid w:val="00D3279E"/>
    <w:rsid w:val="00D32F37"/>
    <w:rsid w:val="00D3318F"/>
    <w:rsid w:val="00D33244"/>
    <w:rsid w:val="00D335E9"/>
    <w:rsid w:val="00D33CF7"/>
    <w:rsid w:val="00D33D18"/>
    <w:rsid w:val="00D33D24"/>
    <w:rsid w:val="00D33EBD"/>
    <w:rsid w:val="00D33F53"/>
    <w:rsid w:val="00D340DD"/>
    <w:rsid w:val="00D34566"/>
    <w:rsid w:val="00D34731"/>
    <w:rsid w:val="00D354F7"/>
    <w:rsid w:val="00D356A2"/>
    <w:rsid w:val="00D35BC6"/>
    <w:rsid w:val="00D35BDC"/>
    <w:rsid w:val="00D35EB5"/>
    <w:rsid w:val="00D36986"/>
    <w:rsid w:val="00D37257"/>
    <w:rsid w:val="00D3778D"/>
    <w:rsid w:val="00D37EBC"/>
    <w:rsid w:val="00D400FC"/>
    <w:rsid w:val="00D40407"/>
    <w:rsid w:val="00D404EE"/>
    <w:rsid w:val="00D4053A"/>
    <w:rsid w:val="00D40B54"/>
    <w:rsid w:val="00D40C82"/>
    <w:rsid w:val="00D40DA3"/>
    <w:rsid w:val="00D41266"/>
    <w:rsid w:val="00D41B63"/>
    <w:rsid w:val="00D41C80"/>
    <w:rsid w:val="00D41D6E"/>
    <w:rsid w:val="00D41FBA"/>
    <w:rsid w:val="00D4268A"/>
    <w:rsid w:val="00D428D8"/>
    <w:rsid w:val="00D429F5"/>
    <w:rsid w:val="00D42C59"/>
    <w:rsid w:val="00D42F11"/>
    <w:rsid w:val="00D431E6"/>
    <w:rsid w:val="00D4389C"/>
    <w:rsid w:val="00D43B8B"/>
    <w:rsid w:val="00D43EBE"/>
    <w:rsid w:val="00D44138"/>
    <w:rsid w:val="00D446E6"/>
    <w:rsid w:val="00D4480D"/>
    <w:rsid w:val="00D44B25"/>
    <w:rsid w:val="00D44E37"/>
    <w:rsid w:val="00D4588E"/>
    <w:rsid w:val="00D459BC"/>
    <w:rsid w:val="00D45A3F"/>
    <w:rsid w:val="00D45AB0"/>
    <w:rsid w:val="00D46299"/>
    <w:rsid w:val="00D462D5"/>
    <w:rsid w:val="00D46469"/>
    <w:rsid w:val="00D46906"/>
    <w:rsid w:val="00D46DB2"/>
    <w:rsid w:val="00D4758F"/>
    <w:rsid w:val="00D47A50"/>
    <w:rsid w:val="00D47C3B"/>
    <w:rsid w:val="00D47EAF"/>
    <w:rsid w:val="00D50A54"/>
    <w:rsid w:val="00D50C09"/>
    <w:rsid w:val="00D50C51"/>
    <w:rsid w:val="00D50E80"/>
    <w:rsid w:val="00D50ED1"/>
    <w:rsid w:val="00D50FFD"/>
    <w:rsid w:val="00D51355"/>
    <w:rsid w:val="00D51748"/>
    <w:rsid w:val="00D51DB2"/>
    <w:rsid w:val="00D51F59"/>
    <w:rsid w:val="00D52346"/>
    <w:rsid w:val="00D527CA"/>
    <w:rsid w:val="00D527DD"/>
    <w:rsid w:val="00D52A9E"/>
    <w:rsid w:val="00D52D18"/>
    <w:rsid w:val="00D52D61"/>
    <w:rsid w:val="00D536EE"/>
    <w:rsid w:val="00D53706"/>
    <w:rsid w:val="00D53730"/>
    <w:rsid w:val="00D541BA"/>
    <w:rsid w:val="00D5434E"/>
    <w:rsid w:val="00D5447D"/>
    <w:rsid w:val="00D545AC"/>
    <w:rsid w:val="00D54730"/>
    <w:rsid w:val="00D54899"/>
    <w:rsid w:val="00D54AE0"/>
    <w:rsid w:val="00D54F6A"/>
    <w:rsid w:val="00D551B3"/>
    <w:rsid w:val="00D55297"/>
    <w:rsid w:val="00D5539D"/>
    <w:rsid w:val="00D55682"/>
    <w:rsid w:val="00D55B0F"/>
    <w:rsid w:val="00D55ED4"/>
    <w:rsid w:val="00D5669F"/>
    <w:rsid w:val="00D56A30"/>
    <w:rsid w:val="00D56DC1"/>
    <w:rsid w:val="00D56EBC"/>
    <w:rsid w:val="00D57966"/>
    <w:rsid w:val="00D60015"/>
    <w:rsid w:val="00D600A9"/>
    <w:rsid w:val="00D600F2"/>
    <w:rsid w:val="00D602C9"/>
    <w:rsid w:val="00D60569"/>
    <w:rsid w:val="00D6095D"/>
    <w:rsid w:val="00D60CF2"/>
    <w:rsid w:val="00D60E13"/>
    <w:rsid w:val="00D60FC6"/>
    <w:rsid w:val="00D611DC"/>
    <w:rsid w:val="00D61274"/>
    <w:rsid w:val="00D6171C"/>
    <w:rsid w:val="00D6177C"/>
    <w:rsid w:val="00D617B8"/>
    <w:rsid w:val="00D61A0B"/>
    <w:rsid w:val="00D61B19"/>
    <w:rsid w:val="00D61DC2"/>
    <w:rsid w:val="00D61E35"/>
    <w:rsid w:val="00D620E1"/>
    <w:rsid w:val="00D62175"/>
    <w:rsid w:val="00D62320"/>
    <w:rsid w:val="00D624E7"/>
    <w:rsid w:val="00D627C3"/>
    <w:rsid w:val="00D6286D"/>
    <w:rsid w:val="00D6295F"/>
    <w:rsid w:val="00D629C7"/>
    <w:rsid w:val="00D62DD2"/>
    <w:rsid w:val="00D635B9"/>
    <w:rsid w:val="00D6395E"/>
    <w:rsid w:val="00D64078"/>
    <w:rsid w:val="00D641CB"/>
    <w:rsid w:val="00D645D1"/>
    <w:rsid w:val="00D6478A"/>
    <w:rsid w:val="00D65294"/>
    <w:rsid w:val="00D65CE3"/>
    <w:rsid w:val="00D66290"/>
    <w:rsid w:val="00D666BF"/>
    <w:rsid w:val="00D666EF"/>
    <w:rsid w:val="00D6699B"/>
    <w:rsid w:val="00D66C47"/>
    <w:rsid w:val="00D66C9F"/>
    <w:rsid w:val="00D671A6"/>
    <w:rsid w:val="00D6751C"/>
    <w:rsid w:val="00D67606"/>
    <w:rsid w:val="00D6796C"/>
    <w:rsid w:val="00D67AE6"/>
    <w:rsid w:val="00D706BD"/>
    <w:rsid w:val="00D70A0E"/>
    <w:rsid w:val="00D70B07"/>
    <w:rsid w:val="00D70B7A"/>
    <w:rsid w:val="00D70BD3"/>
    <w:rsid w:val="00D70D49"/>
    <w:rsid w:val="00D70F94"/>
    <w:rsid w:val="00D70FDD"/>
    <w:rsid w:val="00D715AE"/>
    <w:rsid w:val="00D717B5"/>
    <w:rsid w:val="00D719E5"/>
    <w:rsid w:val="00D71DDC"/>
    <w:rsid w:val="00D71EA4"/>
    <w:rsid w:val="00D71EDE"/>
    <w:rsid w:val="00D72819"/>
    <w:rsid w:val="00D72BA9"/>
    <w:rsid w:val="00D73096"/>
    <w:rsid w:val="00D730D1"/>
    <w:rsid w:val="00D7370E"/>
    <w:rsid w:val="00D739E1"/>
    <w:rsid w:val="00D73C1E"/>
    <w:rsid w:val="00D73D49"/>
    <w:rsid w:val="00D73F9B"/>
    <w:rsid w:val="00D73FAE"/>
    <w:rsid w:val="00D740BB"/>
    <w:rsid w:val="00D74677"/>
    <w:rsid w:val="00D74872"/>
    <w:rsid w:val="00D74884"/>
    <w:rsid w:val="00D74B7B"/>
    <w:rsid w:val="00D74C47"/>
    <w:rsid w:val="00D74E64"/>
    <w:rsid w:val="00D74FFB"/>
    <w:rsid w:val="00D754C3"/>
    <w:rsid w:val="00D7558D"/>
    <w:rsid w:val="00D757DE"/>
    <w:rsid w:val="00D75DF3"/>
    <w:rsid w:val="00D75F87"/>
    <w:rsid w:val="00D763FF"/>
    <w:rsid w:val="00D76403"/>
    <w:rsid w:val="00D7672D"/>
    <w:rsid w:val="00D769BC"/>
    <w:rsid w:val="00D76A3E"/>
    <w:rsid w:val="00D770BE"/>
    <w:rsid w:val="00D7729F"/>
    <w:rsid w:val="00D775FE"/>
    <w:rsid w:val="00D77AE3"/>
    <w:rsid w:val="00D77DBC"/>
    <w:rsid w:val="00D8043A"/>
    <w:rsid w:val="00D805D6"/>
    <w:rsid w:val="00D80C8D"/>
    <w:rsid w:val="00D80E31"/>
    <w:rsid w:val="00D81072"/>
    <w:rsid w:val="00D810E5"/>
    <w:rsid w:val="00D8130E"/>
    <w:rsid w:val="00D813CF"/>
    <w:rsid w:val="00D81EFE"/>
    <w:rsid w:val="00D82352"/>
    <w:rsid w:val="00D8271A"/>
    <w:rsid w:val="00D82869"/>
    <w:rsid w:val="00D8300D"/>
    <w:rsid w:val="00D83501"/>
    <w:rsid w:val="00D83666"/>
    <w:rsid w:val="00D837B1"/>
    <w:rsid w:val="00D84A77"/>
    <w:rsid w:val="00D84DE8"/>
    <w:rsid w:val="00D84E78"/>
    <w:rsid w:val="00D84F0B"/>
    <w:rsid w:val="00D84FD3"/>
    <w:rsid w:val="00D85471"/>
    <w:rsid w:val="00D855CC"/>
    <w:rsid w:val="00D855F1"/>
    <w:rsid w:val="00D856B0"/>
    <w:rsid w:val="00D85C52"/>
    <w:rsid w:val="00D865AE"/>
    <w:rsid w:val="00D8685E"/>
    <w:rsid w:val="00D86C3E"/>
    <w:rsid w:val="00D86F7B"/>
    <w:rsid w:val="00D873AD"/>
    <w:rsid w:val="00D873D8"/>
    <w:rsid w:val="00D87641"/>
    <w:rsid w:val="00D87965"/>
    <w:rsid w:val="00D87AF4"/>
    <w:rsid w:val="00D87E9E"/>
    <w:rsid w:val="00D87FF0"/>
    <w:rsid w:val="00D906C8"/>
    <w:rsid w:val="00D90E7A"/>
    <w:rsid w:val="00D911A7"/>
    <w:rsid w:val="00D91505"/>
    <w:rsid w:val="00D9169E"/>
    <w:rsid w:val="00D91BB1"/>
    <w:rsid w:val="00D91CEA"/>
    <w:rsid w:val="00D91F31"/>
    <w:rsid w:val="00D929A9"/>
    <w:rsid w:val="00D92A35"/>
    <w:rsid w:val="00D92C51"/>
    <w:rsid w:val="00D93049"/>
    <w:rsid w:val="00D9328F"/>
    <w:rsid w:val="00D934D0"/>
    <w:rsid w:val="00D93605"/>
    <w:rsid w:val="00D93C07"/>
    <w:rsid w:val="00D93F3D"/>
    <w:rsid w:val="00D93FDA"/>
    <w:rsid w:val="00D9483C"/>
    <w:rsid w:val="00D94D0F"/>
    <w:rsid w:val="00D94D81"/>
    <w:rsid w:val="00D94FE3"/>
    <w:rsid w:val="00D95116"/>
    <w:rsid w:val="00D95CD2"/>
    <w:rsid w:val="00D95DF3"/>
    <w:rsid w:val="00D95E1B"/>
    <w:rsid w:val="00D95EB1"/>
    <w:rsid w:val="00D96068"/>
    <w:rsid w:val="00D96703"/>
    <w:rsid w:val="00D967D5"/>
    <w:rsid w:val="00D96965"/>
    <w:rsid w:val="00D97159"/>
    <w:rsid w:val="00D97216"/>
    <w:rsid w:val="00D973A5"/>
    <w:rsid w:val="00D973E9"/>
    <w:rsid w:val="00D97405"/>
    <w:rsid w:val="00D97646"/>
    <w:rsid w:val="00D977E0"/>
    <w:rsid w:val="00D9782F"/>
    <w:rsid w:val="00D9798C"/>
    <w:rsid w:val="00D97F91"/>
    <w:rsid w:val="00DA0B4E"/>
    <w:rsid w:val="00DA0F20"/>
    <w:rsid w:val="00DA1019"/>
    <w:rsid w:val="00DA1C95"/>
    <w:rsid w:val="00DA1F28"/>
    <w:rsid w:val="00DA20B3"/>
    <w:rsid w:val="00DA2401"/>
    <w:rsid w:val="00DA2718"/>
    <w:rsid w:val="00DA2ADE"/>
    <w:rsid w:val="00DA2CF0"/>
    <w:rsid w:val="00DA2FDB"/>
    <w:rsid w:val="00DA30C4"/>
    <w:rsid w:val="00DA35B9"/>
    <w:rsid w:val="00DA35C6"/>
    <w:rsid w:val="00DA3687"/>
    <w:rsid w:val="00DA3758"/>
    <w:rsid w:val="00DA3A94"/>
    <w:rsid w:val="00DA3BA0"/>
    <w:rsid w:val="00DA3BA7"/>
    <w:rsid w:val="00DA3CA6"/>
    <w:rsid w:val="00DA403C"/>
    <w:rsid w:val="00DA4267"/>
    <w:rsid w:val="00DA5443"/>
    <w:rsid w:val="00DA5834"/>
    <w:rsid w:val="00DA5A13"/>
    <w:rsid w:val="00DA6101"/>
    <w:rsid w:val="00DA611E"/>
    <w:rsid w:val="00DA6884"/>
    <w:rsid w:val="00DA69A9"/>
    <w:rsid w:val="00DA6BA3"/>
    <w:rsid w:val="00DA6E7C"/>
    <w:rsid w:val="00DA73F1"/>
    <w:rsid w:val="00DA7C42"/>
    <w:rsid w:val="00DA7F25"/>
    <w:rsid w:val="00DB0157"/>
    <w:rsid w:val="00DB0295"/>
    <w:rsid w:val="00DB055F"/>
    <w:rsid w:val="00DB071C"/>
    <w:rsid w:val="00DB0788"/>
    <w:rsid w:val="00DB0837"/>
    <w:rsid w:val="00DB08A6"/>
    <w:rsid w:val="00DB0C04"/>
    <w:rsid w:val="00DB0D2B"/>
    <w:rsid w:val="00DB1682"/>
    <w:rsid w:val="00DB1A35"/>
    <w:rsid w:val="00DB1CD7"/>
    <w:rsid w:val="00DB24A2"/>
    <w:rsid w:val="00DB2606"/>
    <w:rsid w:val="00DB26A1"/>
    <w:rsid w:val="00DB2742"/>
    <w:rsid w:val="00DB2A1A"/>
    <w:rsid w:val="00DB2E0C"/>
    <w:rsid w:val="00DB33F5"/>
    <w:rsid w:val="00DB356A"/>
    <w:rsid w:val="00DB3579"/>
    <w:rsid w:val="00DB36A6"/>
    <w:rsid w:val="00DB38D9"/>
    <w:rsid w:val="00DB3B3F"/>
    <w:rsid w:val="00DB3DB0"/>
    <w:rsid w:val="00DB3E4F"/>
    <w:rsid w:val="00DB3EB6"/>
    <w:rsid w:val="00DB3F4B"/>
    <w:rsid w:val="00DB4203"/>
    <w:rsid w:val="00DB4405"/>
    <w:rsid w:val="00DB49A5"/>
    <w:rsid w:val="00DB4A37"/>
    <w:rsid w:val="00DB543F"/>
    <w:rsid w:val="00DB5464"/>
    <w:rsid w:val="00DB551A"/>
    <w:rsid w:val="00DB56C3"/>
    <w:rsid w:val="00DB56D3"/>
    <w:rsid w:val="00DB56EC"/>
    <w:rsid w:val="00DB575C"/>
    <w:rsid w:val="00DB59F1"/>
    <w:rsid w:val="00DB6249"/>
    <w:rsid w:val="00DB6755"/>
    <w:rsid w:val="00DB69E9"/>
    <w:rsid w:val="00DB6BD1"/>
    <w:rsid w:val="00DB7325"/>
    <w:rsid w:val="00DB7BE1"/>
    <w:rsid w:val="00DB7C9E"/>
    <w:rsid w:val="00DC057B"/>
    <w:rsid w:val="00DC062B"/>
    <w:rsid w:val="00DC0AA5"/>
    <w:rsid w:val="00DC0B5F"/>
    <w:rsid w:val="00DC114B"/>
    <w:rsid w:val="00DC1170"/>
    <w:rsid w:val="00DC12ED"/>
    <w:rsid w:val="00DC222C"/>
    <w:rsid w:val="00DC2783"/>
    <w:rsid w:val="00DC2857"/>
    <w:rsid w:val="00DC29FE"/>
    <w:rsid w:val="00DC2B1D"/>
    <w:rsid w:val="00DC2B2B"/>
    <w:rsid w:val="00DC2DAF"/>
    <w:rsid w:val="00DC3503"/>
    <w:rsid w:val="00DC392D"/>
    <w:rsid w:val="00DC3A35"/>
    <w:rsid w:val="00DC3B1A"/>
    <w:rsid w:val="00DC3C0C"/>
    <w:rsid w:val="00DC3D17"/>
    <w:rsid w:val="00DC3D79"/>
    <w:rsid w:val="00DC47B4"/>
    <w:rsid w:val="00DC48F4"/>
    <w:rsid w:val="00DC4947"/>
    <w:rsid w:val="00DC4B62"/>
    <w:rsid w:val="00DC4CE2"/>
    <w:rsid w:val="00DC5284"/>
    <w:rsid w:val="00DC588B"/>
    <w:rsid w:val="00DC58A6"/>
    <w:rsid w:val="00DC5993"/>
    <w:rsid w:val="00DC5B52"/>
    <w:rsid w:val="00DC6118"/>
    <w:rsid w:val="00DC6126"/>
    <w:rsid w:val="00DC66A5"/>
    <w:rsid w:val="00DC6856"/>
    <w:rsid w:val="00DC6D4A"/>
    <w:rsid w:val="00DC6FBC"/>
    <w:rsid w:val="00DC7F2C"/>
    <w:rsid w:val="00DC7FAA"/>
    <w:rsid w:val="00DD011B"/>
    <w:rsid w:val="00DD078A"/>
    <w:rsid w:val="00DD0989"/>
    <w:rsid w:val="00DD0AE6"/>
    <w:rsid w:val="00DD0E0F"/>
    <w:rsid w:val="00DD0F1A"/>
    <w:rsid w:val="00DD146C"/>
    <w:rsid w:val="00DD150E"/>
    <w:rsid w:val="00DD167F"/>
    <w:rsid w:val="00DD1930"/>
    <w:rsid w:val="00DD1B12"/>
    <w:rsid w:val="00DD1B5A"/>
    <w:rsid w:val="00DD2532"/>
    <w:rsid w:val="00DD2680"/>
    <w:rsid w:val="00DD26EE"/>
    <w:rsid w:val="00DD28E7"/>
    <w:rsid w:val="00DD2980"/>
    <w:rsid w:val="00DD2F96"/>
    <w:rsid w:val="00DD32BA"/>
    <w:rsid w:val="00DD32E2"/>
    <w:rsid w:val="00DD357F"/>
    <w:rsid w:val="00DD3649"/>
    <w:rsid w:val="00DD374B"/>
    <w:rsid w:val="00DD37A7"/>
    <w:rsid w:val="00DD3DC8"/>
    <w:rsid w:val="00DD3F89"/>
    <w:rsid w:val="00DD4452"/>
    <w:rsid w:val="00DD4766"/>
    <w:rsid w:val="00DD49CA"/>
    <w:rsid w:val="00DD4AE5"/>
    <w:rsid w:val="00DD4B40"/>
    <w:rsid w:val="00DD4C4A"/>
    <w:rsid w:val="00DD4C98"/>
    <w:rsid w:val="00DD4F1D"/>
    <w:rsid w:val="00DD5009"/>
    <w:rsid w:val="00DD5278"/>
    <w:rsid w:val="00DD537D"/>
    <w:rsid w:val="00DD57BF"/>
    <w:rsid w:val="00DD5BA5"/>
    <w:rsid w:val="00DD5C56"/>
    <w:rsid w:val="00DD5F28"/>
    <w:rsid w:val="00DD65AF"/>
    <w:rsid w:val="00DD6A58"/>
    <w:rsid w:val="00DD6AC1"/>
    <w:rsid w:val="00DD6E2D"/>
    <w:rsid w:val="00DD7415"/>
    <w:rsid w:val="00DD763A"/>
    <w:rsid w:val="00DD7805"/>
    <w:rsid w:val="00DD7A56"/>
    <w:rsid w:val="00DD7D88"/>
    <w:rsid w:val="00DD7FC3"/>
    <w:rsid w:val="00DE00FF"/>
    <w:rsid w:val="00DE028B"/>
    <w:rsid w:val="00DE0692"/>
    <w:rsid w:val="00DE093E"/>
    <w:rsid w:val="00DE0D0D"/>
    <w:rsid w:val="00DE0FB2"/>
    <w:rsid w:val="00DE1875"/>
    <w:rsid w:val="00DE1DA9"/>
    <w:rsid w:val="00DE1DB8"/>
    <w:rsid w:val="00DE2233"/>
    <w:rsid w:val="00DE22D5"/>
    <w:rsid w:val="00DE258E"/>
    <w:rsid w:val="00DE2C61"/>
    <w:rsid w:val="00DE31FC"/>
    <w:rsid w:val="00DE32EC"/>
    <w:rsid w:val="00DE386E"/>
    <w:rsid w:val="00DE3BBE"/>
    <w:rsid w:val="00DE3FC0"/>
    <w:rsid w:val="00DE4037"/>
    <w:rsid w:val="00DE44E5"/>
    <w:rsid w:val="00DE4545"/>
    <w:rsid w:val="00DE45CF"/>
    <w:rsid w:val="00DE4983"/>
    <w:rsid w:val="00DE4FD1"/>
    <w:rsid w:val="00DE54F7"/>
    <w:rsid w:val="00DE57F0"/>
    <w:rsid w:val="00DE5BF6"/>
    <w:rsid w:val="00DE5C03"/>
    <w:rsid w:val="00DE5F4C"/>
    <w:rsid w:val="00DE5FF4"/>
    <w:rsid w:val="00DE6077"/>
    <w:rsid w:val="00DE6086"/>
    <w:rsid w:val="00DE610D"/>
    <w:rsid w:val="00DE6257"/>
    <w:rsid w:val="00DE6447"/>
    <w:rsid w:val="00DE6553"/>
    <w:rsid w:val="00DE67FB"/>
    <w:rsid w:val="00DE694A"/>
    <w:rsid w:val="00DE6C29"/>
    <w:rsid w:val="00DE6C2C"/>
    <w:rsid w:val="00DE6E57"/>
    <w:rsid w:val="00DE7032"/>
    <w:rsid w:val="00DE7078"/>
    <w:rsid w:val="00DE73C7"/>
    <w:rsid w:val="00DE7545"/>
    <w:rsid w:val="00DE77E4"/>
    <w:rsid w:val="00DE79D3"/>
    <w:rsid w:val="00DE7B66"/>
    <w:rsid w:val="00DE7FEC"/>
    <w:rsid w:val="00DF1B4A"/>
    <w:rsid w:val="00DF1C69"/>
    <w:rsid w:val="00DF1DE5"/>
    <w:rsid w:val="00DF2672"/>
    <w:rsid w:val="00DF2923"/>
    <w:rsid w:val="00DF2F5E"/>
    <w:rsid w:val="00DF36B9"/>
    <w:rsid w:val="00DF39B5"/>
    <w:rsid w:val="00DF4015"/>
    <w:rsid w:val="00DF4047"/>
    <w:rsid w:val="00DF43CE"/>
    <w:rsid w:val="00DF43E8"/>
    <w:rsid w:val="00DF4656"/>
    <w:rsid w:val="00DF47F2"/>
    <w:rsid w:val="00DF4ADE"/>
    <w:rsid w:val="00DF4D58"/>
    <w:rsid w:val="00DF5029"/>
    <w:rsid w:val="00DF5255"/>
    <w:rsid w:val="00DF5A38"/>
    <w:rsid w:val="00DF5A8A"/>
    <w:rsid w:val="00DF5BD3"/>
    <w:rsid w:val="00DF5ED7"/>
    <w:rsid w:val="00DF622C"/>
    <w:rsid w:val="00DF658E"/>
    <w:rsid w:val="00DF6DB5"/>
    <w:rsid w:val="00DF6E58"/>
    <w:rsid w:val="00DF6F1F"/>
    <w:rsid w:val="00DF703F"/>
    <w:rsid w:val="00DF772D"/>
    <w:rsid w:val="00DF7F0E"/>
    <w:rsid w:val="00E004BD"/>
    <w:rsid w:val="00E00899"/>
    <w:rsid w:val="00E01326"/>
    <w:rsid w:val="00E013F5"/>
    <w:rsid w:val="00E0279C"/>
    <w:rsid w:val="00E027E5"/>
    <w:rsid w:val="00E02A21"/>
    <w:rsid w:val="00E02A8F"/>
    <w:rsid w:val="00E03013"/>
    <w:rsid w:val="00E0303C"/>
    <w:rsid w:val="00E03B6D"/>
    <w:rsid w:val="00E0438A"/>
    <w:rsid w:val="00E04812"/>
    <w:rsid w:val="00E04B2D"/>
    <w:rsid w:val="00E04BFF"/>
    <w:rsid w:val="00E04F6E"/>
    <w:rsid w:val="00E050CF"/>
    <w:rsid w:val="00E0576E"/>
    <w:rsid w:val="00E05B59"/>
    <w:rsid w:val="00E05C42"/>
    <w:rsid w:val="00E05DC5"/>
    <w:rsid w:val="00E06071"/>
    <w:rsid w:val="00E061CB"/>
    <w:rsid w:val="00E06789"/>
    <w:rsid w:val="00E06852"/>
    <w:rsid w:val="00E072CF"/>
    <w:rsid w:val="00E07865"/>
    <w:rsid w:val="00E07A43"/>
    <w:rsid w:val="00E07B5B"/>
    <w:rsid w:val="00E07C02"/>
    <w:rsid w:val="00E07C6F"/>
    <w:rsid w:val="00E1019F"/>
    <w:rsid w:val="00E10BA1"/>
    <w:rsid w:val="00E10DB4"/>
    <w:rsid w:val="00E11018"/>
    <w:rsid w:val="00E1101D"/>
    <w:rsid w:val="00E11462"/>
    <w:rsid w:val="00E1153E"/>
    <w:rsid w:val="00E117BD"/>
    <w:rsid w:val="00E118C3"/>
    <w:rsid w:val="00E11D43"/>
    <w:rsid w:val="00E1271D"/>
    <w:rsid w:val="00E1289E"/>
    <w:rsid w:val="00E129AD"/>
    <w:rsid w:val="00E12BF7"/>
    <w:rsid w:val="00E12EB6"/>
    <w:rsid w:val="00E131D2"/>
    <w:rsid w:val="00E13234"/>
    <w:rsid w:val="00E138E4"/>
    <w:rsid w:val="00E13922"/>
    <w:rsid w:val="00E13A66"/>
    <w:rsid w:val="00E13E61"/>
    <w:rsid w:val="00E13FFD"/>
    <w:rsid w:val="00E140B8"/>
    <w:rsid w:val="00E14224"/>
    <w:rsid w:val="00E1455A"/>
    <w:rsid w:val="00E146D8"/>
    <w:rsid w:val="00E14926"/>
    <w:rsid w:val="00E14A30"/>
    <w:rsid w:val="00E14CB2"/>
    <w:rsid w:val="00E14D21"/>
    <w:rsid w:val="00E14F0F"/>
    <w:rsid w:val="00E14F53"/>
    <w:rsid w:val="00E15011"/>
    <w:rsid w:val="00E15403"/>
    <w:rsid w:val="00E15A65"/>
    <w:rsid w:val="00E1637F"/>
    <w:rsid w:val="00E16B5A"/>
    <w:rsid w:val="00E16D0E"/>
    <w:rsid w:val="00E16D35"/>
    <w:rsid w:val="00E16DB7"/>
    <w:rsid w:val="00E16DBB"/>
    <w:rsid w:val="00E171BC"/>
    <w:rsid w:val="00E1746F"/>
    <w:rsid w:val="00E175DE"/>
    <w:rsid w:val="00E17753"/>
    <w:rsid w:val="00E1797E"/>
    <w:rsid w:val="00E179F6"/>
    <w:rsid w:val="00E17E25"/>
    <w:rsid w:val="00E20300"/>
    <w:rsid w:val="00E206FA"/>
    <w:rsid w:val="00E20734"/>
    <w:rsid w:val="00E20937"/>
    <w:rsid w:val="00E20B75"/>
    <w:rsid w:val="00E20DF8"/>
    <w:rsid w:val="00E21096"/>
    <w:rsid w:val="00E211A3"/>
    <w:rsid w:val="00E21217"/>
    <w:rsid w:val="00E21294"/>
    <w:rsid w:val="00E21355"/>
    <w:rsid w:val="00E214D1"/>
    <w:rsid w:val="00E216BF"/>
    <w:rsid w:val="00E21757"/>
    <w:rsid w:val="00E22524"/>
    <w:rsid w:val="00E22602"/>
    <w:rsid w:val="00E22858"/>
    <w:rsid w:val="00E229F8"/>
    <w:rsid w:val="00E23837"/>
    <w:rsid w:val="00E238D5"/>
    <w:rsid w:val="00E23AD2"/>
    <w:rsid w:val="00E23B0D"/>
    <w:rsid w:val="00E23D56"/>
    <w:rsid w:val="00E23E97"/>
    <w:rsid w:val="00E2426F"/>
    <w:rsid w:val="00E24357"/>
    <w:rsid w:val="00E24485"/>
    <w:rsid w:val="00E245D1"/>
    <w:rsid w:val="00E24E6B"/>
    <w:rsid w:val="00E25504"/>
    <w:rsid w:val="00E2596C"/>
    <w:rsid w:val="00E25992"/>
    <w:rsid w:val="00E259FA"/>
    <w:rsid w:val="00E25ACC"/>
    <w:rsid w:val="00E25BE2"/>
    <w:rsid w:val="00E25EE9"/>
    <w:rsid w:val="00E2605A"/>
    <w:rsid w:val="00E26C07"/>
    <w:rsid w:val="00E26C58"/>
    <w:rsid w:val="00E276C8"/>
    <w:rsid w:val="00E27885"/>
    <w:rsid w:val="00E27A29"/>
    <w:rsid w:val="00E27CE3"/>
    <w:rsid w:val="00E301C1"/>
    <w:rsid w:val="00E30456"/>
    <w:rsid w:val="00E30868"/>
    <w:rsid w:val="00E30B82"/>
    <w:rsid w:val="00E31577"/>
    <w:rsid w:val="00E31CC2"/>
    <w:rsid w:val="00E3235B"/>
    <w:rsid w:val="00E328B8"/>
    <w:rsid w:val="00E328D2"/>
    <w:rsid w:val="00E329B5"/>
    <w:rsid w:val="00E331A0"/>
    <w:rsid w:val="00E332D9"/>
    <w:rsid w:val="00E33546"/>
    <w:rsid w:val="00E33864"/>
    <w:rsid w:val="00E33AD5"/>
    <w:rsid w:val="00E34154"/>
    <w:rsid w:val="00E3434D"/>
    <w:rsid w:val="00E346D9"/>
    <w:rsid w:val="00E34A0E"/>
    <w:rsid w:val="00E34D12"/>
    <w:rsid w:val="00E3518E"/>
    <w:rsid w:val="00E35823"/>
    <w:rsid w:val="00E35BF2"/>
    <w:rsid w:val="00E35EAE"/>
    <w:rsid w:val="00E36795"/>
    <w:rsid w:val="00E36D0B"/>
    <w:rsid w:val="00E36DB0"/>
    <w:rsid w:val="00E3769C"/>
    <w:rsid w:val="00E37ACB"/>
    <w:rsid w:val="00E37C31"/>
    <w:rsid w:val="00E37DD0"/>
    <w:rsid w:val="00E405F6"/>
    <w:rsid w:val="00E4085F"/>
    <w:rsid w:val="00E40998"/>
    <w:rsid w:val="00E40B96"/>
    <w:rsid w:val="00E40EDE"/>
    <w:rsid w:val="00E40F34"/>
    <w:rsid w:val="00E41293"/>
    <w:rsid w:val="00E418FB"/>
    <w:rsid w:val="00E42327"/>
    <w:rsid w:val="00E42519"/>
    <w:rsid w:val="00E42A72"/>
    <w:rsid w:val="00E43299"/>
    <w:rsid w:val="00E43384"/>
    <w:rsid w:val="00E4356D"/>
    <w:rsid w:val="00E435E1"/>
    <w:rsid w:val="00E43603"/>
    <w:rsid w:val="00E438F8"/>
    <w:rsid w:val="00E439F8"/>
    <w:rsid w:val="00E43AC3"/>
    <w:rsid w:val="00E43EC3"/>
    <w:rsid w:val="00E43F1B"/>
    <w:rsid w:val="00E4400B"/>
    <w:rsid w:val="00E44249"/>
    <w:rsid w:val="00E44959"/>
    <w:rsid w:val="00E44B82"/>
    <w:rsid w:val="00E452F7"/>
    <w:rsid w:val="00E453BB"/>
    <w:rsid w:val="00E454E4"/>
    <w:rsid w:val="00E45765"/>
    <w:rsid w:val="00E45B19"/>
    <w:rsid w:val="00E45EE0"/>
    <w:rsid w:val="00E46307"/>
    <w:rsid w:val="00E46B1A"/>
    <w:rsid w:val="00E4714D"/>
    <w:rsid w:val="00E4772F"/>
    <w:rsid w:val="00E47859"/>
    <w:rsid w:val="00E4796E"/>
    <w:rsid w:val="00E479BE"/>
    <w:rsid w:val="00E479DA"/>
    <w:rsid w:val="00E47FF9"/>
    <w:rsid w:val="00E507EB"/>
    <w:rsid w:val="00E508C5"/>
    <w:rsid w:val="00E50DB4"/>
    <w:rsid w:val="00E50F22"/>
    <w:rsid w:val="00E50FF9"/>
    <w:rsid w:val="00E519B0"/>
    <w:rsid w:val="00E51CBA"/>
    <w:rsid w:val="00E51DD8"/>
    <w:rsid w:val="00E51EF1"/>
    <w:rsid w:val="00E52283"/>
    <w:rsid w:val="00E52713"/>
    <w:rsid w:val="00E527C4"/>
    <w:rsid w:val="00E52EEA"/>
    <w:rsid w:val="00E53013"/>
    <w:rsid w:val="00E53303"/>
    <w:rsid w:val="00E5354B"/>
    <w:rsid w:val="00E53876"/>
    <w:rsid w:val="00E53936"/>
    <w:rsid w:val="00E53F85"/>
    <w:rsid w:val="00E5429B"/>
    <w:rsid w:val="00E54394"/>
    <w:rsid w:val="00E544B3"/>
    <w:rsid w:val="00E544F7"/>
    <w:rsid w:val="00E54699"/>
    <w:rsid w:val="00E54709"/>
    <w:rsid w:val="00E548AE"/>
    <w:rsid w:val="00E5496E"/>
    <w:rsid w:val="00E554DE"/>
    <w:rsid w:val="00E555FC"/>
    <w:rsid w:val="00E55A48"/>
    <w:rsid w:val="00E55E95"/>
    <w:rsid w:val="00E56365"/>
    <w:rsid w:val="00E564D3"/>
    <w:rsid w:val="00E56707"/>
    <w:rsid w:val="00E56851"/>
    <w:rsid w:val="00E56ABF"/>
    <w:rsid w:val="00E578B2"/>
    <w:rsid w:val="00E57A51"/>
    <w:rsid w:val="00E57C4C"/>
    <w:rsid w:val="00E57D40"/>
    <w:rsid w:val="00E57DD9"/>
    <w:rsid w:val="00E57E70"/>
    <w:rsid w:val="00E6005D"/>
    <w:rsid w:val="00E604F5"/>
    <w:rsid w:val="00E60541"/>
    <w:rsid w:val="00E60FED"/>
    <w:rsid w:val="00E6102E"/>
    <w:rsid w:val="00E6134C"/>
    <w:rsid w:val="00E61571"/>
    <w:rsid w:val="00E61841"/>
    <w:rsid w:val="00E619FF"/>
    <w:rsid w:val="00E622CE"/>
    <w:rsid w:val="00E62CED"/>
    <w:rsid w:val="00E63096"/>
    <w:rsid w:val="00E63254"/>
    <w:rsid w:val="00E63284"/>
    <w:rsid w:val="00E6333C"/>
    <w:rsid w:val="00E63687"/>
    <w:rsid w:val="00E63930"/>
    <w:rsid w:val="00E63E20"/>
    <w:rsid w:val="00E63E75"/>
    <w:rsid w:val="00E64068"/>
    <w:rsid w:val="00E6419A"/>
    <w:rsid w:val="00E64780"/>
    <w:rsid w:val="00E647FA"/>
    <w:rsid w:val="00E65013"/>
    <w:rsid w:val="00E65173"/>
    <w:rsid w:val="00E65427"/>
    <w:rsid w:val="00E6555B"/>
    <w:rsid w:val="00E65788"/>
    <w:rsid w:val="00E6578C"/>
    <w:rsid w:val="00E65E31"/>
    <w:rsid w:val="00E65E37"/>
    <w:rsid w:val="00E66127"/>
    <w:rsid w:val="00E66194"/>
    <w:rsid w:val="00E66293"/>
    <w:rsid w:val="00E66860"/>
    <w:rsid w:val="00E66D9B"/>
    <w:rsid w:val="00E672AB"/>
    <w:rsid w:val="00E67625"/>
    <w:rsid w:val="00E678EE"/>
    <w:rsid w:val="00E67923"/>
    <w:rsid w:val="00E67A09"/>
    <w:rsid w:val="00E67BC3"/>
    <w:rsid w:val="00E70102"/>
    <w:rsid w:val="00E702E7"/>
    <w:rsid w:val="00E707DF"/>
    <w:rsid w:val="00E70A0C"/>
    <w:rsid w:val="00E71223"/>
    <w:rsid w:val="00E712EF"/>
    <w:rsid w:val="00E71562"/>
    <w:rsid w:val="00E717B4"/>
    <w:rsid w:val="00E7183B"/>
    <w:rsid w:val="00E71BCD"/>
    <w:rsid w:val="00E71F04"/>
    <w:rsid w:val="00E7213F"/>
    <w:rsid w:val="00E7222F"/>
    <w:rsid w:val="00E72725"/>
    <w:rsid w:val="00E728C9"/>
    <w:rsid w:val="00E728D1"/>
    <w:rsid w:val="00E72DD6"/>
    <w:rsid w:val="00E72E7D"/>
    <w:rsid w:val="00E73B3D"/>
    <w:rsid w:val="00E7443D"/>
    <w:rsid w:val="00E74851"/>
    <w:rsid w:val="00E748E7"/>
    <w:rsid w:val="00E749E0"/>
    <w:rsid w:val="00E74D20"/>
    <w:rsid w:val="00E74D7E"/>
    <w:rsid w:val="00E75470"/>
    <w:rsid w:val="00E755AE"/>
    <w:rsid w:val="00E75A5B"/>
    <w:rsid w:val="00E75D0C"/>
    <w:rsid w:val="00E75E9B"/>
    <w:rsid w:val="00E7636C"/>
    <w:rsid w:val="00E76573"/>
    <w:rsid w:val="00E7661B"/>
    <w:rsid w:val="00E76C85"/>
    <w:rsid w:val="00E778DA"/>
    <w:rsid w:val="00E77BCF"/>
    <w:rsid w:val="00E77C4D"/>
    <w:rsid w:val="00E801FF"/>
    <w:rsid w:val="00E80518"/>
    <w:rsid w:val="00E80694"/>
    <w:rsid w:val="00E80695"/>
    <w:rsid w:val="00E80DBF"/>
    <w:rsid w:val="00E80F71"/>
    <w:rsid w:val="00E81C18"/>
    <w:rsid w:val="00E82158"/>
    <w:rsid w:val="00E821A9"/>
    <w:rsid w:val="00E8223A"/>
    <w:rsid w:val="00E822BD"/>
    <w:rsid w:val="00E828DA"/>
    <w:rsid w:val="00E82C5B"/>
    <w:rsid w:val="00E830AC"/>
    <w:rsid w:val="00E835C0"/>
    <w:rsid w:val="00E8362E"/>
    <w:rsid w:val="00E8385B"/>
    <w:rsid w:val="00E83A31"/>
    <w:rsid w:val="00E83AE5"/>
    <w:rsid w:val="00E8477F"/>
    <w:rsid w:val="00E84936"/>
    <w:rsid w:val="00E8493A"/>
    <w:rsid w:val="00E84BB6"/>
    <w:rsid w:val="00E84E12"/>
    <w:rsid w:val="00E84E7F"/>
    <w:rsid w:val="00E84F24"/>
    <w:rsid w:val="00E85069"/>
    <w:rsid w:val="00E85371"/>
    <w:rsid w:val="00E85527"/>
    <w:rsid w:val="00E86057"/>
    <w:rsid w:val="00E860F2"/>
    <w:rsid w:val="00E861A8"/>
    <w:rsid w:val="00E87463"/>
    <w:rsid w:val="00E8759A"/>
    <w:rsid w:val="00E876AD"/>
    <w:rsid w:val="00E8783E"/>
    <w:rsid w:val="00E87FA3"/>
    <w:rsid w:val="00E9014A"/>
    <w:rsid w:val="00E9048B"/>
    <w:rsid w:val="00E908A9"/>
    <w:rsid w:val="00E90D52"/>
    <w:rsid w:val="00E90D9E"/>
    <w:rsid w:val="00E9121F"/>
    <w:rsid w:val="00E914A4"/>
    <w:rsid w:val="00E91573"/>
    <w:rsid w:val="00E9174D"/>
    <w:rsid w:val="00E91851"/>
    <w:rsid w:val="00E91852"/>
    <w:rsid w:val="00E9251D"/>
    <w:rsid w:val="00E925F4"/>
    <w:rsid w:val="00E9284F"/>
    <w:rsid w:val="00E9288B"/>
    <w:rsid w:val="00E935F8"/>
    <w:rsid w:val="00E93682"/>
    <w:rsid w:val="00E9376D"/>
    <w:rsid w:val="00E93AB3"/>
    <w:rsid w:val="00E93ACD"/>
    <w:rsid w:val="00E93CAA"/>
    <w:rsid w:val="00E93CC9"/>
    <w:rsid w:val="00E942C1"/>
    <w:rsid w:val="00E94306"/>
    <w:rsid w:val="00E94536"/>
    <w:rsid w:val="00E946FA"/>
    <w:rsid w:val="00E948DB"/>
    <w:rsid w:val="00E95084"/>
    <w:rsid w:val="00E95090"/>
    <w:rsid w:val="00E958A6"/>
    <w:rsid w:val="00E95CBB"/>
    <w:rsid w:val="00E95E43"/>
    <w:rsid w:val="00E95F14"/>
    <w:rsid w:val="00E9626A"/>
    <w:rsid w:val="00E96308"/>
    <w:rsid w:val="00E96464"/>
    <w:rsid w:val="00E96583"/>
    <w:rsid w:val="00E968CF"/>
    <w:rsid w:val="00E96A88"/>
    <w:rsid w:val="00E97200"/>
    <w:rsid w:val="00E97B5E"/>
    <w:rsid w:val="00E97C12"/>
    <w:rsid w:val="00E97DA6"/>
    <w:rsid w:val="00E97E58"/>
    <w:rsid w:val="00EA00BB"/>
    <w:rsid w:val="00EA0192"/>
    <w:rsid w:val="00EA05B4"/>
    <w:rsid w:val="00EA0626"/>
    <w:rsid w:val="00EA075B"/>
    <w:rsid w:val="00EA0F56"/>
    <w:rsid w:val="00EA1379"/>
    <w:rsid w:val="00EA16E3"/>
    <w:rsid w:val="00EA170B"/>
    <w:rsid w:val="00EA17B2"/>
    <w:rsid w:val="00EA2195"/>
    <w:rsid w:val="00EA2284"/>
    <w:rsid w:val="00EA25FD"/>
    <w:rsid w:val="00EA2690"/>
    <w:rsid w:val="00EA2888"/>
    <w:rsid w:val="00EA2B60"/>
    <w:rsid w:val="00EA3223"/>
    <w:rsid w:val="00EA35E2"/>
    <w:rsid w:val="00EA3A34"/>
    <w:rsid w:val="00EA3DF2"/>
    <w:rsid w:val="00EA3E09"/>
    <w:rsid w:val="00EA42E9"/>
    <w:rsid w:val="00EA473A"/>
    <w:rsid w:val="00EA47C5"/>
    <w:rsid w:val="00EA4983"/>
    <w:rsid w:val="00EA4A78"/>
    <w:rsid w:val="00EA4BE9"/>
    <w:rsid w:val="00EA4D17"/>
    <w:rsid w:val="00EA4F13"/>
    <w:rsid w:val="00EA5331"/>
    <w:rsid w:val="00EA54B8"/>
    <w:rsid w:val="00EA553F"/>
    <w:rsid w:val="00EA5792"/>
    <w:rsid w:val="00EA5ADC"/>
    <w:rsid w:val="00EA612F"/>
    <w:rsid w:val="00EA655F"/>
    <w:rsid w:val="00EA679A"/>
    <w:rsid w:val="00EA6A3B"/>
    <w:rsid w:val="00EA6AF9"/>
    <w:rsid w:val="00EA6CEF"/>
    <w:rsid w:val="00EA7601"/>
    <w:rsid w:val="00EA761C"/>
    <w:rsid w:val="00EA77F8"/>
    <w:rsid w:val="00EB0074"/>
    <w:rsid w:val="00EB0341"/>
    <w:rsid w:val="00EB04DB"/>
    <w:rsid w:val="00EB0521"/>
    <w:rsid w:val="00EB0830"/>
    <w:rsid w:val="00EB0853"/>
    <w:rsid w:val="00EB0B7D"/>
    <w:rsid w:val="00EB0B80"/>
    <w:rsid w:val="00EB0D3A"/>
    <w:rsid w:val="00EB10C2"/>
    <w:rsid w:val="00EB1650"/>
    <w:rsid w:val="00EB1782"/>
    <w:rsid w:val="00EB1BFD"/>
    <w:rsid w:val="00EB21F1"/>
    <w:rsid w:val="00EB2A67"/>
    <w:rsid w:val="00EB352D"/>
    <w:rsid w:val="00EB36F2"/>
    <w:rsid w:val="00EB3800"/>
    <w:rsid w:val="00EB3B8F"/>
    <w:rsid w:val="00EB3CB2"/>
    <w:rsid w:val="00EB3D9E"/>
    <w:rsid w:val="00EB47C3"/>
    <w:rsid w:val="00EB48ED"/>
    <w:rsid w:val="00EB49C1"/>
    <w:rsid w:val="00EB4A37"/>
    <w:rsid w:val="00EB4CDA"/>
    <w:rsid w:val="00EB5041"/>
    <w:rsid w:val="00EB51F6"/>
    <w:rsid w:val="00EB5470"/>
    <w:rsid w:val="00EB5724"/>
    <w:rsid w:val="00EB585E"/>
    <w:rsid w:val="00EB59B7"/>
    <w:rsid w:val="00EB66EF"/>
    <w:rsid w:val="00EB6A9E"/>
    <w:rsid w:val="00EB7094"/>
    <w:rsid w:val="00EB71EE"/>
    <w:rsid w:val="00EB7DBA"/>
    <w:rsid w:val="00EB7E5F"/>
    <w:rsid w:val="00EC019C"/>
    <w:rsid w:val="00EC0256"/>
    <w:rsid w:val="00EC0275"/>
    <w:rsid w:val="00EC05AB"/>
    <w:rsid w:val="00EC067A"/>
    <w:rsid w:val="00EC06AD"/>
    <w:rsid w:val="00EC0844"/>
    <w:rsid w:val="00EC08ED"/>
    <w:rsid w:val="00EC0B77"/>
    <w:rsid w:val="00EC1132"/>
    <w:rsid w:val="00EC1384"/>
    <w:rsid w:val="00EC13C4"/>
    <w:rsid w:val="00EC1419"/>
    <w:rsid w:val="00EC1730"/>
    <w:rsid w:val="00EC18CA"/>
    <w:rsid w:val="00EC1906"/>
    <w:rsid w:val="00EC19B8"/>
    <w:rsid w:val="00EC2158"/>
    <w:rsid w:val="00EC22A9"/>
    <w:rsid w:val="00EC26F8"/>
    <w:rsid w:val="00EC27F8"/>
    <w:rsid w:val="00EC2E09"/>
    <w:rsid w:val="00EC2F54"/>
    <w:rsid w:val="00EC3305"/>
    <w:rsid w:val="00EC3545"/>
    <w:rsid w:val="00EC3574"/>
    <w:rsid w:val="00EC3643"/>
    <w:rsid w:val="00EC380B"/>
    <w:rsid w:val="00EC3C29"/>
    <w:rsid w:val="00EC3C39"/>
    <w:rsid w:val="00EC3FD7"/>
    <w:rsid w:val="00EC4260"/>
    <w:rsid w:val="00EC4382"/>
    <w:rsid w:val="00EC439F"/>
    <w:rsid w:val="00EC441A"/>
    <w:rsid w:val="00EC450D"/>
    <w:rsid w:val="00EC4668"/>
    <w:rsid w:val="00EC4850"/>
    <w:rsid w:val="00EC5088"/>
    <w:rsid w:val="00EC52B9"/>
    <w:rsid w:val="00EC567D"/>
    <w:rsid w:val="00EC5C2D"/>
    <w:rsid w:val="00EC5C37"/>
    <w:rsid w:val="00EC5F5F"/>
    <w:rsid w:val="00EC5FC5"/>
    <w:rsid w:val="00EC607E"/>
    <w:rsid w:val="00EC641A"/>
    <w:rsid w:val="00EC6C15"/>
    <w:rsid w:val="00EC6E99"/>
    <w:rsid w:val="00EC725A"/>
    <w:rsid w:val="00EC74E1"/>
    <w:rsid w:val="00EC7634"/>
    <w:rsid w:val="00EC7D1F"/>
    <w:rsid w:val="00ED02D8"/>
    <w:rsid w:val="00ED0512"/>
    <w:rsid w:val="00ED0938"/>
    <w:rsid w:val="00ED096D"/>
    <w:rsid w:val="00ED12A9"/>
    <w:rsid w:val="00ED156E"/>
    <w:rsid w:val="00ED1A00"/>
    <w:rsid w:val="00ED1A1D"/>
    <w:rsid w:val="00ED1D0D"/>
    <w:rsid w:val="00ED1F2D"/>
    <w:rsid w:val="00ED1F76"/>
    <w:rsid w:val="00ED242A"/>
    <w:rsid w:val="00ED2464"/>
    <w:rsid w:val="00ED2BD9"/>
    <w:rsid w:val="00ED2F9B"/>
    <w:rsid w:val="00ED328F"/>
    <w:rsid w:val="00ED3338"/>
    <w:rsid w:val="00ED3567"/>
    <w:rsid w:val="00ED37DC"/>
    <w:rsid w:val="00ED383C"/>
    <w:rsid w:val="00ED3E49"/>
    <w:rsid w:val="00ED401C"/>
    <w:rsid w:val="00ED42C9"/>
    <w:rsid w:val="00ED46C8"/>
    <w:rsid w:val="00ED47F8"/>
    <w:rsid w:val="00ED4CDF"/>
    <w:rsid w:val="00ED4E78"/>
    <w:rsid w:val="00ED50E4"/>
    <w:rsid w:val="00ED54D7"/>
    <w:rsid w:val="00ED570C"/>
    <w:rsid w:val="00ED596E"/>
    <w:rsid w:val="00ED5A92"/>
    <w:rsid w:val="00ED5D7D"/>
    <w:rsid w:val="00ED5F1D"/>
    <w:rsid w:val="00ED627E"/>
    <w:rsid w:val="00ED6333"/>
    <w:rsid w:val="00ED646F"/>
    <w:rsid w:val="00ED64CC"/>
    <w:rsid w:val="00ED7023"/>
    <w:rsid w:val="00ED7365"/>
    <w:rsid w:val="00ED73BA"/>
    <w:rsid w:val="00ED79BE"/>
    <w:rsid w:val="00ED7D42"/>
    <w:rsid w:val="00EE00B3"/>
    <w:rsid w:val="00EE0197"/>
    <w:rsid w:val="00EE02FF"/>
    <w:rsid w:val="00EE0BBE"/>
    <w:rsid w:val="00EE0E7C"/>
    <w:rsid w:val="00EE0EFD"/>
    <w:rsid w:val="00EE1133"/>
    <w:rsid w:val="00EE1314"/>
    <w:rsid w:val="00EE13BB"/>
    <w:rsid w:val="00EE144F"/>
    <w:rsid w:val="00EE169D"/>
    <w:rsid w:val="00EE1983"/>
    <w:rsid w:val="00EE1E0A"/>
    <w:rsid w:val="00EE2100"/>
    <w:rsid w:val="00EE2210"/>
    <w:rsid w:val="00EE26D1"/>
    <w:rsid w:val="00EE2837"/>
    <w:rsid w:val="00EE288B"/>
    <w:rsid w:val="00EE28E4"/>
    <w:rsid w:val="00EE2A2A"/>
    <w:rsid w:val="00EE2DD3"/>
    <w:rsid w:val="00EE2EFE"/>
    <w:rsid w:val="00EE336D"/>
    <w:rsid w:val="00EE398A"/>
    <w:rsid w:val="00EE3F20"/>
    <w:rsid w:val="00EE3F59"/>
    <w:rsid w:val="00EE46C4"/>
    <w:rsid w:val="00EE4903"/>
    <w:rsid w:val="00EE499C"/>
    <w:rsid w:val="00EE4A6E"/>
    <w:rsid w:val="00EE5AC4"/>
    <w:rsid w:val="00EE5CFA"/>
    <w:rsid w:val="00EE5D83"/>
    <w:rsid w:val="00EE64F9"/>
    <w:rsid w:val="00EE6A54"/>
    <w:rsid w:val="00EE6BE1"/>
    <w:rsid w:val="00EE6D1A"/>
    <w:rsid w:val="00EE7044"/>
    <w:rsid w:val="00EE7428"/>
    <w:rsid w:val="00EE76EF"/>
    <w:rsid w:val="00EE7969"/>
    <w:rsid w:val="00EE7A1C"/>
    <w:rsid w:val="00EE7AB7"/>
    <w:rsid w:val="00EE7B6F"/>
    <w:rsid w:val="00EF03D0"/>
    <w:rsid w:val="00EF0622"/>
    <w:rsid w:val="00EF0D66"/>
    <w:rsid w:val="00EF1210"/>
    <w:rsid w:val="00EF1420"/>
    <w:rsid w:val="00EF16F9"/>
    <w:rsid w:val="00EF17CD"/>
    <w:rsid w:val="00EF191B"/>
    <w:rsid w:val="00EF1A7E"/>
    <w:rsid w:val="00EF1FE7"/>
    <w:rsid w:val="00EF2102"/>
    <w:rsid w:val="00EF26A3"/>
    <w:rsid w:val="00EF2741"/>
    <w:rsid w:val="00EF28AF"/>
    <w:rsid w:val="00EF2908"/>
    <w:rsid w:val="00EF33C3"/>
    <w:rsid w:val="00EF350D"/>
    <w:rsid w:val="00EF386E"/>
    <w:rsid w:val="00EF3F1C"/>
    <w:rsid w:val="00EF455E"/>
    <w:rsid w:val="00EF46FC"/>
    <w:rsid w:val="00EF4D3C"/>
    <w:rsid w:val="00EF5386"/>
    <w:rsid w:val="00EF553B"/>
    <w:rsid w:val="00EF5B37"/>
    <w:rsid w:val="00EF6FF8"/>
    <w:rsid w:val="00F002FC"/>
    <w:rsid w:val="00F005AC"/>
    <w:rsid w:val="00F00E33"/>
    <w:rsid w:val="00F026E4"/>
    <w:rsid w:val="00F028B8"/>
    <w:rsid w:val="00F02AB6"/>
    <w:rsid w:val="00F02CB8"/>
    <w:rsid w:val="00F02F29"/>
    <w:rsid w:val="00F03150"/>
    <w:rsid w:val="00F033DC"/>
    <w:rsid w:val="00F035BC"/>
    <w:rsid w:val="00F036A6"/>
    <w:rsid w:val="00F03796"/>
    <w:rsid w:val="00F03D2B"/>
    <w:rsid w:val="00F04071"/>
    <w:rsid w:val="00F0458B"/>
    <w:rsid w:val="00F04700"/>
    <w:rsid w:val="00F04F0F"/>
    <w:rsid w:val="00F053FA"/>
    <w:rsid w:val="00F0557D"/>
    <w:rsid w:val="00F05831"/>
    <w:rsid w:val="00F05839"/>
    <w:rsid w:val="00F06632"/>
    <w:rsid w:val="00F0665E"/>
    <w:rsid w:val="00F069CD"/>
    <w:rsid w:val="00F06B83"/>
    <w:rsid w:val="00F06C86"/>
    <w:rsid w:val="00F06DB7"/>
    <w:rsid w:val="00F06E48"/>
    <w:rsid w:val="00F06F0C"/>
    <w:rsid w:val="00F077F4"/>
    <w:rsid w:val="00F078B1"/>
    <w:rsid w:val="00F10135"/>
    <w:rsid w:val="00F102A6"/>
    <w:rsid w:val="00F105EA"/>
    <w:rsid w:val="00F10D26"/>
    <w:rsid w:val="00F10D7D"/>
    <w:rsid w:val="00F110AF"/>
    <w:rsid w:val="00F1118A"/>
    <w:rsid w:val="00F1164F"/>
    <w:rsid w:val="00F120AD"/>
    <w:rsid w:val="00F1255D"/>
    <w:rsid w:val="00F12A2E"/>
    <w:rsid w:val="00F12A6F"/>
    <w:rsid w:val="00F13318"/>
    <w:rsid w:val="00F13490"/>
    <w:rsid w:val="00F138DE"/>
    <w:rsid w:val="00F13D4B"/>
    <w:rsid w:val="00F13DDC"/>
    <w:rsid w:val="00F13F68"/>
    <w:rsid w:val="00F14064"/>
    <w:rsid w:val="00F14410"/>
    <w:rsid w:val="00F14629"/>
    <w:rsid w:val="00F1466A"/>
    <w:rsid w:val="00F147D8"/>
    <w:rsid w:val="00F14825"/>
    <w:rsid w:val="00F14A9A"/>
    <w:rsid w:val="00F14EC6"/>
    <w:rsid w:val="00F15311"/>
    <w:rsid w:val="00F15493"/>
    <w:rsid w:val="00F15B12"/>
    <w:rsid w:val="00F16072"/>
    <w:rsid w:val="00F165BF"/>
    <w:rsid w:val="00F165E8"/>
    <w:rsid w:val="00F169F5"/>
    <w:rsid w:val="00F16A59"/>
    <w:rsid w:val="00F16E6F"/>
    <w:rsid w:val="00F16F14"/>
    <w:rsid w:val="00F1716C"/>
    <w:rsid w:val="00F17350"/>
    <w:rsid w:val="00F17977"/>
    <w:rsid w:val="00F17ADB"/>
    <w:rsid w:val="00F17B26"/>
    <w:rsid w:val="00F17B9A"/>
    <w:rsid w:val="00F17F79"/>
    <w:rsid w:val="00F2037E"/>
    <w:rsid w:val="00F206EE"/>
    <w:rsid w:val="00F20724"/>
    <w:rsid w:val="00F20CA6"/>
    <w:rsid w:val="00F20CEB"/>
    <w:rsid w:val="00F21326"/>
    <w:rsid w:val="00F21834"/>
    <w:rsid w:val="00F21964"/>
    <w:rsid w:val="00F21A1A"/>
    <w:rsid w:val="00F21C7F"/>
    <w:rsid w:val="00F21D9D"/>
    <w:rsid w:val="00F21FB3"/>
    <w:rsid w:val="00F22284"/>
    <w:rsid w:val="00F22393"/>
    <w:rsid w:val="00F22628"/>
    <w:rsid w:val="00F22C48"/>
    <w:rsid w:val="00F22E52"/>
    <w:rsid w:val="00F23390"/>
    <w:rsid w:val="00F23528"/>
    <w:rsid w:val="00F236AF"/>
    <w:rsid w:val="00F237F9"/>
    <w:rsid w:val="00F239D6"/>
    <w:rsid w:val="00F23AF5"/>
    <w:rsid w:val="00F244D6"/>
    <w:rsid w:val="00F24749"/>
    <w:rsid w:val="00F24A60"/>
    <w:rsid w:val="00F24F70"/>
    <w:rsid w:val="00F2546A"/>
    <w:rsid w:val="00F254BE"/>
    <w:rsid w:val="00F254DA"/>
    <w:rsid w:val="00F25830"/>
    <w:rsid w:val="00F25D2C"/>
    <w:rsid w:val="00F25E6B"/>
    <w:rsid w:val="00F25F5A"/>
    <w:rsid w:val="00F25FF4"/>
    <w:rsid w:val="00F26091"/>
    <w:rsid w:val="00F260C0"/>
    <w:rsid w:val="00F2619D"/>
    <w:rsid w:val="00F264B8"/>
    <w:rsid w:val="00F267EA"/>
    <w:rsid w:val="00F27093"/>
    <w:rsid w:val="00F2734C"/>
    <w:rsid w:val="00F27943"/>
    <w:rsid w:val="00F27D3F"/>
    <w:rsid w:val="00F3061D"/>
    <w:rsid w:val="00F3090D"/>
    <w:rsid w:val="00F30B84"/>
    <w:rsid w:val="00F30C04"/>
    <w:rsid w:val="00F30D28"/>
    <w:rsid w:val="00F31244"/>
    <w:rsid w:val="00F3183D"/>
    <w:rsid w:val="00F31863"/>
    <w:rsid w:val="00F31BB5"/>
    <w:rsid w:val="00F32266"/>
    <w:rsid w:val="00F32604"/>
    <w:rsid w:val="00F326DD"/>
    <w:rsid w:val="00F32A00"/>
    <w:rsid w:val="00F32C21"/>
    <w:rsid w:val="00F33855"/>
    <w:rsid w:val="00F33976"/>
    <w:rsid w:val="00F33E52"/>
    <w:rsid w:val="00F34502"/>
    <w:rsid w:val="00F349C6"/>
    <w:rsid w:val="00F351A1"/>
    <w:rsid w:val="00F35F28"/>
    <w:rsid w:val="00F36FAC"/>
    <w:rsid w:val="00F3726D"/>
    <w:rsid w:val="00F373DC"/>
    <w:rsid w:val="00F375FB"/>
    <w:rsid w:val="00F37894"/>
    <w:rsid w:val="00F37BE2"/>
    <w:rsid w:val="00F37E87"/>
    <w:rsid w:val="00F4021C"/>
    <w:rsid w:val="00F402BD"/>
    <w:rsid w:val="00F4063E"/>
    <w:rsid w:val="00F407A9"/>
    <w:rsid w:val="00F4080F"/>
    <w:rsid w:val="00F4098E"/>
    <w:rsid w:val="00F40C72"/>
    <w:rsid w:val="00F411B6"/>
    <w:rsid w:val="00F412E3"/>
    <w:rsid w:val="00F41336"/>
    <w:rsid w:val="00F41509"/>
    <w:rsid w:val="00F41521"/>
    <w:rsid w:val="00F41589"/>
    <w:rsid w:val="00F4176D"/>
    <w:rsid w:val="00F41879"/>
    <w:rsid w:val="00F41EE3"/>
    <w:rsid w:val="00F42162"/>
    <w:rsid w:val="00F4242A"/>
    <w:rsid w:val="00F42B33"/>
    <w:rsid w:val="00F42D0A"/>
    <w:rsid w:val="00F4328A"/>
    <w:rsid w:val="00F43328"/>
    <w:rsid w:val="00F4376A"/>
    <w:rsid w:val="00F43AFC"/>
    <w:rsid w:val="00F43BF2"/>
    <w:rsid w:val="00F43C5F"/>
    <w:rsid w:val="00F44567"/>
    <w:rsid w:val="00F44CC1"/>
    <w:rsid w:val="00F452B3"/>
    <w:rsid w:val="00F45654"/>
    <w:rsid w:val="00F45949"/>
    <w:rsid w:val="00F459F5"/>
    <w:rsid w:val="00F45CA6"/>
    <w:rsid w:val="00F4628D"/>
    <w:rsid w:val="00F464FB"/>
    <w:rsid w:val="00F46ADF"/>
    <w:rsid w:val="00F46F4A"/>
    <w:rsid w:val="00F47744"/>
    <w:rsid w:val="00F500F5"/>
    <w:rsid w:val="00F50393"/>
    <w:rsid w:val="00F506BB"/>
    <w:rsid w:val="00F506E0"/>
    <w:rsid w:val="00F50C41"/>
    <w:rsid w:val="00F51426"/>
    <w:rsid w:val="00F5145B"/>
    <w:rsid w:val="00F51462"/>
    <w:rsid w:val="00F515C6"/>
    <w:rsid w:val="00F51A1B"/>
    <w:rsid w:val="00F51DA2"/>
    <w:rsid w:val="00F520BE"/>
    <w:rsid w:val="00F520CD"/>
    <w:rsid w:val="00F522DC"/>
    <w:rsid w:val="00F52302"/>
    <w:rsid w:val="00F52601"/>
    <w:rsid w:val="00F52757"/>
    <w:rsid w:val="00F529E2"/>
    <w:rsid w:val="00F52E1F"/>
    <w:rsid w:val="00F53084"/>
    <w:rsid w:val="00F537FA"/>
    <w:rsid w:val="00F5399B"/>
    <w:rsid w:val="00F53D89"/>
    <w:rsid w:val="00F53E27"/>
    <w:rsid w:val="00F54A02"/>
    <w:rsid w:val="00F54B5C"/>
    <w:rsid w:val="00F54BAF"/>
    <w:rsid w:val="00F55780"/>
    <w:rsid w:val="00F55F3E"/>
    <w:rsid w:val="00F5621D"/>
    <w:rsid w:val="00F562F7"/>
    <w:rsid w:val="00F564B4"/>
    <w:rsid w:val="00F5687D"/>
    <w:rsid w:val="00F56900"/>
    <w:rsid w:val="00F56B7E"/>
    <w:rsid w:val="00F56C6C"/>
    <w:rsid w:val="00F56F06"/>
    <w:rsid w:val="00F57026"/>
    <w:rsid w:val="00F57CB3"/>
    <w:rsid w:val="00F57E2D"/>
    <w:rsid w:val="00F601A9"/>
    <w:rsid w:val="00F604FB"/>
    <w:rsid w:val="00F60679"/>
    <w:rsid w:val="00F608EF"/>
    <w:rsid w:val="00F60955"/>
    <w:rsid w:val="00F60FEF"/>
    <w:rsid w:val="00F61450"/>
    <w:rsid w:val="00F6156F"/>
    <w:rsid w:val="00F617DD"/>
    <w:rsid w:val="00F6197C"/>
    <w:rsid w:val="00F61E84"/>
    <w:rsid w:val="00F622A0"/>
    <w:rsid w:val="00F62479"/>
    <w:rsid w:val="00F62706"/>
    <w:rsid w:val="00F6308D"/>
    <w:rsid w:val="00F63177"/>
    <w:rsid w:val="00F632C3"/>
    <w:rsid w:val="00F632DE"/>
    <w:rsid w:val="00F63333"/>
    <w:rsid w:val="00F634B4"/>
    <w:rsid w:val="00F634FB"/>
    <w:rsid w:val="00F63775"/>
    <w:rsid w:val="00F63B54"/>
    <w:rsid w:val="00F63B65"/>
    <w:rsid w:val="00F63B76"/>
    <w:rsid w:val="00F63EDC"/>
    <w:rsid w:val="00F64122"/>
    <w:rsid w:val="00F647E7"/>
    <w:rsid w:val="00F64BBC"/>
    <w:rsid w:val="00F64F70"/>
    <w:rsid w:val="00F651E8"/>
    <w:rsid w:val="00F65895"/>
    <w:rsid w:val="00F65E7D"/>
    <w:rsid w:val="00F66074"/>
    <w:rsid w:val="00F661A6"/>
    <w:rsid w:val="00F66A9C"/>
    <w:rsid w:val="00F67074"/>
    <w:rsid w:val="00F674ED"/>
    <w:rsid w:val="00F678D6"/>
    <w:rsid w:val="00F67CCB"/>
    <w:rsid w:val="00F67DDB"/>
    <w:rsid w:val="00F7069F"/>
    <w:rsid w:val="00F707AC"/>
    <w:rsid w:val="00F7083C"/>
    <w:rsid w:val="00F7084D"/>
    <w:rsid w:val="00F708FB"/>
    <w:rsid w:val="00F70C34"/>
    <w:rsid w:val="00F70DB4"/>
    <w:rsid w:val="00F70EFD"/>
    <w:rsid w:val="00F70FE5"/>
    <w:rsid w:val="00F71316"/>
    <w:rsid w:val="00F717B2"/>
    <w:rsid w:val="00F71C64"/>
    <w:rsid w:val="00F71D04"/>
    <w:rsid w:val="00F71F47"/>
    <w:rsid w:val="00F7204B"/>
    <w:rsid w:val="00F72094"/>
    <w:rsid w:val="00F72236"/>
    <w:rsid w:val="00F724F9"/>
    <w:rsid w:val="00F72E36"/>
    <w:rsid w:val="00F7301E"/>
    <w:rsid w:val="00F733A9"/>
    <w:rsid w:val="00F73827"/>
    <w:rsid w:val="00F73BE3"/>
    <w:rsid w:val="00F73D24"/>
    <w:rsid w:val="00F74997"/>
    <w:rsid w:val="00F75070"/>
    <w:rsid w:val="00F750D9"/>
    <w:rsid w:val="00F7525D"/>
    <w:rsid w:val="00F7548F"/>
    <w:rsid w:val="00F754CE"/>
    <w:rsid w:val="00F755C1"/>
    <w:rsid w:val="00F75AEE"/>
    <w:rsid w:val="00F75ECA"/>
    <w:rsid w:val="00F7647A"/>
    <w:rsid w:val="00F7685B"/>
    <w:rsid w:val="00F76B1C"/>
    <w:rsid w:val="00F76B45"/>
    <w:rsid w:val="00F76DB8"/>
    <w:rsid w:val="00F77112"/>
    <w:rsid w:val="00F776FA"/>
    <w:rsid w:val="00F77855"/>
    <w:rsid w:val="00F77EBE"/>
    <w:rsid w:val="00F77F2C"/>
    <w:rsid w:val="00F801D6"/>
    <w:rsid w:val="00F80363"/>
    <w:rsid w:val="00F8097A"/>
    <w:rsid w:val="00F80BA7"/>
    <w:rsid w:val="00F80EFB"/>
    <w:rsid w:val="00F80F34"/>
    <w:rsid w:val="00F816EA"/>
    <w:rsid w:val="00F81705"/>
    <w:rsid w:val="00F81776"/>
    <w:rsid w:val="00F817E7"/>
    <w:rsid w:val="00F81A49"/>
    <w:rsid w:val="00F81A98"/>
    <w:rsid w:val="00F81BC5"/>
    <w:rsid w:val="00F8223A"/>
    <w:rsid w:val="00F82308"/>
    <w:rsid w:val="00F823A9"/>
    <w:rsid w:val="00F825E9"/>
    <w:rsid w:val="00F8280E"/>
    <w:rsid w:val="00F828EF"/>
    <w:rsid w:val="00F8308B"/>
    <w:rsid w:val="00F831DC"/>
    <w:rsid w:val="00F8335D"/>
    <w:rsid w:val="00F8381D"/>
    <w:rsid w:val="00F83B4D"/>
    <w:rsid w:val="00F83F25"/>
    <w:rsid w:val="00F84384"/>
    <w:rsid w:val="00F843D6"/>
    <w:rsid w:val="00F845E2"/>
    <w:rsid w:val="00F84AA0"/>
    <w:rsid w:val="00F84ACB"/>
    <w:rsid w:val="00F85310"/>
    <w:rsid w:val="00F85758"/>
    <w:rsid w:val="00F85B75"/>
    <w:rsid w:val="00F85C50"/>
    <w:rsid w:val="00F85DD4"/>
    <w:rsid w:val="00F860FD"/>
    <w:rsid w:val="00F86252"/>
    <w:rsid w:val="00F86365"/>
    <w:rsid w:val="00F869B9"/>
    <w:rsid w:val="00F86D1E"/>
    <w:rsid w:val="00F86F04"/>
    <w:rsid w:val="00F8709A"/>
    <w:rsid w:val="00F87804"/>
    <w:rsid w:val="00F8784A"/>
    <w:rsid w:val="00F87BD1"/>
    <w:rsid w:val="00F90307"/>
    <w:rsid w:val="00F903C6"/>
    <w:rsid w:val="00F90577"/>
    <w:rsid w:val="00F906F9"/>
    <w:rsid w:val="00F90A0E"/>
    <w:rsid w:val="00F90AC4"/>
    <w:rsid w:val="00F90B2D"/>
    <w:rsid w:val="00F90B9B"/>
    <w:rsid w:val="00F912BA"/>
    <w:rsid w:val="00F913A5"/>
    <w:rsid w:val="00F913C5"/>
    <w:rsid w:val="00F914B0"/>
    <w:rsid w:val="00F9164F"/>
    <w:rsid w:val="00F916A2"/>
    <w:rsid w:val="00F916D7"/>
    <w:rsid w:val="00F91930"/>
    <w:rsid w:val="00F91ED1"/>
    <w:rsid w:val="00F9224F"/>
    <w:rsid w:val="00F92353"/>
    <w:rsid w:val="00F9253F"/>
    <w:rsid w:val="00F9275C"/>
    <w:rsid w:val="00F92EA7"/>
    <w:rsid w:val="00F92F89"/>
    <w:rsid w:val="00F92FD2"/>
    <w:rsid w:val="00F93500"/>
    <w:rsid w:val="00F9355C"/>
    <w:rsid w:val="00F936A4"/>
    <w:rsid w:val="00F93820"/>
    <w:rsid w:val="00F938FD"/>
    <w:rsid w:val="00F93E70"/>
    <w:rsid w:val="00F93F5F"/>
    <w:rsid w:val="00F943B2"/>
    <w:rsid w:val="00F9447C"/>
    <w:rsid w:val="00F94522"/>
    <w:rsid w:val="00F94B1A"/>
    <w:rsid w:val="00F94CB6"/>
    <w:rsid w:val="00F94FA2"/>
    <w:rsid w:val="00F95295"/>
    <w:rsid w:val="00F957D8"/>
    <w:rsid w:val="00F9580F"/>
    <w:rsid w:val="00F95819"/>
    <w:rsid w:val="00F958B6"/>
    <w:rsid w:val="00F95B16"/>
    <w:rsid w:val="00F95BC3"/>
    <w:rsid w:val="00F95C5E"/>
    <w:rsid w:val="00F95CEF"/>
    <w:rsid w:val="00F95E1F"/>
    <w:rsid w:val="00F964A7"/>
    <w:rsid w:val="00F9680F"/>
    <w:rsid w:val="00F969DC"/>
    <w:rsid w:val="00F96E63"/>
    <w:rsid w:val="00F9738A"/>
    <w:rsid w:val="00F97983"/>
    <w:rsid w:val="00F97D62"/>
    <w:rsid w:val="00FA0037"/>
    <w:rsid w:val="00FA03FA"/>
    <w:rsid w:val="00FA07AF"/>
    <w:rsid w:val="00FA0BBC"/>
    <w:rsid w:val="00FA0C4A"/>
    <w:rsid w:val="00FA1288"/>
    <w:rsid w:val="00FA14F7"/>
    <w:rsid w:val="00FA19E5"/>
    <w:rsid w:val="00FA1D31"/>
    <w:rsid w:val="00FA1E3C"/>
    <w:rsid w:val="00FA21BE"/>
    <w:rsid w:val="00FA2224"/>
    <w:rsid w:val="00FA228D"/>
    <w:rsid w:val="00FA2333"/>
    <w:rsid w:val="00FA2438"/>
    <w:rsid w:val="00FA2713"/>
    <w:rsid w:val="00FA2A05"/>
    <w:rsid w:val="00FA2B4D"/>
    <w:rsid w:val="00FA2D4B"/>
    <w:rsid w:val="00FA366A"/>
    <w:rsid w:val="00FA36F6"/>
    <w:rsid w:val="00FA399D"/>
    <w:rsid w:val="00FA3BA0"/>
    <w:rsid w:val="00FA3CD8"/>
    <w:rsid w:val="00FA3D02"/>
    <w:rsid w:val="00FA3E53"/>
    <w:rsid w:val="00FA499E"/>
    <w:rsid w:val="00FA4D65"/>
    <w:rsid w:val="00FA50A8"/>
    <w:rsid w:val="00FA5298"/>
    <w:rsid w:val="00FA57EF"/>
    <w:rsid w:val="00FA6123"/>
    <w:rsid w:val="00FA6915"/>
    <w:rsid w:val="00FA6A4E"/>
    <w:rsid w:val="00FA6DDF"/>
    <w:rsid w:val="00FA6E72"/>
    <w:rsid w:val="00FA7237"/>
    <w:rsid w:val="00FA7360"/>
    <w:rsid w:val="00FA750E"/>
    <w:rsid w:val="00FA7C25"/>
    <w:rsid w:val="00FA7E9A"/>
    <w:rsid w:val="00FB0001"/>
    <w:rsid w:val="00FB03CB"/>
    <w:rsid w:val="00FB07B7"/>
    <w:rsid w:val="00FB0AA8"/>
    <w:rsid w:val="00FB0DF4"/>
    <w:rsid w:val="00FB0E29"/>
    <w:rsid w:val="00FB1232"/>
    <w:rsid w:val="00FB163C"/>
    <w:rsid w:val="00FB184E"/>
    <w:rsid w:val="00FB1ABF"/>
    <w:rsid w:val="00FB2010"/>
    <w:rsid w:val="00FB2124"/>
    <w:rsid w:val="00FB22D9"/>
    <w:rsid w:val="00FB256E"/>
    <w:rsid w:val="00FB260B"/>
    <w:rsid w:val="00FB34EF"/>
    <w:rsid w:val="00FB3A15"/>
    <w:rsid w:val="00FB3A88"/>
    <w:rsid w:val="00FB3F9C"/>
    <w:rsid w:val="00FB40C1"/>
    <w:rsid w:val="00FB4617"/>
    <w:rsid w:val="00FB4AA6"/>
    <w:rsid w:val="00FB5163"/>
    <w:rsid w:val="00FB56B5"/>
    <w:rsid w:val="00FB589B"/>
    <w:rsid w:val="00FB58B2"/>
    <w:rsid w:val="00FB5A5C"/>
    <w:rsid w:val="00FB5D0E"/>
    <w:rsid w:val="00FB615A"/>
    <w:rsid w:val="00FB662F"/>
    <w:rsid w:val="00FB6865"/>
    <w:rsid w:val="00FB6A19"/>
    <w:rsid w:val="00FB6C70"/>
    <w:rsid w:val="00FB6C9C"/>
    <w:rsid w:val="00FB70B0"/>
    <w:rsid w:val="00FB7220"/>
    <w:rsid w:val="00FB7237"/>
    <w:rsid w:val="00FB7735"/>
    <w:rsid w:val="00FB7DF0"/>
    <w:rsid w:val="00FB7DF9"/>
    <w:rsid w:val="00FB7EB3"/>
    <w:rsid w:val="00FB7ED0"/>
    <w:rsid w:val="00FB7F59"/>
    <w:rsid w:val="00FC0754"/>
    <w:rsid w:val="00FC0B34"/>
    <w:rsid w:val="00FC0C3D"/>
    <w:rsid w:val="00FC0C9D"/>
    <w:rsid w:val="00FC0D8D"/>
    <w:rsid w:val="00FC0DD4"/>
    <w:rsid w:val="00FC0DDE"/>
    <w:rsid w:val="00FC14B3"/>
    <w:rsid w:val="00FC1A68"/>
    <w:rsid w:val="00FC1D35"/>
    <w:rsid w:val="00FC1D48"/>
    <w:rsid w:val="00FC26CF"/>
    <w:rsid w:val="00FC2F1A"/>
    <w:rsid w:val="00FC3649"/>
    <w:rsid w:val="00FC3A16"/>
    <w:rsid w:val="00FC3DAE"/>
    <w:rsid w:val="00FC3E5A"/>
    <w:rsid w:val="00FC3FC1"/>
    <w:rsid w:val="00FC4282"/>
    <w:rsid w:val="00FC441B"/>
    <w:rsid w:val="00FC4715"/>
    <w:rsid w:val="00FC4C94"/>
    <w:rsid w:val="00FC5025"/>
    <w:rsid w:val="00FC51DE"/>
    <w:rsid w:val="00FC55B6"/>
    <w:rsid w:val="00FC5F77"/>
    <w:rsid w:val="00FC62A1"/>
    <w:rsid w:val="00FC6527"/>
    <w:rsid w:val="00FC66C7"/>
    <w:rsid w:val="00FC66DA"/>
    <w:rsid w:val="00FC6970"/>
    <w:rsid w:val="00FC6B57"/>
    <w:rsid w:val="00FC6E63"/>
    <w:rsid w:val="00FC712A"/>
    <w:rsid w:val="00FC719C"/>
    <w:rsid w:val="00FC71F8"/>
    <w:rsid w:val="00FC7225"/>
    <w:rsid w:val="00FC7454"/>
    <w:rsid w:val="00FC76CC"/>
    <w:rsid w:val="00FC77A7"/>
    <w:rsid w:val="00FC7A0D"/>
    <w:rsid w:val="00FD0327"/>
    <w:rsid w:val="00FD04DA"/>
    <w:rsid w:val="00FD0915"/>
    <w:rsid w:val="00FD096E"/>
    <w:rsid w:val="00FD0A92"/>
    <w:rsid w:val="00FD0C64"/>
    <w:rsid w:val="00FD119B"/>
    <w:rsid w:val="00FD1317"/>
    <w:rsid w:val="00FD1470"/>
    <w:rsid w:val="00FD1CEB"/>
    <w:rsid w:val="00FD2525"/>
    <w:rsid w:val="00FD258A"/>
    <w:rsid w:val="00FD280E"/>
    <w:rsid w:val="00FD2812"/>
    <w:rsid w:val="00FD2847"/>
    <w:rsid w:val="00FD2CD8"/>
    <w:rsid w:val="00FD2D96"/>
    <w:rsid w:val="00FD2F24"/>
    <w:rsid w:val="00FD32D5"/>
    <w:rsid w:val="00FD36DD"/>
    <w:rsid w:val="00FD37E1"/>
    <w:rsid w:val="00FD3819"/>
    <w:rsid w:val="00FD3A60"/>
    <w:rsid w:val="00FD3C91"/>
    <w:rsid w:val="00FD4406"/>
    <w:rsid w:val="00FD44DA"/>
    <w:rsid w:val="00FD558D"/>
    <w:rsid w:val="00FD5AC2"/>
    <w:rsid w:val="00FD62B2"/>
    <w:rsid w:val="00FD6525"/>
    <w:rsid w:val="00FD659E"/>
    <w:rsid w:val="00FD675B"/>
    <w:rsid w:val="00FD67AB"/>
    <w:rsid w:val="00FD69CE"/>
    <w:rsid w:val="00FD6A1F"/>
    <w:rsid w:val="00FD6D03"/>
    <w:rsid w:val="00FD6F17"/>
    <w:rsid w:val="00FD71BE"/>
    <w:rsid w:val="00FD72F4"/>
    <w:rsid w:val="00FD7418"/>
    <w:rsid w:val="00FD74A5"/>
    <w:rsid w:val="00FE0007"/>
    <w:rsid w:val="00FE04C6"/>
    <w:rsid w:val="00FE051D"/>
    <w:rsid w:val="00FE07D5"/>
    <w:rsid w:val="00FE09FB"/>
    <w:rsid w:val="00FE0C4A"/>
    <w:rsid w:val="00FE0C6D"/>
    <w:rsid w:val="00FE0CCE"/>
    <w:rsid w:val="00FE0F1F"/>
    <w:rsid w:val="00FE107D"/>
    <w:rsid w:val="00FE12D5"/>
    <w:rsid w:val="00FE181C"/>
    <w:rsid w:val="00FE18BF"/>
    <w:rsid w:val="00FE2FEF"/>
    <w:rsid w:val="00FE311F"/>
    <w:rsid w:val="00FE3875"/>
    <w:rsid w:val="00FE3B0E"/>
    <w:rsid w:val="00FE3C50"/>
    <w:rsid w:val="00FE3D66"/>
    <w:rsid w:val="00FE3E59"/>
    <w:rsid w:val="00FE42E7"/>
    <w:rsid w:val="00FE4DC1"/>
    <w:rsid w:val="00FE55F6"/>
    <w:rsid w:val="00FE5852"/>
    <w:rsid w:val="00FE5EE4"/>
    <w:rsid w:val="00FE6180"/>
    <w:rsid w:val="00FE62E6"/>
    <w:rsid w:val="00FE6B8E"/>
    <w:rsid w:val="00FE7645"/>
    <w:rsid w:val="00FE7CB9"/>
    <w:rsid w:val="00FF010E"/>
    <w:rsid w:val="00FF0133"/>
    <w:rsid w:val="00FF0562"/>
    <w:rsid w:val="00FF0675"/>
    <w:rsid w:val="00FF0889"/>
    <w:rsid w:val="00FF130E"/>
    <w:rsid w:val="00FF150A"/>
    <w:rsid w:val="00FF1B21"/>
    <w:rsid w:val="00FF2374"/>
    <w:rsid w:val="00FF23B0"/>
    <w:rsid w:val="00FF2435"/>
    <w:rsid w:val="00FF2577"/>
    <w:rsid w:val="00FF27CA"/>
    <w:rsid w:val="00FF281F"/>
    <w:rsid w:val="00FF28B7"/>
    <w:rsid w:val="00FF29CF"/>
    <w:rsid w:val="00FF2D00"/>
    <w:rsid w:val="00FF30B0"/>
    <w:rsid w:val="00FF32D9"/>
    <w:rsid w:val="00FF3326"/>
    <w:rsid w:val="00FF37EC"/>
    <w:rsid w:val="00FF3B12"/>
    <w:rsid w:val="00FF3C00"/>
    <w:rsid w:val="00FF3D4F"/>
    <w:rsid w:val="00FF3D8C"/>
    <w:rsid w:val="00FF4074"/>
    <w:rsid w:val="00FF40F2"/>
    <w:rsid w:val="00FF42F6"/>
    <w:rsid w:val="00FF4916"/>
    <w:rsid w:val="00FF4CB1"/>
    <w:rsid w:val="00FF4CDC"/>
    <w:rsid w:val="00FF53D0"/>
    <w:rsid w:val="00FF5950"/>
    <w:rsid w:val="00FF5B27"/>
    <w:rsid w:val="00FF5FCD"/>
    <w:rsid w:val="00FF66FD"/>
    <w:rsid w:val="00FF674E"/>
    <w:rsid w:val="00FF68F2"/>
    <w:rsid w:val="00FF6C10"/>
    <w:rsid w:val="00FF6E4E"/>
    <w:rsid w:val="00FF6F87"/>
    <w:rsid w:val="00FF7DB7"/>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9DF0F"/>
  <w15:chartTrackingRefBased/>
  <w15:docId w15:val="{1D35BB6A-59FC-4DC4-B64E-05BEE49F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8A"/>
    <w:rPr>
      <w:rFonts w:ascii="Arial" w:eastAsia="Times New Roman" w:hAnsi="Arial" w:cs="Times New Roman"/>
      <w:szCs w:val="20"/>
      <w:lang w:val="en-AU"/>
    </w:rPr>
  </w:style>
  <w:style w:type="paragraph" w:styleId="Heading1">
    <w:name w:val="heading 1"/>
    <w:basedOn w:val="Normal"/>
    <w:next w:val="Normal"/>
    <w:link w:val="Heading1Char"/>
    <w:uiPriority w:val="9"/>
    <w:unhideWhenUsed/>
    <w:qFormat/>
    <w:rsid w:val="00457522"/>
    <w:pPr>
      <w:keepNext/>
      <w:numPr>
        <w:numId w:val="23"/>
      </w:numPr>
      <w:spacing w:before="0" w:after="320"/>
      <w:outlineLvl w:val="0"/>
    </w:pPr>
    <w:rPr>
      <w:b/>
      <w:color w:val="6A2875"/>
      <w:sz w:val="32"/>
      <w:szCs w:val="32"/>
    </w:rPr>
  </w:style>
  <w:style w:type="paragraph" w:styleId="Heading2">
    <w:name w:val="heading 2"/>
    <w:basedOn w:val="Normal"/>
    <w:next w:val="Normal"/>
    <w:link w:val="Heading2Char"/>
    <w:uiPriority w:val="1"/>
    <w:unhideWhenUsed/>
    <w:qFormat/>
    <w:rsid w:val="0084079C"/>
    <w:pPr>
      <w:keepNext/>
      <w:numPr>
        <w:ilvl w:val="1"/>
        <w:numId w:val="23"/>
      </w:numPr>
      <w:spacing w:before="320"/>
      <w:ind w:right="284"/>
      <w:outlineLvl w:val="1"/>
    </w:pPr>
    <w:rPr>
      <w:b/>
      <w:caps/>
      <w:color w:val="6A2875"/>
      <w:szCs w:val="24"/>
    </w:rPr>
  </w:style>
  <w:style w:type="paragraph" w:styleId="Heading3">
    <w:name w:val="heading 3"/>
    <w:basedOn w:val="Normal"/>
    <w:next w:val="Normal"/>
    <w:link w:val="Heading3Char"/>
    <w:uiPriority w:val="1"/>
    <w:unhideWhenUsed/>
    <w:qFormat/>
    <w:rsid w:val="00652502"/>
    <w:pPr>
      <w:keepNext/>
      <w:spacing w:before="320"/>
      <w:ind w:left="720" w:hanging="720"/>
      <w:outlineLvl w:val="2"/>
    </w:pPr>
    <w:rPr>
      <w:b/>
      <w:color w:val="000000" w:themeColor="text1"/>
      <w:szCs w:val="24"/>
    </w:rPr>
  </w:style>
  <w:style w:type="paragraph" w:styleId="Heading4">
    <w:name w:val="heading 4"/>
    <w:basedOn w:val="Normal"/>
    <w:next w:val="Normal"/>
    <w:link w:val="Heading4Char"/>
    <w:uiPriority w:val="1"/>
    <w:unhideWhenUsed/>
    <w:rsid w:val="00FC441B"/>
    <w:pPr>
      <w:numPr>
        <w:ilvl w:val="3"/>
        <w:numId w:val="23"/>
      </w:numPr>
      <w:spacing w:before="240" w:after="0"/>
      <w:outlineLvl w:val="3"/>
    </w:pPr>
    <w:rPr>
      <w:smallCaps/>
      <w:spacing w:val="10"/>
      <w:szCs w:val="22"/>
    </w:rPr>
  </w:style>
  <w:style w:type="paragraph" w:styleId="Heading5">
    <w:name w:val="heading 5"/>
    <w:basedOn w:val="Normal"/>
    <w:next w:val="Normal"/>
    <w:link w:val="Heading5Char"/>
    <w:uiPriority w:val="1"/>
    <w:unhideWhenUsed/>
    <w:rsid w:val="00D97646"/>
    <w:pPr>
      <w:numPr>
        <w:ilvl w:val="4"/>
        <w:numId w:val="23"/>
      </w:numPr>
      <w:spacing w:before="200" w:after="0"/>
      <w:outlineLvl w:val="4"/>
    </w:pPr>
    <w:rPr>
      <w:rFonts w:asciiTheme="minorHAnsi" w:eastAsiaTheme="minorEastAsia" w:hAnsiTheme="minorHAnsi" w:cstheme="minorBidi"/>
      <w:smallCaps/>
      <w:color w:val="675086" w:themeColor="accent2" w:themeShade="BF"/>
      <w:spacing w:val="10"/>
      <w:szCs w:val="26"/>
    </w:rPr>
  </w:style>
  <w:style w:type="paragraph" w:styleId="Heading6">
    <w:name w:val="heading 6"/>
    <w:basedOn w:val="Normal"/>
    <w:next w:val="Normal"/>
    <w:link w:val="Heading6Char"/>
    <w:uiPriority w:val="1"/>
    <w:unhideWhenUsed/>
    <w:rsid w:val="00D97646"/>
    <w:pPr>
      <w:numPr>
        <w:ilvl w:val="5"/>
        <w:numId w:val="23"/>
      </w:numPr>
      <w:spacing w:after="0"/>
      <w:outlineLvl w:val="5"/>
    </w:pPr>
    <w:rPr>
      <w:rFonts w:asciiTheme="minorHAnsi" w:eastAsiaTheme="minorEastAsia" w:hAnsiTheme="minorHAnsi" w:cstheme="minorBidi"/>
      <w:smallCaps/>
      <w:color w:val="8C74AC" w:themeColor="accent2"/>
      <w:spacing w:val="5"/>
    </w:rPr>
  </w:style>
  <w:style w:type="paragraph" w:styleId="Heading7">
    <w:name w:val="heading 7"/>
    <w:basedOn w:val="Normal"/>
    <w:next w:val="Normal"/>
    <w:link w:val="Heading7Char"/>
    <w:uiPriority w:val="9"/>
    <w:unhideWhenUsed/>
    <w:rsid w:val="00D97646"/>
    <w:pPr>
      <w:numPr>
        <w:ilvl w:val="6"/>
        <w:numId w:val="23"/>
      </w:numPr>
      <w:spacing w:after="0"/>
      <w:outlineLvl w:val="6"/>
    </w:pPr>
    <w:rPr>
      <w:rFonts w:asciiTheme="minorHAnsi" w:eastAsiaTheme="minorEastAsia" w:hAnsiTheme="minorHAnsi" w:cstheme="minorBidi"/>
      <w:b/>
      <w:smallCaps/>
      <w:color w:val="8C74AC" w:themeColor="accent2"/>
      <w:spacing w:val="10"/>
      <w:sz w:val="20"/>
    </w:rPr>
  </w:style>
  <w:style w:type="paragraph" w:styleId="Heading8">
    <w:name w:val="heading 8"/>
    <w:basedOn w:val="Normal"/>
    <w:next w:val="Normal"/>
    <w:link w:val="Heading8Char"/>
    <w:uiPriority w:val="9"/>
    <w:unhideWhenUsed/>
    <w:rsid w:val="00D97646"/>
    <w:pPr>
      <w:numPr>
        <w:ilvl w:val="7"/>
        <w:numId w:val="23"/>
      </w:numPr>
      <w:spacing w:after="0"/>
      <w:outlineLvl w:val="7"/>
    </w:pPr>
    <w:rPr>
      <w:rFonts w:asciiTheme="minorHAnsi" w:eastAsiaTheme="minorEastAsia" w:hAnsiTheme="minorHAnsi" w:cstheme="minorBidi"/>
      <w:b/>
      <w:i/>
      <w:smallCaps/>
      <w:color w:val="675086" w:themeColor="accent2" w:themeShade="BF"/>
      <w:sz w:val="20"/>
    </w:rPr>
  </w:style>
  <w:style w:type="paragraph" w:styleId="Heading9">
    <w:name w:val="heading 9"/>
    <w:basedOn w:val="Normal"/>
    <w:next w:val="Normal"/>
    <w:link w:val="Heading9Char"/>
    <w:uiPriority w:val="9"/>
    <w:unhideWhenUsed/>
    <w:rsid w:val="00D97646"/>
    <w:pPr>
      <w:numPr>
        <w:ilvl w:val="8"/>
        <w:numId w:val="23"/>
      </w:numPr>
      <w:spacing w:after="0"/>
      <w:outlineLvl w:val="8"/>
    </w:pPr>
    <w:rPr>
      <w:rFonts w:asciiTheme="minorHAnsi" w:eastAsiaTheme="minorEastAsia" w:hAnsiTheme="minorHAnsi" w:cstheme="minorBidi"/>
      <w:b/>
      <w:i/>
      <w:smallCaps/>
      <w:color w:val="453559"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22"/>
    <w:rPr>
      <w:rFonts w:ascii="Arial" w:eastAsia="Times New Roman" w:hAnsi="Arial" w:cs="Times New Roman"/>
      <w:b/>
      <w:color w:val="6A2875"/>
      <w:sz w:val="32"/>
      <w:szCs w:val="32"/>
      <w:lang w:val="en-AU"/>
    </w:rPr>
  </w:style>
  <w:style w:type="character" w:customStyle="1" w:styleId="Heading2Char">
    <w:name w:val="Heading 2 Char"/>
    <w:basedOn w:val="DefaultParagraphFont"/>
    <w:link w:val="Heading2"/>
    <w:uiPriority w:val="1"/>
    <w:rsid w:val="0084079C"/>
    <w:rPr>
      <w:rFonts w:ascii="Arial" w:eastAsia="Times New Roman" w:hAnsi="Arial" w:cs="Times New Roman"/>
      <w:b/>
      <w:caps/>
      <w:color w:val="6A2875"/>
      <w:szCs w:val="24"/>
      <w:lang w:val="en-AU"/>
    </w:rPr>
  </w:style>
  <w:style w:type="character" w:customStyle="1" w:styleId="Heading3Char">
    <w:name w:val="Heading 3 Char"/>
    <w:basedOn w:val="DefaultParagraphFont"/>
    <w:link w:val="Heading3"/>
    <w:uiPriority w:val="1"/>
    <w:rsid w:val="00652502"/>
    <w:rPr>
      <w:rFonts w:ascii="Arial" w:eastAsia="Times New Roman" w:hAnsi="Arial" w:cs="Times New Roman"/>
      <w:b/>
      <w:color w:val="000000" w:themeColor="text1"/>
      <w:szCs w:val="24"/>
      <w:lang w:val="en-AU"/>
    </w:rPr>
  </w:style>
  <w:style w:type="character" w:customStyle="1" w:styleId="Heading4Char">
    <w:name w:val="Heading 4 Char"/>
    <w:basedOn w:val="DefaultParagraphFont"/>
    <w:link w:val="Heading4"/>
    <w:uiPriority w:val="1"/>
    <w:rsid w:val="00D97646"/>
    <w:rPr>
      <w:rFonts w:ascii="Arial" w:eastAsia="Times New Roman" w:hAnsi="Arial" w:cs="Times New Roman"/>
      <w:smallCaps/>
      <w:spacing w:val="10"/>
      <w:lang w:val="en-AU"/>
    </w:rPr>
  </w:style>
  <w:style w:type="character" w:customStyle="1" w:styleId="Heading5Char">
    <w:name w:val="Heading 5 Char"/>
    <w:basedOn w:val="DefaultParagraphFont"/>
    <w:link w:val="Heading5"/>
    <w:uiPriority w:val="1"/>
    <w:rsid w:val="00D97646"/>
    <w:rPr>
      <w:rFonts w:eastAsiaTheme="minorEastAsia"/>
      <w:smallCaps/>
      <w:color w:val="675086" w:themeColor="accent2" w:themeShade="BF"/>
      <w:spacing w:val="10"/>
      <w:szCs w:val="26"/>
      <w:lang w:val="en-AU"/>
    </w:rPr>
  </w:style>
  <w:style w:type="character" w:customStyle="1" w:styleId="Heading6Char">
    <w:name w:val="Heading 6 Char"/>
    <w:basedOn w:val="DefaultParagraphFont"/>
    <w:link w:val="Heading6"/>
    <w:uiPriority w:val="1"/>
    <w:rsid w:val="00D97646"/>
    <w:rPr>
      <w:rFonts w:eastAsiaTheme="minorEastAsia"/>
      <w:smallCaps/>
      <w:color w:val="8C74AC" w:themeColor="accent2"/>
      <w:spacing w:val="5"/>
      <w:szCs w:val="20"/>
      <w:lang w:val="en-AU"/>
    </w:rPr>
  </w:style>
  <w:style w:type="character" w:customStyle="1" w:styleId="Heading7Char">
    <w:name w:val="Heading 7 Char"/>
    <w:basedOn w:val="DefaultParagraphFont"/>
    <w:link w:val="Heading7"/>
    <w:uiPriority w:val="9"/>
    <w:rsid w:val="00D97646"/>
    <w:rPr>
      <w:rFonts w:eastAsiaTheme="minorEastAsia"/>
      <w:b/>
      <w:smallCaps/>
      <w:color w:val="8C74AC" w:themeColor="accent2"/>
      <w:spacing w:val="10"/>
      <w:sz w:val="20"/>
      <w:szCs w:val="20"/>
      <w:lang w:val="en-AU"/>
    </w:rPr>
  </w:style>
  <w:style w:type="character" w:customStyle="1" w:styleId="Heading8Char">
    <w:name w:val="Heading 8 Char"/>
    <w:basedOn w:val="DefaultParagraphFont"/>
    <w:link w:val="Heading8"/>
    <w:uiPriority w:val="9"/>
    <w:rsid w:val="00D97646"/>
    <w:rPr>
      <w:rFonts w:eastAsiaTheme="minorEastAsia"/>
      <w:b/>
      <w:i/>
      <w:smallCaps/>
      <w:color w:val="675086" w:themeColor="accent2" w:themeShade="BF"/>
      <w:sz w:val="20"/>
      <w:szCs w:val="20"/>
      <w:lang w:val="en-AU"/>
    </w:rPr>
  </w:style>
  <w:style w:type="character" w:customStyle="1" w:styleId="Heading9Char">
    <w:name w:val="Heading 9 Char"/>
    <w:basedOn w:val="DefaultParagraphFont"/>
    <w:link w:val="Heading9"/>
    <w:uiPriority w:val="9"/>
    <w:rsid w:val="00D97646"/>
    <w:rPr>
      <w:rFonts w:eastAsiaTheme="minorEastAsia"/>
      <w:b/>
      <w:i/>
      <w:smallCaps/>
      <w:color w:val="453559" w:themeColor="accent2" w:themeShade="7F"/>
      <w:sz w:val="20"/>
      <w:szCs w:val="20"/>
      <w:lang w:val="en-AU"/>
    </w:rPr>
  </w:style>
  <w:style w:type="paragraph" w:customStyle="1" w:styleId="QUESTION">
    <w:name w:val="QUESTION"/>
    <w:basedOn w:val="Heading1"/>
    <w:link w:val="QUESTIONChar"/>
    <w:qFormat/>
    <w:rsid w:val="00B12551"/>
    <w:pPr>
      <w:numPr>
        <w:ilvl w:val="1"/>
        <w:numId w:val="14"/>
      </w:numPr>
      <w:spacing w:before="120" w:after="120" w:line="240" w:lineRule="atLeast"/>
    </w:pPr>
    <w:rPr>
      <w:b w:val="0"/>
      <w:color w:val="auto"/>
      <w:sz w:val="20"/>
      <w:szCs w:val="20"/>
    </w:rPr>
  </w:style>
  <w:style w:type="character" w:customStyle="1" w:styleId="QUESTIONChar">
    <w:name w:val="QUESTION Char"/>
    <w:basedOn w:val="Heading1Char"/>
    <w:link w:val="QUESTION"/>
    <w:rsid w:val="00B12551"/>
    <w:rPr>
      <w:rFonts w:ascii="Arial" w:eastAsia="Times New Roman" w:hAnsi="Arial" w:cs="Times New Roman"/>
      <w:b w:val="0"/>
      <w:color w:val="6A2875"/>
      <w:sz w:val="20"/>
      <w:szCs w:val="20"/>
      <w:lang w:val="en-AU"/>
    </w:rPr>
  </w:style>
  <w:style w:type="paragraph" w:styleId="Header">
    <w:name w:val="header"/>
    <w:basedOn w:val="Normal"/>
    <w:link w:val="HeaderChar"/>
    <w:uiPriority w:val="99"/>
    <w:unhideWhenUsed/>
    <w:qFormat/>
    <w:rsid w:val="00D97646"/>
    <w:pPr>
      <w:tabs>
        <w:tab w:val="center" w:pos="4320"/>
        <w:tab w:val="right" w:pos="8640"/>
      </w:tabs>
      <w:jc w:val="right"/>
    </w:pPr>
    <w:rPr>
      <w:sz w:val="18"/>
      <w:lang w:val="de-DE"/>
    </w:rPr>
  </w:style>
  <w:style w:type="character" w:customStyle="1" w:styleId="HeaderChar">
    <w:name w:val="Header Char"/>
    <w:basedOn w:val="DefaultParagraphFont"/>
    <w:link w:val="Header"/>
    <w:uiPriority w:val="99"/>
    <w:rsid w:val="00D97646"/>
    <w:rPr>
      <w:rFonts w:ascii="Arial" w:eastAsia="Times New Roman" w:hAnsi="Arial" w:cs="Times New Roman"/>
      <w:sz w:val="18"/>
      <w:szCs w:val="20"/>
      <w:lang w:val="de-DE"/>
    </w:rPr>
  </w:style>
  <w:style w:type="paragraph" w:styleId="Footer">
    <w:name w:val="footer"/>
    <w:basedOn w:val="Normal"/>
    <w:link w:val="FooterChar"/>
    <w:uiPriority w:val="99"/>
    <w:unhideWhenUsed/>
    <w:rsid w:val="007F5D4E"/>
    <w:pPr>
      <w:pBdr>
        <w:top w:val="single" w:sz="4" w:space="1" w:color="6A2875" w:themeColor="accent4"/>
      </w:pBdr>
      <w:spacing w:before="0" w:after="0" w:line="240" w:lineRule="atLeast"/>
    </w:pPr>
    <w:rPr>
      <w:sz w:val="18"/>
    </w:rPr>
  </w:style>
  <w:style w:type="character" w:customStyle="1" w:styleId="FooterChar">
    <w:name w:val="Footer Char"/>
    <w:basedOn w:val="DefaultParagraphFont"/>
    <w:link w:val="Footer"/>
    <w:uiPriority w:val="99"/>
    <w:rsid w:val="007F5D4E"/>
    <w:rPr>
      <w:rFonts w:ascii="Arial" w:eastAsia="Times New Roman" w:hAnsi="Arial" w:cs="Times New Roman"/>
      <w:sz w:val="18"/>
      <w:szCs w:val="20"/>
      <w:lang w:val="en-AU"/>
    </w:rPr>
  </w:style>
  <w:style w:type="character" w:styleId="FootnoteReference">
    <w:name w:val="footnote reference"/>
    <w:basedOn w:val="DefaultParagraphFont"/>
    <w:uiPriority w:val="99"/>
    <w:rsid w:val="00123109"/>
    <w:rPr>
      <w:position w:val="6"/>
      <w:sz w:val="18"/>
    </w:rPr>
  </w:style>
  <w:style w:type="paragraph" w:styleId="FootnoteText">
    <w:name w:val="footnote text"/>
    <w:basedOn w:val="Normal"/>
    <w:link w:val="FootnoteTextChar"/>
    <w:uiPriority w:val="99"/>
    <w:rsid w:val="0013788E"/>
    <w:pPr>
      <w:spacing w:before="0" w:after="120" w:line="240" w:lineRule="atLeast"/>
      <w:ind w:left="284" w:hanging="284"/>
    </w:pPr>
    <w:rPr>
      <w:sz w:val="18"/>
    </w:rPr>
  </w:style>
  <w:style w:type="character" w:customStyle="1" w:styleId="FootnoteTextChar">
    <w:name w:val="Footnote Text Char"/>
    <w:basedOn w:val="DefaultParagraphFont"/>
    <w:link w:val="FootnoteText"/>
    <w:uiPriority w:val="99"/>
    <w:rsid w:val="0013788E"/>
    <w:rPr>
      <w:rFonts w:ascii="Arial" w:eastAsia="Times New Roman" w:hAnsi="Arial" w:cs="Times New Roman"/>
      <w:sz w:val="18"/>
      <w:szCs w:val="20"/>
      <w:lang w:val="en-AU"/>
    </w:rPr>
  </w:style>
  <w:style w:type="table" w:styleId="TableGrid">
    <w:name w:val="Table Grid"/>
    <w:basedOn w:val="TableNormal"/>
    <w:rsid w:val="00D97646"/>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87FA3"/>
    <w:pPr>
      <w:tabs>
        <w:tab w:val="left" w:pos="567"/>
        <w:tab w:val="right" w:leader="dot" w:pos="9017"/>
      </w:tabs>
      <w:spacing w:line="240" w:lineRule="auto"/>
      <w:ind w:left="567" w:right="284" w:hanging="567"/>
    </w:pPr>
    <w:rPr>
      <w:b/>
      <w:bCs/>
      <w:noProof/>
      <w:sz w:val="20"/>
    </w:rPr>
  </w:style>
  <w:style w:type="paragraph" w:styleId="TOC2">
    <w:name w:val="toc 2"/>
    <w:basedOn w:val="Normal"/>
    <w:next w:val="Normal"/>
    <w:autoRedefine/>
    <w:uiPriority w:val="39"/>
    <w:qFormat/>
    <w:rsid w:val="00E87FA3"/>
    <w:pPr>
      <w:tabs>
        <w:tab w:val="left" w:pos="1134"/>
        <w:tab w:val="right" w:leader="dot" w:pos="9017"/>
      </w:tabs>
      <w:spacing w:before="120" w:line="240" w:lineRule="auto"/>
      <w:ind w:left="1134" w:right="521" w:hanging="567"/>
    </w:pPr>
    <w:rPr>
      <w:i/>
      <w:iCs/>
      <w:sz w:val="20"/>
    </w:rPr>
  </w:style>
  <w:style w:type="paragraph" w:styleId="TOC3">
    <w:name w:val="toc 3"/>
    <w:basedOn w:val="TOC2"/>
    <w:next w:val="Normal"/>
    <w:autoRedefine/>
    <w:uiPriority w:val="39"/>
    <w:qFormat/>
    <w:rsid w:val="00D97646"/>
    <w:pPr>
      <w:spacing w:before="80" w:after="80"/>
      <w:ind w:left="1247"/>
    </w:pPr>
    <w:rPr>
      <w:i w:val="0"/>
      <w:iCs w:val="0"/>
    </w:rPr>
  </w:style>
  <w:style w:type="paragraph" w:styleId="TOC4">
    <w:name w:val="toc 4"/>
    <w:basedOn w:val="Normal"/>
    <w:next w:val="Normal"/>
    <w:autoRedefine/>
    <w:uiPriority w:val="39"/>
    <w:rsid w:val="00D97646"/>
    <w:pPr>
      <w:spacing w:before="0" w:after="0"/>
      <w:ind w:left="720"/>
    </w:pPr>
    <w:rPr>
      <w:rFonts w:asciiTheme="minorHAnsi" w:hAnsiTheme="minorHAnsi"/>
      <w:sz w:val="20"/>
    </w:rPr>
  </w:style>
  <w:style w:type="paragraph" w:styleId="TOC5">
    <w:name w:val="toc 5"/>
    <w:basedOn w:val="Normal"/>
    <w:next w:val="Normal"/>
    <w:autoRedefine/>
    <w:uiPriority w:val="39"/>
    <w:rsid w:val="00D97646"/>
    <w:pPr>
      <w:spacing w:before="0" w:after="0"/>
      <w:ind w:left="960"/>
    </w:pPr>
    <w:rPr>
      <w:rFonts w:asciiTheme="minorHAnsi" w:hAnsiTheme="minorHAnsi"/>
      <w:sz w:val="20"/>
    </w:rPr>
  </w:style>
  <w:style w:type="paragraph" w:styleId="TOC6">
    <w:name w:val="toc 6"/>
    <w:basedOn w:val="Normal"/>
    <w:next w:val="Normal"/>
    <w:autoRedefine/>
    <w:rsid w:val="00D97646"/>
    <w:pPr>
      <w:spacing w:before="0" w:after="0"/>
      <w:ind w:left="1200"/>
    </w:pPr>
    <w:rPr>
      <w:rFonts w:asciiTheme="minorHAnsi" w:hAnsiTheme="minorHAnsi"/>
      <w:sz w:val="20"/>
    </w:rPr>
  </w:style>
  <w:style w:type="paragraph" w:styleId="TOC7">
    <w:name w:val="toc 7"/>
    <w:basedOn w:val="Normal"/>
    <w:next w:val="Normal"/>
    <w:autoRedefine/>
    <w:rsid w:val="00D97646"/>
    <w:pPr>
      <w:spacing w:before="0" w:after="0"/>
      <w:ind w:left="1440"/>
    </w:pPr>
    <w:rPr>
      <w:rFonts w:asciiTheme="minorHAnsi" w:hAnsiTheme="minorHAnsi"/>
      <w:sz w:val="20"/>
    </w:rPr>
  </w:style>
  <w:style w:type="paragraph" w:styleId="TOC8">
    <w:name w:val="toc 8"/>
    <w:basedOn w:val="Normal"/>
    <w:next w:val="Normal"/>
    <w:autoRedefine/>
    <w:rsid w:val="00D97646"/>
    <w:pPr>
      <w:spacing w:before="0" w:after="0"/>
      <w:ind w:left="1680"/>
    </w:pPr>
    <w:rPr>
      <w:rFonts w:asciiTheme="minorHAnsi" w:hAnsiTheme="minorHAnsi"/>
      <w:sz w:val="20"/>
    </w:rPr>
  </w:style>
  <w:style w:type="paragraph" w:styleId="TOC9">
    <w:name w:val="toc 9"/>
    <w:basedOn w:val="Normal"/>
    <w:next w:val="Normal"/>
    <w:autoRedefine/>
    <w:rsid w:val="00D97646"/>
    <w:pPr>
      <w:spacing w:before="0" w:after="0"/>
      <w:ind w:left="1920"/>
    </w:pPr>
    <w:rPr>
      <w:rFonts w:asciiTheme="minorHAnsi" w:hAnsiTheme="minorHAnsi"/>
      <w:sz w:val="20"/>
    </w:rPr>
  </w:style>
  <w:style w:type="character" w:styleId="FollowedHyperlink">
    <w:name w:val="FollowedHyperlink"/>
    <w:basedOn w:val="DefaultParagraphFont"/>
    <w:uiPriority w:val="99"/>
    <w:unhideWhenUsed/>
    <w:rsid w:val="00D97646"/>
    <w:rPr>
      <w:color w:val="6A2875" w:themeColor="followedHyperlink"/>
      <w:u w:val="single"/>
    </w:rPr>
  </w:style>
  <w:style w:type="character" w:styleId="Hyperlink">
    <w:name w:val="Hyperlink"/>
    <w:basedOn w:val="DefaultParagraphFont"/>
    <w:uiPriority w:val="99"/>
    <w:unhideWhenUsed/>
    <w:rsid w:val="00D97646"/>
    <w:rPr>
      <w:color w:val="6A5288" w:themeColor="hyperlink"/>
      <w:u w:val="single"/>
    </w:rPr>
  </w:style>
  <w:style w:type="paragraph" w:styleId="Index1">
    <w:name w:val="index 1"/>
    <w:basedOn w:val="Normal"/>
    <w:next w:val="Normal"/>
    <w:autoRedefine/>
    <w:uiPriority w:val="99"/>
    <w:unhideWhenUsed/>
    <w:rsid w:val="00D97646"/>
    <w:pPr>
      <w:spacing w:after="0"/>
      <w:ind w:left="260" w:hanging="260"/>
    </w:pPr>
  </w:style>
  <w:style w:type="paragraph" w:styleId="Index2">
    <w:name w:val="index 2"/>
    <w:basedOn w:val="Normal"/>
    <w:next w:val="Normal"/>
    <w:autoRedefine/>
    <w:uiPriority w:val="99"/>
    <w:unhideWhenUsed/>
    <w:rsid w:val="00D97646"/>
    <w:pPr>
      <w:spacing w:after="0"/>
      <w:ind w:left="520" w:hanging="260"/>
    </w:pPr>
  </w:style>
  <w:style w:type="paragraph" w:styleId="Index3">
    <w:name w:val="index 3"/>
    <w:basedOn w:val="Normal"/>
    <w:next w:val="Normal"/>
    <w:autoRedefine/>
    <w:uiPriority w:val="99"/>
    <w:unhideWhenUsed/>
    <w:rsid w:val="00D97646"/>
    <w:pPr>
      <w:spacing w:after="0"/>
      <w:ind w:left="780" w:hanging="260"/>
    </w:pPr>
  </w:style>
  <w:style w:type="paragraph" w:styleId="Index4">
    <w:name w:val="index 4"/>
    <w:basedOn w:val="Normal"/>
    <w:next w:val="Normal"/>
    <w:autoRedefine/>
    <w:uiPriority w:val="99"/>
    <w:unhideWhenUsed/>
    <w:rsid w:val="00D97646"/>
    <w:pPr>
      <w:spacing w:after="0"/>
      <w:ind w:left="1040" w:hanging="260"/>
    </w:pPr>
  </w:style>
  <w:style w:type="paragraph" w:styleId="Index5">
    <w:name w:val="index 5"/>
    <w:basedOn w:val="Normal"/>
    <w:next w:val="Normal"/>
    <w:autoRedefine/>
    <w:uiPriority w:val="99"/>
    <w:unhideWhenUsed/>
    <w:rsid w:val="00D97646"/>
    <w:pPr>
      <w:spacing w:after="0"/>
      <w:ind w:left="1300" w:hanging="260"/>
    </w:pPr>
  </w:style>
  <w:style w:type="paragraph" w:styleId="Index6">
    <w:name w:val="index 6"/>
    <w:basedOn w:val="Normal"/>
    <w:next w:val="Normal"/>
    <w:autoRedefine/>
    <w:uiPriority w:val="99"/>
    <w:unhideWhenUsed/>
    <w:rsid w:val="00D97646"/>
    <w:pPr>
      <w:spacing w:after="0"/>
      <w:ind w:left="1560" w:hanging="260"/>
    </w:pPr>
  </w:style>
  <w:style w:type="paragraph" w:styleId="Index7">
    <w:name w:val="index 7"/>
    <w:basedOn w:val="Normal"/>
    <w:next w:val="Normal"/>
    <w:autoRedefine/>
    <w:uiPriority w:val="99"/>
    <w:unhideWhenUsed/>
    <w:rsid w:val="00D97646"/>
    <w:pPr>
      <w:spacing w:after="0"/>
      <w:ind w:left="1820" w:hanging="260"/>
    </w:pPr>
  </w:style>
  <w:style w:type="paragraph" w:styleId="Index8">
    <w:name w:val="index 8"/>
    <w:basedOn w:val="Normal"/>
    <w:next w:val="Normal"/>
    <w:autoRedefine/>
    <w:uiPriority w:val="99"/>
    <w:unhideWhenUsed/>
    <w:rsid w:val="00D97646"/>
    <w:pPr>
      <w:spacing w:after="0"/>
      <w:ind w:left="2080" w:hanging="260"/>
    </w:pPr>
  </w:style>
  <w:style w:type="paragraph" w:styleId="Index9">
    <w:name w:val="index 9"/>
    <w:basedOn w:val="Normal"/>
    <w:next w:val="Normal"/>
    <w:autoRedefine/>
    <w:uiPriority w:val="99"/>
    <w:unhideWhenUsed/>
    <w:rsid w:val="00D97646"/>
    <w:pPr>
      <w:spacing w:after="0"/>
      <w:ind w:left="2340" w:hanging="260"/>
    </w:pPr>
  </w:style>
  <w:style w:type="paragraph" w:styleId="List">
    <w:name w:val="List"/>
    <w:basedOn w:val="Normal"/>
    <w:uiPriority w:val="99"/>
    <w:unhideWhenUsed/>
    <w:rsid w:val="00D97646"/>
    <w:pPr>
      <w:ind w:left="360" w:hanging="360"/>
      <w:contextualSpacing/>
    </w:pPr>
  </w:style>
  <w:style w:type="paragraph" w:styleId="List2">
    <w:name w:val="List 2"/>
    <w:basedOn w:val="Normal"/>
    <w:uiPriority w:val="99"/>
    <w:unhideWhenUsed/>
    <w:rsid w:val="00D97646"/>
    <w:pPr>
      <w:ind w:left="720" w:hanging="360"/>
      <w:contextualSpacing/>
    </w:pPr>
  </w:style>
  <w:style w:type="paragraph" w:styleId="List3">
    <w:name w:val="List 3"/>
    <w:basedOn w:val="Normal"/>
    <w:uiPriority w:val="99"/>
    <w:unhideWhenUsed/>
    <w:rsid w:val="00D97646"/>
    <w:pPr>
      <w:ind w:left="1080" w:hanging="360"/>
      <w:contextualSpacing/>
    </w:pPr>
  </w:style>
  <w:style w:type="paragraph" w:styleId="List4">
    <w:name w:val="List 4"/>
    <w:basedOn w:val="Normal"/>
    <w:uiPriority w:val="99"/>
    <w:unhideWhenUsed/>
    <w:rsid w:val="00D97646"/>
    <w:pPr>
      <w:ind w:left="1440" w:hanging="360"/>
      <w:contextualSpacing/>
    </w:pPr>
  </w:style>
  <w:style w:type="paragraph" w:styleId="List5">
    <w:name w:val="List 5"/>
    <w:basedOn w:val="Normal"/>
    <w:uiPriority w:val="99"/>
    <w:unhideWhenUsed/>
    <w:rsid w:val="00D97646"/>
    <w:pPr>
      <w:ind w:left="1800" w:hanging="360"/>
      <w:contextualSpacing/>
    </w:pPr>
  </w:style>
  <w:style w:type="paragraph" w:styleId="ListBullet">
    <w:name w:val="List Bullet"/>
    <w:basedOn w:val="Normal"/>
    <w:uiPriority w:val="99"/>
    <w:unhideWhenUsed/>
    <w:rsid w:val="00D97646"/>
    <w:pPr>
      <w:numPr>
        <w:numId w:val="1"/>
      </w:numPr>
      <w:contextualSpacing/>
    </w:pPr>
  </w:style>
  <w:style w:type="paragraph" w:styleId="ListBullet2">
    <w:name w:val="List Bullet 2"/>
    <w:basedOn w:val="Normal"/>
    <w:uiPriority w:val="99"/>
    <w:unhideWhenUsed/>
    <w:rsid w:val="00D97646"/>
    <w:pPr>
      <w:numPr>
        <w:numId w:val="2"/>
      </w:numPr>
      <w:contextualSpacing/>
    </w:pPr>
  </w:style>
  <w:style w:type="paragraph" w:styleId="ListBullet3">
    <w:name w:val="List Bullet 3"/>
    <w:basedOn w:val="Normal"/>
    <w:uiPriority w:val="99"/>
    <w:unhideWhenUsed/>
    <w:rsid w:val="00D97646"/>
    <w:pPr>
      <w:numPr>
        <w:numId w:val="3"/>
      </w:numPr>
      <w:contextualSpacing/>
    </w:pPr>
  </w:style>
  <w:style w:type="paragraph" w:styleId="ListBullet4">
    <w:name w:val="List Bullet 4"/>
    <w:basedOn w:val="Normal"/>
    <w:uiPriority w:val="99"/>
    <w:unhideWhenUsed/>
    <w:rsid w:val="00D97646"/>
    <w:pPr>
      <w:numPr>
        <w:numId w:val="4"/>
      </w:numPr>
      <w:contextualSpacing/>
    </w:pPr>
  </w:style>
  <w:style w:type="paragraph" w:styleId="ListBullet5">
    <w:name w:val="List Bullet 5"/>
    <w:basedOn w:val="Normal"/>
    <w:uiPriority w:val="99"/>
    <w:unhideWhenUsed/>
    <w:rsid w:val="00D97646"/>
    <w:pPr>
      <w:numPr>
        <w:numId w:val="5"/>
      </w:numPr>
      <w:contextualSpacing/>
    </w:pPr>
  </w:style>
  <w:style w:type="paragraph" w:styleId="ListContinue">
    <w:name w:val="List Continue"/>
    <w:basedOn w:val="Normal"/>
    <w:uiPriority w:val="99"/>
    <w:unhideWhenUsed/>
    <w:rsid w:val="00D97646"/>
    <w:pPr>
      <w:spacing w:after="120"/>
      <w:ind w:left="360"/>
      <w:contextualSpacing/>
    </w:pPr>
  </w:style>
  <w:style w:type="paragraph" w:styleId="ListContinue2">
    <w:name w:val="List Continue 2"/>
    <w:basedOn w:val="Normal"/>
    <w:uiPriority w:val="99"/>
    <w:unhideWhenUsed/>
    <w:rsid w:val="00D97646"/>
    <w:pPr>
      <w:spacing w:after="120"/>
      <w:ind w:left="720"/>
      <w:contextualSpacing/>
    </w:pPr>
  </w:style>
  <w:style w:type="paragraph" w:styleId="ListContinue3">
    <w:name w:val="List Continue 3"/>
    <w:basedOn w:val="Normal"/>
    <w:uiPriority w:val="99"/>
    <w:unhideWhenUsed/>
    <w:rsid w:val="00D97646"/>
    <w:pPr>
      <w:spacing w:after="120"/>
      <w:ind w:left="1080"/>
      <w:contextualSpacing/>
    </w:pPr>
  </w:style>
  <w:style w:type="paragraph" w:styleId="ListContinue4">
    <w:name w:val="List Continue 4"/>
    <w:basedOn w:val="Normal"/>
    <w:uiPriority w:val="99"/>
    <w:unhideWhenUsed/>
    <w:rsid w:val="00D97646"/>
    <w:pPr>
      <w:spacing w:after="120"/>
      <w:ind w:left="1440"/>
      <w:contextualSpacing/>
    </w:pPr>
  </w:style>
  <w:style w:type="paragraph" w:styleId="ListContinue5">
    <w:name w:val="List Continue 5"/>
    <w:basedOn w:val="Normal"/>
    <w:uiPriority w:val="99"/>
    <w:unhideWhenUsed/>
    <w:rsid w:val="00D97646"/>
    <w:pPr>
      <w:spacing w:after="120"/>
      <w:ind w:left="1800"/>
      <w:contextualSpacing/>
    </w:pPr>
  </w:style>
  <w:style w:type="paragraph" w:styleId="ListNumber">
    <w:name w:val="List Number"/>
    <w:basedOn w:val="Normal"/>
    <w:uiPriority w:val="99"/>
    <w:unhideWhenUsed/>
    <w:rsid w:val="00D97646"/>
    <w:pPr>
      <w:numPr>
        <w:numId w:val="6"/>
      </w:numPr>
      <w:contextualSpacing/>
    </w:pPr>
  </w:style>
  <w:style w:type="paragraph" w:styleId="ListNumber2">
    <w:name w:val="List Number 2"/>
    <w:basedOn w:val="Normal"/>
    <w:uiPriority w:val="99"/>
    <w:unhideWhenUsed/>
    <w:rsid w:val="00D97646"/>
    <w:pPr>
      <w:numPr>
        <w:numId w:val="7"/>
      </w:numPr>
      <w:contextualSpacing/>
    </w:pPr>
  </w:style>
  <w:style w:type="paragraph" w:styleId="ListNumber3">
    <w:name w:val="List Number 3"/>
    <w:basedOn w:val="Normal"/>
    <w:uiPriority w:val="99"/>
    <w:unhideWhenUsed/>
    <w:rsid w:val="00D97646"/>
    <w:pPr>
      <w:numPr>
        <w:numId w:val="8"/>
      </w:numPr>
      <w:contextualSpacing/>
    </w:pPr>
  </w:style>
  <w:style w:type="paragraph" w:styleId="ListNumber4">
    <w:name w:val="List Number 4"/>
    <w:basedOn w:val="Normal"/>
    <w:uiPriority w:val="99"/>
    <w:unhideWhenUsed/>
    <w:rsid w:val="00D97646"/>
    <w:pPr>
      <w:numPr>
        <w:numId w:val="9"/>
      </w:numPr>
      <w:contextualSpacing/>
    </w:pPr>
  </w:style>
  <w:style w:type="paragraph" w:styleId="ListNumber5">
    <w:name w:val="List Number 5"/>
    <w:basedOn w:val="Normal"/>
    <w:uiPriority w:val="99"/>
    <w:unhideWhenUsed/>
    <w:rsid w:val="00D97646"/>
    <w:pPr>
      <w:numPr>
        <w:numId w:val="10"/>
      </w:numPr>
      <w:contextualSpacing/>
    </w:pPr>
  </w:style>
  <w:style w:type="paragraph" w:styleId="NoSpacing">
    <w:name w:val="No Spacing"/>
    <w:link w:val="NoSpacingChar"/>
    <w:uiPriority w:val="1"/>
    <w:unhideWhenUsed/>
    <w:qFormat/>
    <w:rsid w:val="00D97646"/>
    <w:pPr>
      <w:spacing w:after="0" w:line="240" w:lineRule="auto"/>
    </w:pPr>
    <w:rPr>
      <w:rFonts w:ascii="Times New Roman" w:eastAsia="Times New Roman" w:hAnsi="Times New Roman" w:cs="Times New Roman"/>
      <w:sz w:val="26"/>
      <w:szCs w:val="20"/>
    </w:rPr>
  </w:style>
  <w:style w:type="paragraph" w:styleId="TableofAuthorities">
    <w:name w:val="table of authorities"/>
    <w:basedOn w:val="Normal"/>
    <w:next w:val="Normal"/>
    <w:uiPriority w:val="99"/>
    <w:unhideWhenUsed/>
    <w:rsid w:val="00D97646"/>
    <w:pPr>
      <w:spacing w:after="0"/>
      <w:ind w:left="260" w:hanging="260"/>
    </w:pPr>
  </w:style>
  <w:style w:type="paragraph" w:styleId="TableofFigures">
    <w:name w:val="table of figures"/>
    <w:basedOn w:val="Normal"/>
    <w:next w:val="Normal"/>
    <w:uiPriority w:val="99"/>
    <w:unhideWhenUsed/>
    <w:rsid w:val="002F3DEF"/>
    <w:pPr>
      <w:spacing w:after="0"/>
      <w:ind w:right="170"/>
    </w:pPr>
    <w:rPr>
      <w:sz w:val="20"/>
    </w:rPr>
  </w:style>
  <w:style w:type="paragraph" w:styleId="Title">
    <w:name w:val="Title"/>
    <w:basedOn w:val="Normal"/>
    <w:next w:val="Normal"/>
    <w:link w:val="TitleChar"/>
    <w:uiPriority w:val="10"/>
    <w:unhideWhenUsed/>
    <w:qFormat/>
    <w:rsid w:val="00D97646"/>
    <w:pPr>
      <w:pBdr>
        <w:bottom w:val="single" w:sz="8" w:space="4" w:color="BEB0D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97646"/>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uiPriority w:val="99"/>
    <w:unhideWhenUsed/>
    <w:rsid w:val="00D97646"/>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D97646"/>
    <w:pPr>
      <w:keepLines/>
      <w:spacing w:before="480" w:after="0"/>
      <w:ind w:left="431" w:hanging="431"/>
      <w:outlineLvl w:val="9"/>
    </w:pPr>
    <w:rPr>
      <w:rFonts w:asciiTheme="majorHAnsi" w:eastAsiaTheme="majorEastAsia" w:hAnsiTheme="majorHAnsi" w:cstheme="majorBidi"/>
      <w:b w:val="0"/>
      <w:bCs/>
      <w:color w:val="8C73AC" w:themeColor="accent1" w:themeShade="BF"/>
      <w:sz w:val="28"/>
      <w:szCs w:val="28"/>
    </w:rPr>
  </w:style>
  <w:style w:type="table" w:styleId="TableGridLight">
    <w:name w:val="Grid Table Light"/>
    <w:basedOn w:val="TableNormal"/>
    <w:uiPriority w:val="40"/>
    <w:rsid w:val="007B5568"/>
    <w:pPr>
      <w:spacing w:before="14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s">
    <w:name w:val="Footnotes"/>
    <w:basedOn w:val="Normal"/>
    <w:uiPriority w:val="99"/>
    <w:rsid w:val="00D97646"/>
    <w:pPr>
      <w:widowControl w:val="0"/>
      <w:suppressAutoHyphens/>
      <w:autoSpaceDE w:val="0"/>
      <w:autoSpaceDN w:val="0"/>
      <w:adjustRightInd w:val="0"/>
      <w:spacing w:before="0" w:after="170" w:line="200" w:lineRule="atLeast"/>
      <w:ind w:left="113" w:hanging="113"/>
      <w:textAlignment w:val="center"/>
    </w:pPr>
    <w:rPr>
      <w:rFonts w:ascii="ArialMT" w:eastAsiaTheme="minorEastAsia" w:hAnsi="ArialMT" w:cs="ArialMT"/>
      <w:color w:val="000000"/>
      <w:sz w:val="16"/>
      <w:szCs w:val="16"/>
      <w:lang w:val="en-GB"/>
    </w:rPr>
  </w:style>
  <w:style w:type="character" w:customStyle="1" w:styleId="NoSpacingChar">
    <w:name w:val="No Spacing Char"/>
    <w:basedOn w:val="DefaultParagraphFont"/>
    <w:link w:val="NoSpacing"/>
    <w:uiPriority w:val="1"/>
    <w:rsid w:val="00D97646"/>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902BBD"/>
    <w:pPr>
      <w:widowControl w:val="0"/>
      <w:autoSpaceDE w:val="0"/>
      <w:autoSpaceDN w:val="0"/>
      <w:spacing w:before="47" w:after="0" w:line="240" w:lineRule="auto"/>
      <w:ind w:left="26"/>
    </w:pPr>
    <w:rPr>
      <w:rFonts w:eastAsia="Arial" w:cs="Arial"/>
      <w:szCs w:val="22"/>
      <w:lang w:eastAsia="en-AU" w:bidi="en-AU"/>
    </w:rPr>
  </w:style>
  <w:style w:type="paragraph" w:styleId="Revision">
    <w:name w:val="Revision"/>
    <w:hidden/>
    <w:uiPriority w:val="99"/>
    <w:semiHidden/>
    <w:rsid w:val="00CE445D"/>
    <w:pPr>
      <w:spacing w:after="0" w:line="240" w:lineRule="auto"/>
    </w:pPr>
    <w:rPr>
      <w:rFonts w:ascii="Arial" w:eastAsia="Times New Roman" w:hAnsi="Arial" w:cs="Times New Roman"/>
      <w:szCs w:val="20"/>
      <w:lang w:val="en-AU"/>
    </w:rPr>
  </w:style>
  <w:style w:type="numbering" w:customStyle="1" w:styleId="NoList1">
    <w:name w:val="No List1"/>
    <w:next w:val="NoList"/>
    <w:uiPriority w:val="99"/>
    <w:semiHidden/>
    <w:unhideWhenUsed/>
    <w:rsid w:val="00CE091F"/>
  </w:style>
  <w:style w:type="table" w:customStyle="1" w:styleId="TableGrid1">
    <w:name w:val="Table Grid1"/>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qFormat/>
    <w:rsid w:val="003833A0"/>
    <w:pPr>
      <w:tabs>
        <w:tab w:val="num" w:pos="360"/>
      </w:tabs>
      <w:spacing w:before="0" w:after="120" w:line="240" w:lineRule="auto"/>
      <w:ind w:left="720"/>
      <w:contextualSpacing/>
    </w:pPr>
    <w:rPr>
      <w:rFonts w:asciiTheme="minorHAnsi" w:eastAsia="MS Mincho" w:hAnsiTheme="minorHAnsi" w:cs="FSMe-Bold"/>
      <w:spacing w:val="-2"/>
      <w:sz w:val="20"/>
      <w:lang w:val="en-US"/>
    </w:rPr>
  </w:style>
  <w:style w:type="paragraph" w:customStyle="1" w:styleId="TabletextLeft">
    <w:name w:val="Table text Left"/>
    <w:basedOn w:val="Normal"/>
    <w:uiPriority w:val="5"/>
    <w:rsid w:val="00CE091F"/>
    <w:pPr>
      <w:spacing w:before="0" w:after="0" w:line="200" w:lineRule="atLeast"/>
      <w:ind w:right="57"/>
    </w:pPr>
    <w:rPr>
      <w:rFonts w:ascii="Verdana" w:eastAsiaTheme="minorHAnsi" w:hAnsi="Verdana" w:cstheme="minorBidi"/>
      <w:sz w:val="17"/>
      <w:szCs w:val="18"/>
    </w:rPr>
  </w:style>
  <w:style w:type="table" w:customStyle="1" w:styleId="TableGrid2">
    <w:name w:val="Table Grid2"/>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104EB4"/>
    <w:pPr>
      <w:spacing w:after="0" w:line="240" w:lineRule="auto"/>
    </w:pPr>
    <w:tblPr>
      <w:tblStyleRowBandSize w:val="1"/>
      <w:tblStyleColBandSize w:val="1"/>
      <w:tblBorders>
        <w:top w:val="single" w:sz="4" w:space="0" w:color="B961C9" w:themeColor="accent4" w:themeTint="99"/>
        <w:left w:val="single" w:sz="4" w:space="0" w:color="B961C9" w:themeColor="accent4" w:themeTint="99"/>
        <w:bottom w:val="single" w:sz="4" w:space="0" w:color="B961C9" w:themeColor="accent4" w:themeTint="99"/>
        <w:right w:val="single" w:sz="4" w:space="0" w:color="B961C9" w:themeColor="accent4" w:themeTint="99"/>
        <w:insideH w:val="single" w:sz="4" w:space="0" w:color="B961C9" w:themeColor="accent4" w:themeTint="99"/>
        <w:insideV w:val="single" w:sz="4" w:space="0" w:color="B961C9" w:themeColor="accent4" w:themeTint="99"/>
      </w:tblBorders>
    </w:tblPr>
    <w:tblStylePr w:type="firstRow">
      <w:rPr>
        <w:b/>
        <w:bCs/>
        <w:color w:val="FFFFFF" w:themeColor="background1"/>
      </w:rPr>
      <w:tblPr/>
      <w:tcPr>
        <w:tcBorders>
          <w:top w:val="single" w:sz="4" w:space="0" w:color="6A2875" w:themeColor="accent4"/>
          <w:left w:val="single" w:sz="4" w:space="0" w:color="6A2875" w:themeColor="accent4"/>
          <w:bottom w:val="single" w:sz="4" w:space="0" w:color="6A2875" w:themeColor="accent4"/>
          <w:right w:val="single" w:sz="4" w:space="0" w:color="6A2875" w:themeColor="accent4"/>
          <w:insideH w:val="nil"/>
          <w:insideV w:val="nil"/>
        </w:tcBorders>
        <w:shd w:val="clear" w:color="auto" w:fill="6A2875" w:themeFill="accent4"/>
      </w:tcPr>
    </w:tblStylePr>
    <w:tblStylePr w:type="lastRow">
      <w:rPr>
        <w:b/>
        <w:bCs/>
      </w:rPr>
      <w:tblPr/>
      <w:tcPr>
        <w:tcBorders>
          <w:top w:val="double" w:sz="4" w:space="0" w:color="6A2875" w:themeColor="accent4"/>
        </w:tcBorders>
      </w:tcPr>
    </w:tblStylePr>
    <w:tblStylePr w:type="firstCol">
      <w:rPr>
        <w:b/>
        <w:bCs/>
      </w:rPr>
    </w:tblStylePr>
    <w:tblStylePr w:type="lastCol">
      <w:rPr>
        <w:b/>
        <w:bCs/>
      </w:rPr>
    </w:tblStylePr>
    <w:tblStylePr w:type="band1Vert">
      <w:tblPr/>
      <w:tcPr>
        <w:shd w:val="clear" w:color="auto" w:fill="E7CAED" w:themeFill="accent4" w:themeFillTint="33"/>
      </w:tcPr>
    </w:tblStylePr>
    <w:tblStylePr w:type="band1Horz">
      <w:tblPr/>
      <w:tcPr>
        <w:shd w:val="clear" w:color="auto" w:fill="E7CAED" w:themeFill="accent4" w:themeFillTint="33"/>
      </w:tcPr>
    </w:tblStyle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3D1AE0"/>
    <w:pPr>
      <w:ind w:left="720"/>
      <w:contextualSpacing/>
    </w:p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qFormat/>
    <w:locked/>
    <w:rsid w:val="00EB0074"/>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F5230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02"/>
    <w:rPr>
      <w:rFonts w:ascii="Segoe UI" w:eastAsia="Times New Roman" w:hAnsi="Segoe UI" w:cs="Segoe UI"/>
      <w:sz w:val="18"/>
      <w:szCs w:val="18"/>
      <w:lang w:val="en-AU"/>
    </w:rPr>
  </w:style>
  <w:style w:type="table" w:styleId="GridTable1Light">
    <w:name w:val="Grid Table 1 Light"/>
    <w:basedOn w:val="TableNormal"/>
    <w:uiPriority w:val="46"/>
    <w:rsid w:val="007324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732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287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287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287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2875" w:themeFill="accent4"/>
      </w:tcPr>
    </w:tblStylePr>
    <w:tblStylePr w:type="band1Vert">
      <w:tblPr/>
      <w:tcPr>
        <w:shd w:val="clear" w:color="auto" w:fill="D095DB" w:themeFill="accent4" w:themeFillTint="66"/>
      </w:tcPr>
    </w:tblStylePr>
    <w:tblStylePr w:type="band1Horz">
      <w:tblPr/>
      <w:tcPr>
        <w:shd w:val="clear" w:color="auto" w:fill="D095DB" w:themeFill="accent4" w:themeFillTint="66"/>
      </w:tcPr>
    </w:tblStylePr>
  </w:style>
  <w:style w:type="character" w:styleId="CommentReference">
    <w:name w:val="annotation reference"/>
    <w:basedOn w:val="DefaultParagraphFont"/>
    <w:uiPriority w:val="99"/>
    <w:semiHidden/>
    <w:unhideWhenUsed/>
    <w:rsid w:val="00F15311"/>
    <w:rPr>
      <w:sz w:val="16"/>
      <w:szCs w:val="16"/>
    </w:rPr>
  </w:style>
  <w:style w:type="paragraph" w:styleId="CommentText">
    <w:name w:val="annotation text"/>
    <w:basedOn w:val="Normal"/>
    <w:link w:val="CommentTextChar"/>
    <w:uiPriority w:val="99"/>
    <w:unhideWhenUsed/>
    <w:rsid w:val="00F15311"/>
    <w:pPr>
      <w:spacing w:line="240" w:lineRule="auto"/>
    </w:pPr>
    <w:rPr>
      <w:sz w:val="20"/>
    </w:rPr>
  </w:style>
  <w:style w:type="character" w:customStyle="1" w:styleId="CommentTextChar">
    <w:name w:val="Comment Text Char"/>
    <w:basedOn w:val="DefaultParagraphFont"/>
    <w:link w:val="CommentText"/>
    <w:uiPriority w:val="99"/>
    <w:rsid w:val="00F15311"/>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15311"/>
    <w:rPr>
      <w:b/>
      <w:bCs/>
    </w:rPr>
  </w:style>
  <w:style w:type="character" w:customStyle="1" w:styleId="CommentSubjectChar">
    <w:name w:val="Comment Subject Char"/>
    <w:basedOn w:val="CommentTextChar"/>
    <w:link w:val="CommentSubject"/>
    <w:uiPriority w:val="99"/>
    <w:semiHidden/>
    <w:rsid w:val="00F15311"/>
    <w:rPr>
      <w:rFonts w:ascii="Arial" w:eastAsia="Times New Roman" w:hAnsi="Arial" w:cs="Times New Roman"/>
      <w:b/>
      <w:bCs/>
      <w:sz w:val="20"/>
      <w:szCs w:val="20"/>
      <w:lang w:val="en-AU"/>
    </w:rPr>
  </w:style>
  <w:style w:type="paragraph" w:styleId="IntenseQuote">
    <w:name w:val="Intense Quote"/>
    <w:basedOn w:val="Normal"/>
    <w:next w:val="Normal"/>
    <w:link w:val="IntenseQuoteChar"/>
    <w:uiPriority w:val="30"/>
    <w:qFormat/>
    <w:rsid w:val="001450BE"/>
    <w:pPr>
      <w:pBdr>
        <w:top w:val="single" w:sz="4" w:space="10" w:color="BEB0D0" w:themeColor="accent1"/>
        <w:bottom w:val="single" w:sz="4" w:space="10" w:color="BEB0D0" w:themeColor="accent1"/>
      </w:pBdr>
      <w:spacing w:before="120" w:after="120"/>
      <w:ind w:right="864"/>
    </w:pPr>
    <w:rPr>
      <w:iCs/>
      <w:sz w:val="20"/>
    </w:rPr>
  </w:style>
  <w:style w:type="character" w:customStyle="1" w:styleId="IntenseQuoteChar">
    <w:name w:val="Intense Quote Char"/>
    <w:basedOn w:val="DefaultParagraphFont"/>
    <w:link w:val="IntenseQuote"/>
    <w:uiPriority w:val="30"/>
    <w:rsid w:val="001450BE"/>
    <w:rPr>
      <w:rFonts w:ascii="Arial" w:eastAsia="Times New Roman" w:hAnsi="Arial" w:cs="Times New Roman"/>
      <w:iCs/>
      <w:sz w:val="20"/>
      <w:szCs w:val="20"/>
      <w:lang w:val="en-AU"/>
    </w:rPr>
  </w:style>
  <w:style w:type="numbering" w:customStyle="1" w:styleId="Style1">
    <w:name w:val="Style1"/>
    <w:uiPriority w:val="99"/>
    <w:rsid w:val="001450BE"/>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890">
      <w:bodyDiv w:val="1"/>
      <w:marLeft w:val="0"/>
      <w:marRight w:val="0"/>
      <w:marTop w:val="0"/>
      <w:marBottom w:val="0"/>
      <w:divBdr>
        <w:top w:val="none" w:sz="0" w:space="0" w:color="auto"/>
        <w:left w:val="none" w:sz="0" w:space="0" w:color="auto"/>
        <w:bottom w:val="none" w:sz="0" w:space="0" w:color="auto"/>
        <w:right w:val="none" w:sz="0" w:space="0" w:color="auto"/>
      </w:divBdr>
    </w:div>
    <w:div w:id="5602276">
      <w:bodyDiv w:val="1"/>
      <w:marLeft w:val="0"/>
      <w:marRight w:val="0"/>
      <w:marTop w:val="0"/>
      <w:marBottom w:val="0"/>
      <w:divBdr>
        <w:top w:val="none" w:sz="0" w:space="0" w:color="auto"/>
        <w:left w:val="none" w:sz="0" w:space="0" w:color="auto"/>
        <w:bottom w:val="none" w:sz="0" w:space="0" w:color="auto"/>
        <w:right w:val="none" w:sz="0" w:space="0" w:color="auto"/>
      </w:divBdr>
    </w:div>
    <w:div w:id="14233302">
      <w:bodyDiv w:val="1"/>
      <w:marLeft w:val="0"/>
      <w:marRight w:val="0"/>
      <w:marTop w:val="0"/>
      <w:marBottom w:val="0"/>
      <w:divBdr>
        <w:top w:val="none" w:sz="0" w:space="0" w:color="auto"/>
        <w:left w:val="none" w:sz="0" w:space="0" w:color="auto"/>
        <w:bottom w:val="none" w:sz="0" w:space="0" w:color="auto"/>
        <w:right w:val="none" w:sz="0" w:space="0" w:color="auto"/>
      </w:divBdr>
    </w:div>
    <w:div w:id="14892027">
      <w:bodyDiv w:val="1"/>
      <w:marLeft w:val="0"/>
      <w:marRight w:val="0"/>
      <w:marTop w:val="0"/>
      <w:marBottom w:val="0"/>
      <w:divBdr>
        <w:top w:val="none" w:sz="0" w:space="0" w:color="auto"/>
        <w:left w:val="none" w:sz="0" w:space="0" w:color="auto"/>
        <w:bottom w:val="none" w:sz="0" w:space="0" w:color="auto"/>
        <w:right w:val="none" w:sz="0" w:space="0" w:color="auto"/>
      </w:divBdr>
    </w:div>
    <w:div w:id="82804594">
      <w:bodyDiv w:val="1"/>
      <w:marLeft w:val="0"/>
      <w:marRight w:val="0"/>
      <w:marTop w:val="0"/>
      <w:marBottom w:val="0"/>
      <w:divBdr>
        <w:top w:val="none" w:sz="0" w:space="0" w:color="auto"/>
        <w:left w:val="none" w:sz="0" w:space="0" w:color="auto"/>
        <w:bottom w:val="none" w:sz="0" w:space="0" w:color="auto"/>
        <w:right w:val="none" w:sz="0" w:space="0" w:color="auto"/>
      </w:divBdr>
    </w:div>
    <w:div w:id="87234117">
      <w:bodyDiv w:val="1"/>
      <w:marLeft w:val="0"/>
      <w:marRight w:val="0"/>
      <w:marTop w:val="0"/>
      <w:marBottom w:val="0"/>
      <w:divBdr>
        <w:top w:val="none" w:sz="0" w:space="0" w:color="auto"/>
        <w:left w:val="none" w:sz="0" w:space="0" w:color="auto"/>
        <w:bottom w:val="none" w:sz="0" w:space="0" w:color="auto"/>
        <w:right w:val="none" w:sz="0" w:space="0" w:color="auto"/>
      </w:divBdr>
    </w:div>
    <w:div w:id="99956024">
      <w:bodyDiv w:val="1"/>
      <w:marLeft w:val="0"/>
      <w:marRight w:val="0"/>
      <w:marTop w:val="0"/>
      <w:marBottom w:val="0"/>
      <w:divBdr>
        <w:top w:val="none" w:sz="0" w:space="0" w:color="auto"/>
        <w:left w:val="none" w:sz="0" w:space="0" w:color="auto"/>
        <w:bottom w:val="none" w:sz="0" w:space="0" w:color="auto"/>
        <w:right w:val="none" w:sz="0" w:space="0" w:color="auto"/>
      </w:divBdr>
    </w:div>
    <w:div w:id="119154242">
      <w:bodyDiv w:val="1"/>
      <w:marLeft w:val="0"/>
      <w:marRight w:val="0"/>
      <w:marTop w:val="0"/>
      <w:marBottom w:val="0"/>
      <w:divBdr>
        <w:top w:val="none" w:sz="0" w:space="0" w:color="auto"/>
        <w:left w:val="none" w:sz="0" w:space="0" w:color="auto"/>
        <w:bottom w:val="none" w:sz="0" w:space="0" w:color="auto"/>
        <w:right w:val="none" w:sz="0" w:space="0" w:color="auto"/>
      </w:divBdr>
    </w:div>
    <w:div w:id="1285978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193">
          <w:marLeft w:val="302"/>
          <w:marRight w:val="0"/>
          <w:marTop w:val="86"/>
          <w:marBottom w:val="0"/>
          <w:divBdr>
            <w:top w:val="none" w:sz="0" w:space="0" w:color="auto"/>
            <w:left w:val="none" w:sz="0" w:space="0" w:color="auto"/>
            <w:bottom w:val="none" w:sz="0" w:space="0" w:color="auto"/>
            <w:right w:val="none" w:sz="0" w:space="0" w:color="auto"/>
          </w:divBdr>
        </w:div>
      </w:divsChild>
    </w:div>
    <w:div w:id="133065140">
      <w:bodyDiv w:val="1"/>
      <w:marLeft w:val="0"/>
      <w:marRight w:val="0"/>
      <w:marTop w:val="0"/>
      <w:marBottom w:val="0"/>
      <w:divBdr>
        <w:top w:val="none" w:sz="0" w:space="0" w:color="auto"/>
        <w:left w:val="none" w:sz="0" w:space="0" w:color="auto"/>
        <w:bottom w:val="none" w:sz="0" w:space="0" w:color="auto"/>
        <w:right w:val="none" w:sz="0" w:space="0" w:color="auto"/>
      </w:divBdr>
    </w:div>
    <w:div w:id="155535686">
      <w:bodyDiv w:val="1"/>
      <w:marLeft w:val="0"/>
      <w:marRight w:val="0"/>
      <w:marTop w:val="0"/>
      <w:marBottom w:val="0"/>
      <w:divBdr>
        <w:top w:val="none" w:sz="0" w:space="0" w:color="auto"/>
        <w:left w:val="none" w:sz="0" w:space="0" w:color="auto"/>
        <w:bottom w:val="none" w:sz="0" w:space="0" w:color="auto"/>
        <w:right w:val="none" w:sz="0" w:space="0" w:color="auto"/>
      </w:divBdr>
    </w:div>
    <w:div w:id="175578754">
      <w:bodyDiv w:val="1"/>
      <w:marLeft w:val="0"/>
      <w:marRight w:val="0"/>
      <w:marTop w:val="0"/>
      <w:marBottom w:val="0"/>
      <w:divBdr>
        <w:top w:val="none" w:sz="0" w:space="0" w:color="auto"/>
        <w:left w:val="none" w:sz="0" w:space="0" w:color="auto"/>
        <w:bottom w:val="none" w:sz="0" w:space="0" w:color="auto"/>
        <w:right w:val="none" w:sz="0" w:space="0" w:color="auto"/>
      </w:divBdr>
    </w:div>
    <w:div w:id="185094414">
      <w:bodyDiv w:val="1"/>
      <w:marLeft w:val="0"/>
      <w:marRight w:val="0"/>
      <w:marTop w:val="0"/>
      <w:marBottom w:val="0"/>
      <w:divBdr>
        <w:top w:val="none" w:sz="0" w:space="0" w:color="auto"/>
        <w:left w:val="none" w:sz="0" w:space="0" w:color="auto"/>
        <w:bottom w:val="none" w:sz="0" w:space="0" w:color="auto"/>
        <w:right w:val="none" w:sz="0" w:space="0" w:color="auto"/>
      </w:divBdr>
    </w:div>
    <w:div w:id="186532112">
      <w:bodyDiv w:val="1"/>
      <w:marLeft w:val="0"/>
      <w:marRight w:val="0"/>
      <w:marTop w:val="0"/>
      <w:marBottom w:val="0"/>
      <w:divBdr>
        <w:top w:val="none" w:sz="0" w:space="0" w:color="auto"/>
        <w:left w:val="none" w:sz="0" w:space="0" w:color="auto"/>
        <w:bottom w:val="none" w:sz="0" w:space="0" w:color="auto"/>
        <w:right w:val="none" w:sz="0" w:space="0" w:color="auto"/>
      </w:divBdr>
    </w:div>
    <w:div w:id="220558510">
      <w:bodyDiv w:val="1"/>
      <w:marLeft w:val="0"/>
      <w:marRight w:val="0"/>
      <w:marTop w:val="0"/>
      <w:marBottom w:val="0"/>
      <w:divBdr>
        <w:top w:val="none" w:sz="0" w:space="0" w:color="auto"/>
        <w:left w:val="none" w:sz="0" w:space="0" w:color="auto"/>
        <w:bottom w:val="none" w:sz="0" w:space="0" w:color="auto"/>
        <w:right w:val="none" w:sz="0" w:space="0" w:color="auto"/>
      </w:divBdr>
    </w:div>
    <w:div w:id="250895149">
      <w:bodyDiv w:val="1"/>
      <w:marLeft w:val="0"/>
      <w:marRight w:val="0"/>
      <w:marTop w:val="0"/>
      <w:marBottom w:val="0"/>
      <w:divBdr>
        <w:top w:val="none" w:sz="0" w:space="0" w:color="auto"/>
        <w:left w:val="none" w:sz="0" w:space="0" w:color="auto"/>
        <w:bottom w:val="none" w:sz="0" w:space="0" w:color="auto"/>
        <w:right w:val="none" w:sz="0" w:space="0" w:color="auto"/>
      </w:divBdr>
    </w:div>
    <w:div w:id="259876756">
      <w:bodyDiv w:val="1"/>
      <w:marLeft w:val="0"/>
      <w:marRight w:val="0"/>
      <w:marTop w:val="0"/>
      <w:marBottom w:val="0"/>
      <w:divBdr>
        <w:top w:val="none" w:sz="0" w:space="0" w:color="auto"/>
        <w:left w:val="none" w:sz="0" w:space="0" w:color="auto"/>
        <w:bottom w:val="none" w:sz="0" w:space="0" w:color="auto"/>
        <w:right w:val="none" w:sz="0" w:space="0" w:color="auto"/>
      </w:divBdr>
    </w:div>
    <w:div w:id="267279339">
      <w:bodyDiv w:val="1"/>
      <w:marLeft w:val="0"/>
      <w:marRight w:val="0"/>
      <w:marTop w:val="0"/>
      <w:marBottom w:val="0"/>
      <w:divBdr>
        <w:top w:val="none" w:sz="0" w:space="0" w:color="auto"/>
        <w:left w:val="none" w:sz="0" w:space="0" w:color="auto"/>
        <w:bottom w:val="none" w:sz="0" w:space="0" w:color="auto"/>
        <w:right w:val="none" w:sz="0" w:space="0" w:color="auto"/>
      </w:divBdr>
      <w:divsChild>
        <w:div w:id="1391032546">
          <w:marLeft w:val="302"/>
          <w:marRight w:val="0"/>
          <w:marTop w:val="86"/>
          <w:marBottom w:val="0"/>
          <w:divBdr>
            <w:top w:val="none" w:sz="0" w:space="0" w:color="auto"/>
            <w:left w:val="none" w:sz="0" w:space="0" w:color="auto"/>
            <w:bottom w:val="none" w:sz="0" w:space="0" w:color="auto"/>
            <w:right w:val="none" w:sz="0" w:space="0" w:color="auto"/>
          </w:divBdr>
        </w:div>
        <w:div w:id="1045369467">
          <w:marLeft w:val="302"/>
          <w:marRight w:val="0"/>
          <w:marTop w:val="86"/>
          <w:marBottom w:val="0"/>
          <w:divBdr>
            <w:top w:val="none" w:sz="0" w:space="0" w:color="auto"/>
            <w:left w:val="none" w:sz="0" w:space="0" w:color="auto"/>
            <w:bottom w:val="none" w:sz="0" w:space="0" w:color="auto"/>
            <w:right w:val="none" w:sz="0" w:space="0" w:color="auto"/>
          </w:divBdr>
        </w:div>
      </w:divsChild>
    </w:div>
    <w:div w:id="273682196">
      <w:bodyDiv w:val="1"/>
      <w:marLeft w:val="0"/>
      <w:marRight w:val="0"/>
      <w:marTop w:val="0"/>
      <w:marBottom w:val="0"/>
      <w:divBdr>
        <w:top w:val="none" w:sz="0" w:space="0" w:color="auto"/>
        <w:left w:val="none" w:sz="0" w:space="0" w:color="auto"/>
        <w:bottom w:val="none" w:sz="0" w:space="0" w:color="auto"/>
        <w:right w:val="none" w:sz="0" w:space="0" w:color="auto"/>
      </w:divBdr>
    </w:div>
    <w:div w:id="275791152">
      <w:bodyDiv w:val="1"/>
      <w:marLeft w:val="0"/>
      <w:marRight w:val="0"/>
      <w:marTop w:val="0"/>
      <w:marBottom w:val="0"/>
      <w:divBdr>
        <w:top w:val="none" w:sz="0" w:space="0" w:color="auto"/>
        <w:left w:val="none" w:sz="0" w:space="0" w:color="auto"/>
        <w:bottom w:val="none" w:sz="0" w:space="0" w:color="auto"/>
        <w:right w:val="none" w:sz="0" w:space="0" w:color="auto"/>
      </w:divBdr>
    </w:div>
    <w:div w:id="279189450">
      <w:bodyDiv w:val="1"/>
      <w:marLeft w:val="0"/>
      <w:marRight w:val="0"/>
      <w:marTop w:val="0"/>
      <w:marBottom w:val="0"/>
      <w:divBdr>
        <w:top w:val="none" w:sz="0" w:space="0" w:color="auto"/>
        <w:left w:val="none" w:sz="0" w:space="0" w:color="auto"/>
        <w:bottom w:val="none" w:sz="0" w:space="0" w:color="auto"/>
        <w:right w:val="none" w:sz="0" w:space="0" w:color="auto"/>
      </w:divBdr>
    </w:div>
    <w:div w:id="291982555">
      <w:bodyDiv w:val="1"/>
      <w:marLeft w:val="0"/>
      <w:marRight w:val="0"/>
      <w:marTop w:val="0"/>
      <w:marBottom w:val="0"/>
      <w:divBdr>
        <w:top w:val="none" w:sz="0" w:space="0" w:color="auto"/>
        <w:left w:val="none" w:sz="0" w:space="0" w:color="auto"/>
        <w:bottom w:val="none" w:sz="0" w:space="0" w:color="auto"/>
        <w:right w:val="none" w:sz="0" w:space="0" w:color="auto"/>
      </w:divBdr>
    </w:div>
    <w:div w:id="292254492">
      <w:bodyDiv w:val="1"/>
      <w:marLeft w:val="0"/>
      <w:marRight w:val="0"/>
      <w:marTop w:val="0"/>
      <w:marBottom w:val="0"/>
      <w:divBdr>
        <w:top w:val="none" w:sz="0" w:space="0" w:color="auto"/>
        <w:left w:val="none" w:sz="0" w:space="0" w:color="auto"/>
        <w:bottom w:val="none" w:sz="0" w:space="0" w:color="auto"/>
        <w:right w:val="none" w:sz="0" w:space="0" w:color="auto"/>
      </w:divBdr>
    </w:div>
    <w:div w:id="333265827">
      <w:bodyDiv w:val="1"/>
      <w:marLeft w:val="0"/>
      <w:marRight w:val="0"/>
      <w:marTop w:val="0"/>
      <w:marBottom w:val="0"/>
      <w:divBdr>
        <w:top w:val="none" w:sz="0" w:space="0" w:color="auto"/>
        <w:left w:val="none" w:sz="0" w:space="0" w:color="auto"/>
        <w:bottom w:val="none" w:sz="0" w:space="0" w:color="auto"/>
        <w:right w:val="none" w:sz="0" w:space="0" w:color="auto"/>
      </w:divBdr>
    </w:div>
    <w:div w:id="389036869">
      <w:bodyDiv w:val="1"/>
      <w:marLeft w:val="0"/>
      <w:marRight w:val="0"/>
      <w:marTop w:val="0"/>
      <w:marBottom w:val="0"/>
      <w:divBdr>
        <w:top w:val="none" w:sz="0" w:space="0" w:color="auto"/>
        <w:left w:val="none" w:sz="0" w:space="0" w:color="auto"/>
        <w:bottom w:val="none" w:sz="0" w:space="0" w:color="auto"/>
        <w:right w:val="none" w:sz="0" w:space="0" w:color="auto"/>
      </w:divBdr>
    </w:div>
    <w:div w:id="390085271">
      <w:bodyDiv w:val="1"/>
      <w:marLeft w:val="0"/>
      <w:marRight w:val="0"/>
      <w:marTop w:val="0"/>
      <w:marBottom w:val="0"/>
      <w:divBdr>
        <w:top w:val="none" w:sz="0" w:space="0" w:color="auto"/>
        <w:left w:val="none" w:sz="0" w:space="0" w:color="auto"/>
        <w:bottom w:val="none" w:sz="0" w:space="0" w:color="auto"/>
        <w:right w:val="none" w:sz="0" w:space="0" w:color="auto"/>
      </w:divBdr>
    </w:div>
    <w:div w:id="410783720">
      <w:bodyDiv w:val="1"/>
      <w:marLeft w:val="0"/>
      <w:marRight w:val="0"/>
      <w:marTop w:val="0"/>
      <w:marBottom w:val="0"/>
      <w:divBdr>
        <w:top w:val="none" w:sz="0" w:space="0" w:color="auto"/>
        <w:left w:val="none" w:sz="0" w:space="0" w:color="auto"/>
        <w:bottom w:val="none" w:sz="0" w:space="0" w:color="auto"/>
        <w:right w:val="none" w:sz="0" w:space="0" w:color="auto"/>
      </w:divBdr>
      <w:divsChild>
        <w:div w:id="1822191676">
          <w:marLeft w:val="274"/>
          <w:marRight w:val="0"/>
          <w:marTop w:val="0"/>
          <w:marBottom w:val="0"/>
          <w:divBdr>
            <w:top w:val="none" w:sz="0" w:space="0" w:color="auto"/>
            <w:left w:val="none" w:sz="0" w:space="0" w:color="auto"/>
            <w:bottom w:val="none" w:sz="0" w:space="0" w:color="auto"/>
            <w:right w:val="none" w:sz="0" w:space="0" w:color="auto"/>
          </w:divBdr>
        </w:div>
        <w:div w:id="985089261">
          <w:marLeft w:val="274"/>
          <w:marRight w:val="0"/>
          <w:marTop w:val="0"/>
          <w:marBottom w:val="0"/>
          <w:divBdr>
            <w:top w:val="none" w:sz="0" w:space="0" w:color="auto"/>
            <w:left w:val="none" w:sz="0" w:space="0" w:color="auto"/>
            <w:bottom w:val="none" w:sz="0" w:space="0" w:color="auto"/>
            <w:right w:val="none" w:sz="0" w:space="0" w:color="auto"/>
          </w:divBdr>
        </w:div>
        <w:div w:id="2146846986">
          <w:marLeft w:val="274"/>
          <w:marRight w:val="0"/>
          <w:marTop w:val="0"/>
          <w:marBottom w:val="0"/>
          <w:divBdr>
            <w:top w:val="none" w:sz="0" w:space="0" w:color="auto"/>
            <w:left w:val="none" w:sz="0" w:space="0" w:color="auto"/>
            <w:bottom w:val="none" w:sz="0" w:space="0" w:color="auto"/>
            <w:right w:val="none" w:sz="0" w:space="0" w:color="auto"/>
          </w:divBdr>
        </w:div>
      </w:divsChild>
    </w:div>
    <w:div w:id="426582425">
      <w:bodyDiv w:val="1"/>
      <w:marLeft w:val="0"/>
      <w:marRight w:val="0"/>
      <w:marTop w:val="0"/>
      <w:marBottom w:val="0"/>
      <w:divBdr>
        <w:top w:val="none" w:sz="0" w:space="0" w:color="auto"/>
        <w:left w:val="none" w:sz="0" w:space="0" w:color="auto"/>
        <w:bottom w:val="none" w:sz="0" w:space="0" w:color="auto"/>
        <w:right w:val="none" w:sz="0" w:space="0" w:color="auto"/>
      </w:divBdr>
    </w:div>
    <w:div w:id="469133494">
      <w:bodyDiv w:val="1"/>
      <w:marLeft w:val="0"/>
      <w:marRight w:val="0"/>
      <w:marTop w:val="0"/>
      <w:marBottom w:val="0"/>
      <w:divBdr>
        <w:top w:val="none" w:sz="0" w:space="0" w:color="auto"/>
        <w:left w:val="none" w:sz="0" w:space="0" w:color="auto"/>
        <w:bottom w:val="none" w:sz="0" w:space="0" w:color="auto"/>
        <w:right w:val="none" w:sz="0" w:space="0" w:color="auto"/>
      </w:divBdr>
    </w:div>
    <w:div w:id="475727217">
      <w:bodyDiv w:val="1"/>
      <w:marLeft w:val="0"/>
      <w:marRight w:val="0"/>
      <w:marTop w:val="0"/>
      <w:marBottom w:val="0"/>
      <w:divBdr>
        <w:top w:val="none" w:sz="0" w:space="0" w:color="auto"/>
        <w:left w:val="none" w:sz="0" w:space="0" w:color="auto"/>
        <w:bottom w:val="none" w:sz="0" w:space="0" w:color="auto"/>
        <w:right w:val="none" w:sz="0" w:space="0" w:color="auto"/>
      </w:divBdr>
    </w:div>
    <w:div w:id="494684950">
      <w:bodyDiv w:val="1"/>
      <w:marLeft w:val="0"/>
      <w:marRight w:val="0"/>
      <w:marTop w:val="0"/>
      <w:marBottom w:val="0"/>
      <w:divBdr>
        <w:top w:val="none" w:sz="0" w:space="0" w:color="auto"/>
        <w:left w:val="none" w:sz="0" w:space="0" w:color="auto"/>
        <w:bottom w:val="none" w:sz="0" w:space="0" w:color="auto"/>
        <w:right w:val="none" w:sz="0" w:space="0" w:color="auto"/>
      </w:divBdr>
    </w:div>
    <w:div w:id="536354488">
      <w:bodyDiv w:val="1"/>
      <w:marLeft w:val="0"/>
      <w:marRight w:val="0"/>
      <w:marTop w:val="0"/>
      <w:marBottom w:val="0"/>
      <w:divBdr>
        <w:top w:val="none" w:sz="0" w:space="0" w:color="auto"/>
        <w:left w:val="none" w:sz="0" w:space="0" w:color="auto"/>
        <w:bottom w:val="none" w:sz="0" w:space="0" w:color="auto"/>
        <w:right w:val="none" w:sz="0" w:space="0" w:color="auto"/>
      </w:divBdr>
    </w:div>
    <w:div w:id="537201176">
      <w:bodyDiv w:val="1"/>
      <w:marLeft w:val="0"/>
      <w:marRight w:val="0"/>
      <w:marTop w:val="0"/>
      <w:marBottom w:val="0"/>
      <w:divBdr>
        <w:top w:val="none" w:sz="0" w:space="0" w:color="auto"/>
        <w:left w:val="none" w:sz="0" w:space="0" w:color="auto"/>
        <w:bottom w:val="none" w:sz="0" w:space="0" w:color="auto"/>
        <w:right w:val="none" w:sz="0" w:space="0" w:color="auto"/>
      </w:divBdr>
    </w:div>
    <w:div w:id="570971370">
      <w:bodyDiv w:val="1"/>
      <w:marLeft w:val="0"/>
      <w:marRight w:val="0"/>
      <w:marTop w:val="0"/>
      <w:marBottom w:val="0"/>
      <w:divBdr>
        <w:top w:val="none" w:sz="0" w:space="0" w:color="auto"/>
        <w:left w:val="none" w:sz="0" w:space="0" w:color="auto"/>
        <w:bottom w:val="none" w:sz="0" w:space="0" w:color="auto"/>
        <w:right w:val="none" w:sz="0" w:space="0" w:color="auto"/>
      </w:divBdr>
    </w:div>
    <w:div w:id="596135436">
      <w:bodyDiv w:val="1"/>
      <w:marLeft w:val="0"/>
      <w:marRight w:val="0"/>
      <w:marTop w:val="0"/>
      <w:marBottom w:val="0"/>
      <w:divBdr>
        <w:top w:val="none" w:sz="0" w:space="0" w:color="auto"/>
        <w:left w:val="none" w:sz="0" w:space="0" w:color="auto"/>
        <w:bottom w:val="none" w:sz="0" w:space="0" w:color="auto"/>
        <w:right w:val="none" w:sz="0" w:space="0" w:color="auto"/>
      </w:divBdr>
    </w:div>
    <w:div w:id="609708012">
      <w:bodyDiv w:val="1"/>
      <w:marLeft w:val="0"/>
      <w:marRight w:val="0"/>
      <w:marTop w:val="0"/>
      <w:marBottom w:val="0"/>
      <w:divBdr>
        <w:top w:val="none" w:sz="0" w:space="0" w:color="auto"/>
        <w:left w:val="none" w:sz="0" w:space="0" w:color="auto"/>
        <w:bottom w:val="none" w:sz="0" w:space="0" w:color="auto"/>
        <w:right w:val="none" w:sz="0" w:space="0" w:color="auto"/>
      </w:divBdr>
    </w:div>
    <w:div w:id="655451254">
      <w:bodyDiv w:val="1"/>
      <w:marLeft w:val="0"/>
      <w:marRight w:val="0"/>
      <w:marTop w:val="0"/>
      <w:marBottom w:val="0"/>
      <w:divBdr>
        <w:top w:val="none" w:sz="0" w:space="0" w:color="auto"/>
        <w:left w:val="none" w:sz="0" w:space="0" w:color="auto"/>
        <w:bottom w:val="none" w:sz="0" w:space="0" w:color="auto"/>
        <w:right w:val="none" w:sz="0" w:space="0" w:color="auto"/>
      </w:divBdr>
    </w:div>
    <w:div w:id="697703543">
      <w:bodyDiv w:val="1"/>
      <w:marLeft w:val="0"/>
      <w:marRight w:val="0"/>
      <w:marTop w:val="0"/>
      <w:marBottom w:val="0"/>
      <w:divBdr>
        <w:top w:val="none" w:sz="0" w:space="0" w:color="auto"/>
        <w:left w:val="none" w:sz="0" w:space="0" w:color="auto"/>
        <w:bottom w:val="none" w:sz="0" w:space="0" w:color="auto"/>
        <w:right w:val="none" w:sz="0" w:space="0" w:color="auto"/>
      </w:divBdr>
    </w:div>
    <w:div w:id="724179164">
      <w:bodyDiv w:val="1"/>
      <w:marLeft w:val="0"/>
      <w:marRight w:val="0"/>
      <w:marTop w:val="0"/>
      <w:marBottom w:val="0"/>
      <w:divBdr>
        <w:top w:val="none" w:sz="0" w:space="0" w:color="auto"/>
        <w:left w:val="none" w:sz="0" w:space="0" w:color="auto"/>
        <w:bottom w:val="none" w:sz="0" w:space="0" w:color="auto"/>
        <w:right w:val="none" w:sz="0" w:space="0" w:color="auto"/>
      </w:divBdr>
    </w:div>
    <w:div w:id="737362964">
      <w:bodyDiv w:val="1"/>
      <w:marLeft w:val="0"/>
      <w:marRight w:val="0"/>
      <w:marTop w:val="0"/>
      <w:marBottom w:val="0"/>
      <w:divBdr>
        <w:top w:val="none" w:sz="0" w:space="0" w:color="auto"/>
        <w:left w:val="none" w:sz="0" w:space="0" w:color="auto"/>
        <w:bottom w:val="none" w:sz="0" w:space="0" w:color="auto"/>
        <w:right w:val="none" w:sz="0" w:space="0" w:color="auto"/>
      </w:divBdr>
    </w:div>
    <w:div w:id="754401087">
      <w:bodyDiv w:val="1"/>
      <w:marLeft w:val="0"/>
      <w:marRight w:val="0"/>
      <w:marTop w:val="0"/>
      <w:marBottom w:val="0"/>
      <w:divBdr>
        <w:top w:val="none" w:sz="0" w:space="0" w:color="auto"/>
        <w:left w:val="none" w:sz="0" w:space="0" w:color="auto"/>
        <w:bottom w:val="none" w:sz="0" w:space="0" w:color="auto"/>
        <w:right w:val="none" w:sz="0" w:space="0" w:color="auto"/>
      </w:divBdr>
    </w:div>
    <w:div w:id="762066314">
      <w:bodyDiv w:val="1"/>
      <w:marLeft w:val="0"/>
      <w:marRight w:val="0"/>
      <w:marTop w:val="0"/>
      <w:marBottom w:val="0"/>
      <w:divBdr>
        <w:top w:val="none" w:sz="0" w:space="0" w:color="auto"/>
        <w:left w:val="none" w:sz="0" w:space="0" w:color="auto"/>
        <w:bottom w:val="none" w:sz="0" w:space="0" w:color="auto"/>
        <w:right w:val="none" w:sz="0" w:space="0" w:color="auto"/>
      </w:divBdr>
    </w:div>
    <w:div w:id="765467190">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772241433">
      <w:bodyDiv w:val="1"/>
      <w:marLeft w:val="0"/>
      <w:marRight w:val="0"/>
      <w:marTop w:val="0"/>
      <w:marBottom w:val="0"/>
      <w:divBdr>
        <w:top w:val="none" w:sz="0" w:space="0" w:color="auto"/>
        <w:left w:val="none" w:sz="0" w:space="0" w:color="auto"/>
        <w:bottom w:val="none" w:sz="0" w:space="0" w:color="auto"/>
        <w:right w:val="none" w:sz="0" w:space="0" w:color="auto"/>
      </w:divBdr>
    </w:div>
    <w:div w:id="791291104">
      <w:bodyDiv w:val="1"/>
      <w:marLeft w:val="0"/>
      <w:marRight w:val="0"/>
      <w:marTop w:val="0"/>
      <w:marBottom w:val="0"/>
      <w:divBdr>
        <w:top w:val="none" w:sz="0" w:space="0" w:color="auto"/>
        <w:left w:val="none" w:sz="0" w:space="0" w:color="auto"/>
        <w:bottom w:val="none" w:sz="0" w:space="0" w:color="auto"/>
        <w:right w:val="none" w:sz="0" w:space="0" w:color="auto"/>
      </w:divBdr>
    </w:div>
    <w:div w:id="826752854">
      <w:bodyDiv w:val="1"/>
      <w:marLeft w:val="0"/>
      <w:marRight w:val="0"/>
      <w:marTop w:val="0"/>
      <w:marBottom w:val="0"/>
      <w:divBdr>
        <w:top w:val="none" w:sz="0" w:space="0" w:color="auto"/>
        <w:left w:val="none" w:sz="0" w:space="0" w:color="auto"/>
        <w:bottom w:val="none" w:sz="0" w:space="0" w:color="auto"/>
        <w:right w:val="none" w:sz="0" w:space="0" w:color="auto"/>
      </w:divBdr>
    </w:div>
    <w:div w:id="833880178">
      <w:bodyDiv w:val="1"/>
      <w:marLeft w:val="0"/>
      <w:marRight w:val="0"/>
      <w:marTop w:val="0"/>
      <w:marBottom w:val="0"/>
      <w:divBdr>
        <w:top w:val="none" w:sz="0" w:space="0" w:color="auto"/>
        <w:left w:val="none" w:sz="0" w:space="0" w:color="auto"/>
        <w:bottom w:val="none" w:sz="0" w:space="0" w:color="auto"/>
        <w:right w:val="none" w:sz="0" w:space="0" w:color="auto"/>
      </w:divBdr>
    </w:div>
    <w:div w:id="851604736">
      <w:bodyDiv w:val="1"/>
      <w:marLeft w:val="0"/>
      <w:marRight w:val="0"/>
      <w:marTop w:val="0"/>
      <w:marBottom w:val="0"/>
      <w:divBdr>
        <w:top w:val="none" w:sz="0" w:space="0" w:color="auto"/>
        <w:left w:val="none" w:sz="0" w:space="0" w:color="auto"/>
        <w:bottom w:val="none" w:sz="0" w:space="0" w:color="auto"/>
        <w:right w:val="none" w:sz="0" w:space="0" w:color="auto"/>
      </w:divBdr>
    </w:div>
    <w:div w:id="898052097">
      <w:bodyDiv w:val="1"/>
      <w:marLeft w:val="0"/>
      <w:marRight w:val="0"/>
      <w:marTop w:val="0"/>
      <w:marBottom w:val="0"/>
      <w:divBdr>
        <w:top w:val="none" w:sz="0" w:space="0" w:color="auto"/>
        <w:left w:val="none" w:sz="0" w:space="0" w:color="auto"/>
        <w:bottom w:val="none" w:sz="0" w:space="0" w:color="auto"/>
        <w:right w:val="none" w:sz="0" w:space="0" w:color="auto"/>
      </w:divBdr>
    </w:div>
    <w:div w:id="935946769">
      <w:bodyDiv w:val="1"/>
      <w:marLeft w:val="0"/>
      <w:marRight w:val="0"/>
      <w:marTop w:val="0"/>
      <w:marBottom w:val="0"/>
      <w:divBdr>
        <w:top w:val="none" w:sz="0" w:space="0" w:color="auto"/>
        <w:left w:val="none" w:sz="0" w:space="0" w:color="auto"/>
        <w:bottom w:val="none" w:sz="0" w:space="0" w:color="auto"/>
        <w:right w:val="none" w:sz="0" w:space="0" w:color="auto"/>
      </w:divBdr>
    </w:div>
    <w:div w:id="941230080">
      <w:bodyDiv w:val="1"/>
      <w:marLeft w:val="0"/>
      <w:marRight w:val="0"/>
      <w:marTop w:val="0"/>
      <w:marBottom w:val="0"/>
      <w:divBdr>
        <w:top w:val="none" w:sz="0" w:space="0" w:color="auto"/>
        <w:left w:val="none" w:sz="0" w:space="0" w:color="auto"/>
        <w:bottom w:val="none" w:sz="0" w:space="0" w:color="auto"/>
        <w:right w:val="none" w:sz="0" w:space="0" w:color="auto"/>
      </w:divBdr>
    </w:div>
    <w:div w:id="957107035">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3560982">
      <w:bodyDiv w:val="1"/>
      <w:marLeft w:val="0"/>
      <w:marRight w:val="0"/>
      <w:marTop w:val="0"/>
      <w:marBottom w:val="0"/>
      <w:divBdr>
        <w:top w:val="none" w:sz="0" w:space="0" w:color="auto"/>
        <w:left w:val="none" w:sz="0" w:space="0" w:color="auto"/>
        <w:bottom w:val="none" w:sz="0" w:space="0" w:color="auto"/>
        <w:right w:val="none" w:sz="0" w:space="0" w:color="auto"/>
      </w:divBdr>
    </w:div>
    <w:div w:id="976884844">
      <w:bodyDiv w:val="1"/>
      <w:marLeft w:val="0"/>
      <w:marRight w:val="0"/>
      <w:marTop w:val="0"/>
      <w:marBottom w:val="0"/>
      <w:divBdr>
        <w:top w:val="none" w:sz="0" w:space="0" w:color="auto"/>
        <w:left w:val="none" w:sz="0" w:space="0" w:color="auto"/>
        <w:bottom w:val="none" w:sz="0" w:space="0" w:color="auto"/>
        <w:right w:val="none" w:sz="0" w:space="0" w:color="auto"/>
      </w:divBdr>
    </w:div>
    <w:div w:id="977955229">
      <w:bodyDiv w:val="1"/>
      <w:marLeft w:val="0"/>
      <w:marRight w:val="0"/>
      <w:marTop w:val="0"/>
      <w:marBottom w:val="0"/>
      <w:divBdr>
        <w:top w:val="none" w:sz="0" w:space="0" w:color="auto"/>
        <w:left w:val="none" w:sz="0" w:space="0" w:color="auto"/>
        <w:bottom w:val="none" w:sz="0" w:space="0" w:color="auto"/>
        <w:right w:val="none" w:sz="0" w:space="0" w:color="auto"/>
      </w:divBdr>
    </w:div>
    <w:div w:id="1003894049">
      <w:bodyDiv w:val="1"/>
      <w:marLeft w:val="0"/>
      <w:marRight w:val="0"/>
      <w:marTop w:val="0"/>
      <w:marBottom w:val="0"/>
      <w:divBdr>
        <w:top w:val="none" w:sz="0" w:space="0" w:color="auto"/>
        <w:left w:val="none" w:sz="0" w:space="0" w:color="auto"/>
        <w:bottom w:val="none" w:sz="0" w:space="0" w:color="auto"/>
        <w:right w:val="none" w:sz="0" w:space="0" w:color="auto"/>
      </w:divBdr>
    </w:div>
    <w:div w:id="1031952243">
      <w:bodyDiv w:val="1"/>
      <w:marLeft w:val="0"/>
      <w:marRight w:val="0"/>
      <w:marTop w:val="0"/>
      <w:marBottom w:val="0"/>
      <w:divBdr>
        <w:top w:val="none" w:sz="0" w:space="0" w:color="auto"/>
        <w:left w:val="none" w:sz="0" w:space="0" w:color="auto"/>
        <w:bottom w:val="none" w:sz="0" w:space="0" w:color="auto"/>
        <w:right w:val="none" w:sz="0" w:space="0" w:color="auto"/>
      </w:divBdr>
    </w:div>
    <w:div w:id="1063060255">
      <w:bodyDiv w:val="1"/>
      <w:marLeft w:val="0"/>
      <w:marRight w:val="0"/>
      <w:marTop w:val="0"/>
      <w:marBottom w:val="0"/>
      <w:divBdr>
        <w:top w:val="none" w:sz="0" w:space="0" w:color="auto"/>
        <w:left w:val="none" w:sz="0" w:space="0" w:color="auto"/>
        <w:bottom w:val="none" w:sz="0" w:space="0" w:color="auto"/>
        <w:right w:val="none" w:sz="0" w:space="0" w:color="auto"/>
      </w:divBdr>
    </w:div>
    <w:div w:id="1092356921">
      <w:bodyDiv w:val="1"/>
      <w:marLeft w:val="0"/>
      <w:marRight w:val="0"/>
      <w:marTop w:val="0"/>
      <w:marBottom w:val="0"/>
      <w:divBdr>
        <w:top w:val="none" w:sz="0" w:space="0" w:color="auto"/>
        <w:left w:val="none" w:sz="0" w:space="0" w:color="auto"/>
        <w:bottom w:val="none" w:sz="0" w:space="0" w:color="auto"/>
        <w:right w:val="none" w:sz="0" w:space="0" w:color="auto"/>
      </w:divBdr>
    </w:div>
    <w:div w:id="1102603997">
      <w:bodyDiv w:val="1"/>
      <w:marLeft w:val="0"/>
      <w:marRight w:val="0"/>
      <w:marTop w:val="0"/>
      <w:marBottom w:val="0"/>
      <w:divBdr>
        <w:top w:val="none" w:sz="0" w:space="0" w:color="auto"/>
        <w:left w:val="none" w:sz="0" w:space="0" w:color="auto"/>
        <w:bottom w:val="none" w:sz="0" w:space="0" w:color="auto"/>
        <w:right w:val="none" w:sz="0" w:space="0" w:color="auto"/>
      </w:divBdr>
    </w:div>
    <w:div w:id="1110319149">
      <w:bodyDiv w:val="1"/>
      <w:marLeft w:val="0"/>
      <w:marRight w:val="0"/>
      <w:marTop w:val="0"/>
      <w:marBottom w:val="0"/>
      <w:divBdr>
        <w:top w:val="none" w:sz="0" w:space="0" w:color="auto"/>
        <w:left w:val="none" w:sz="0" w:space="0" w:color="auto"/>
        <w:bottom w:val="none" w:sz="0" w:space="0" w:color="auto"/>
        <w:right w:val="none" w:sz="0" w:space="0" w:color="auto"/>
      </w:divBdr>
    </w:div>
    <w:div w:id="1115490264">
      <w:bodyDiv w:val="1"/>
      <w:marLeft w:val="0"/>
      <w:marRight w:val="0"/>
      <w:marTop w:val="0"/>
      <w:marBottom w:val="0"/>
      <w:divBdr>
        <w:top w:val="none" w:sz="0" w:space="0" w:color="auto"/>
        <w:left w:val="none" w:sz="0" w:space="0" w:color="auto"/>
        <w:bottom w:val="none" w:sz="0" w:space="0" w:color="auto"/>
        <w:right w:val="none" w:sz="0" w:space="0" w:color="auto"/>
      </w:divBdr>
    </w:div>
    <w:div w:id="1142456051">
      <w:bodyDiv w:val="1"/>
      <w:marLeft w:val="0"/>
      <w:marRight w:val="0"/>
      <w:marTop w:val="0"/>
      <w:marBottom w:val="0"/>
      <w:divBdr>
        <w:top w:val="none" w:sz="0" w:space="0" w:color="auto"/>
        <w:left w:val="none" w:sz="0" w:space="0" w:color="auto"/>
        <w:bottom w:val="none" w:sz="0" w:space="0" w:color="auto"/>
        <w:right w:val="none" w:sz="0" w:space="0" w:color="auto"/>
      </w:divBdr>
    </w:div>
    <w:div w:id="1143544736">
      <w:bodyDiv w:val="1"/>
      <w:marLeft w:val="0"/>
      <w:marRight w:val="0"/>
      <w:marTop w:val="0"/>
      <w:marBottom w:val="0"/>
      <w:divBdr>
        <w:top w:val="none" w:sz="0" w:space="0" w:color="auto"/>
        <w:left w:val="none" w:sz="0" w:space="0" w:color="auto"/>
        <w:bottom w:val="none" w:sz="0" w:space="0" w:color="auto"/>
        <w:right w:val="none" w:sz="0" w:space="0" w:color="auto"/>
      </w:divBdr>
    </w:div>
    <w:div w:id="1151822709">
      <w:bodyDiv w:val="1"/>
      <w:marLeft w:val="0"/>
      <w:marRight w:val="0"/>
      <w:marTop w:val="0"/>
      <w:marBottom w:val="0"/>
      <w:divBdr>
        <w:top w:val="none" w:sz="0" w:space="0" w:color="auto"/>
        <w:left w:val="none" w:sz="0" w:space="0" w:color="auto"/>
        <w:bottom w:val="none" w:sz="0" w:space="0" w:color="auto"/>
        <w:right w:val="none" w:sz="0" w:space="0" w:color="auto"/>
      </w:divBdr>
    </w:div>
    <w:div w:id="1184050863">
      <w:bodyDiv w:val="1"/>
      <w:marLeft w:val="0"/>
      <w:marRight w:val="0"/>
      <w:marTop w:val="0"/>
      <w:marBottom w:val="0"/>
      <w:divBdr>
        <w:top w:val="none" w:sz="0" w:space="0" w:color="auto"/>
        <w:left w:val="none" w:sz="0" w:space="0" w:color="auto"/>
        <w:bottom w:val="none" w:sz="0" w:space="0" w:color="auto"/>
        <w:right w:val="none" w:sz="0" w:space="0" w:color="auto"/>
      </w:divBdr>
    </w:div>
    <w:div w:id="1209533457">
      <w:bodyDiv w:val="1"/>
      <w:marLeft w:val="0"/>
      <w:marRight w:val="0"/>
      <w:marTop w:val="0"/>
      <w:marBottom w:val="0"/>
      <w:divBdr>
        <w:top w:val="none" w:sz="0" w:space="0" w:color="auto"/>
        <w:left w:val="none" w:sz="0" w:space="0" w:color="auto"/>
        <w:bottom w:val="none" w:sz="0" w:space="0" w:color="auto"/>
        <w:right w:val="none" w:sz="0" w:space="0" w:color="auto"/>
      </w:divBdr>
    </w:div>
    <w:div w:id="1220704184">
      <w:bodyDiv w:val="1"/>
      <w:marLeft w:val="0"/>
      <w:marRight w:val="0"/>
      <w:marTop w:val="0"/>
      <w:marBottom w:val="0"/>
      <w:divBdr>
        <w:top w:val="none" w:sz="0" w:space="0" w:color="auto"/>
        <w:left w:val="none" w:sz="0" w:space="0" w:color="auto"/>
        <w:bottom w:val="none" w:sz="0" w:space="0" w:color="auto"/>
        <w:right w:val="none" w:sz="0" w:space="0" w:color="auto"/>
      </w:divBdr>
      <w:divsChild>
        <w:div w:id="833104641">
          <w:marLeft w:val="302"/>
          <w:marRight w:val="0"/>
          <w:marTop w:val="86"/>
          <w:marBottom w:val="0"/>
          <w:divBdr>
            <w:top w:val="none" w:sz="0" w:space="0" w:color="auto"/>
            <w:left w:val="none" w:sz="0" w:space="0" w:color="auto"/>
            <w:bottom w:val="none" w:sz="0" w:space="0" w:color="auto"/>
            <w:right w:val="none" w:sz="0" w:space="0" w:color="auto"/>
          </w:divBdr>
        </w:div>
      </w:divsChild>
    </w:div>
    <w:div w:id="1290815103">
      <w:bodyDiv w:val="1"/>
      <w:marLeft w:val="0"/>
      <w:marRight w:val="0"/>
      <w:marTop w:val="0"/>
      <w:marBottom w:val="0"/>
      <w:divBdr>
        <w:top w:val="none" w:sz="0" w:space="0" w:color="auto"/>
        <w:left w:val="none" w:sz="0" w:space="0" w:color="auto"/>
        <w:bottom w:val="none" w:sz="0" w:space="0" w:color="auto"/>
        <w:right w:val="none" w:sz="0" w:space="0" w:color="auto"/>
      </w:divBdr>
    </w:div>
    <w:div w:id="1296715236">
      <w:bodyDiv w:val="1"/>
      <w:marLeft w:val="0"/>
      <w:marRight w:val="0"/>
      <w:marTop w:val="0"/>
      <w:marBottom w:val="0"/>
      <w:divBdr>
        <w:top w:val="none" w:sz="0" w:space="0" w:color="auto"/>
        <w:left w:val="none" w:sz="0" w:space="0" w:color="auto"/>
        <w:bottom w:val="none" w:sz="0" w:space="0" w:color="auto"/>
        <w:right w:val="none" w:sz="0" w:space="0" w:color="auto"/>
      </w:divBdr>
    </w:div>
    <w:div w:id="1362979251">
      <w:bodyDiv w:val="1"/>
      <w:marLeft w:val="0"/>
      <w:marRight w:val="0"/>
      <w:marTop w:val="0"/>
      <w:marBottom w:val="0"/>
      <w:divBdr>
        <w:top w:val="none" w:sz="0" w:space="0" w:color="auto"/>
        <w:left w:val="none" w:sz="0" w:space="0" w:color="auto"/>
        <w:bottom w:val="none" w:sz="0" w:space="0" w:color="auto"/>
        <w:right w:val="none" w:sz="0" w:space="0" w:color="auto"/>
      </w:divBdr>
    </w:div>
    <w:div w:id="1385522452">
      <w:bodyDiv w:val="1"/>
      <w:marLeft w:val="0"/>
      <w:marRight w:val="0"/>
      <w:marTop w:val="0"/>
      <w:marBottom w:val="0"/>
      <w:divBdr>
        <w:top w:val="none" w:sz="0" w:space="0" w:color="auto"/>
        <w:left w:val="none" w:sz="0" w:space="0" w:color="auto"/>
        <w:bottom w:val="none" w:sz="0" w:space="0" w:color="auto"/>
        <w:right w:val="none" w:sz="0" w:space="0" w:color="auto"/>
      </w:divBdr>
    </w:div>
    <w:div w:id="1387070483">
      <w:bodyDiv w:val="1"/>
      <w:marLeft w:val="0"/>
      <w:marRight w:val="0"/>
      <w:marTop w:val="0"/>
      <w:marBottom w:val="0"/>
      <w:divBdr>
        <w:top w:val="none" w:sz="0" w:space="0" w:color="auto"/>
        <w:left w:val="none" w:sz="0" w:space="0" w:color="auto"/>
        <w:bottom w:val="none" w:sz="0" w:space="0" w:color="auto"/>
        <w:right w:val="none" w:sz="0" w:space="0" w:color="auto"/>
      </w:divBdr>
    </w:div>
    <w:div w:id="1390499517">
      <w:bodyDiv w:val="1"/>
      <w:marLeft w:val="0"/>
      <w:marRight w:val="0"/>
      <w:marTop w:val="0"/>
      <w:marBottom w:val="0"/>
      <w:divBdr>
        <w:top w:val="none" w:sz="0" w:space="0" w:color="auto"/>
        <w:left w:val="none" w:sz="0" w:space="0" w:color="auto"/>
        <w:bottom w:val="none" w:sz="0" w:space="0" w:color="auto"/>
        <w:right w:val="none" w:sz="0" w:space="0" w:color="auto"/>
      </w:divBdr>
    </w:div>
    <w:div w:id="1393428199">
      <w:bodyDiv w:val="1"/>
      <w:marLeft w:val="0"/>
      <w:marRight w:val="0"/>
      <w:marTop w:val="0"/>
      <w:marBottom w:val="0"/>
      <w:divBdr>
        <w:top w:val="none" w:sz="0" w:space="0" w:color="auto"/>
        <w:left w:val="none" w:sz="0" w:space="0" w:color="auto"/>
        <w:bottom w:val="none" w:sz="0" w:space="0" w:color="auto"/>
        <w:right w:val="none" w:sz="0" w:space="0" w:color="auto"/>
      </w:divBdr>
    </w:div>
    <w:div w:id="1404377784">
      <w:bodyDiv w:val="1"/>
      <w:marLeft w:val="0"/>
      <w:marRight w:val="0"/>
      <w:marTop w:val="0"/>
      <w:marBottom w:val="0"/>
      <w:divBdr>
        <w:top w:val="none" w:sz="0" w:space="0" w:color="auto"/>
        <w:left w:val="none" w:sz="0" w:space="0" w:color="auto"/>
        <w:bottom w:val="none" w:sz="0" w:space="0" w:color="auto"/>
        <w:right w:val="none" w:sz="0" w:space="0" w:color="auto"/>
      </w:divBdr>
    </w:div>
    <w:div w:id="1453939521">
      <w:bodyDiv w:val="1"/>
      <w:marLeft w:val="0"/>
      <w:marRight w:val="0"/>
      <w:marTop w:val="0"/>
      <w:marBottom w:val="0"/>
      <w:divBdr>
        <w:top w:val="none" w:sz="0" w:space="0" w:color="auto"/>
        <w:left w:val="none" w:sz="0" w:space="0" w:color="auto"/>
        <w:bottom w:val="none" w:sz="0" w:space="0" w:color="auto"/>
        <w:right w:val="none" w:sz="0" w:space="0" w:color="auto"/>
      </w:divBdr>
    </w:div>
    <w:div w:id="1528830831">
      <w:bodyDiv w:val="1"/>
      <w:marLeft w:val="0"/>
      <w:marRight w:val="0"/>
      <w:marTop w:val="0"/>
      <w:marBottom w:val="0"/>
      <w:divBdr>
        <w:top w:val="none" w:sz="0" w:space="0" w:color="auto"/>
        <w:left w:val="none" w:sz="0" w:space="0" w:color="auto"/>
        <w:bottom w:val="none" w:sz="0" w:space="0" w:color="auto"/>
        <w:right w:val="none" w:sz="0" w:space="0" w:color="auto"/>
      </w:divBdr>
    </w:div>
    <w:div w:id="1597472707">
      <w:bodyDiv w:val="1"/>
      <w:marLeft w:val="0"/>
      <w:marRight w:val="0"/>
      <w:marTop w:val="0"/>
      <w:marBottom w:val="0"/>
      <w:divBdr>
        <w:top w:val="none" w:sz="0" w:space="0" w:color="auto"/>
        <w:left w:val="none" w:sz="0" w:space="0" w:color="auto"/>
        <w:bottom w:val="none" w:sz="0" w:space="0" w:color="auto"/>
        <w:right w:val="none" w:sz="0" w:space="0" w:color="auto"/>
      </w:divBdr>
    </w:div>
    <w:div w:id="1599631453">
      <w:bodyDiv w:val="1"/>
      <w:marLeft w:val="0"/>
      <w:marRight w:val="0"/>
      <w:marTop w:val="0"/>
      <w:marBottom w:val="0"/>
      <w:divBdr>
        <w:top w:val="none" w:sz="0" w:space="0" w:color="auto"/>
        <w:left w:val="none" w:sz="0" w:space="0" w:color="auto"/>
        <w:bottom w:val="none" w:sz="0" w:space="0" w:color="auto"/>
        <w:right w:val="none" w:sz="0" w:space="0" w:color="auto"/>
      </w:divBdr>
    </w:div>
    <w:div w:id="1607690055">
      <w:bodyDiv w:val="1"/>
      <w:marLeft w:val="0"/>
      <w:marRight w:val="0"/>
      <w:marTop w:val="0"/>
      <w:marBottom w:val="0"/>
      <w:divBdr>
        <w:top w:val="none" w:sz="0" w:space="0" w:color="auto"/>
        <w:left w:val="none" w:sz="0" w:space="0" w:color="auto"/>
        <w:bottom w:val="none" w:sz="0" w:space="0" w:color="auto"/>
        <w:right w:val="none" w:sz="0" w:space="0" w:color="auto"/>
      </w:divBdr>
    </w:div>
    <w:div w:id="1629973222">
      <w:bodyDiv w:val="1"/>
      <w:marLeft w:val="0"/>
      <w:marRight w:val="0"/>
      <w:marTop w:val="0"/>
      <w:marBottom w:val="0"/>
      <w:divBdr>
        <w:top w:val="none" w:sz="0" w:space="0" w:color="auto"/>
        <w:left w:val="none" w:sz="0" w:space="0" w:color="auto"/>
        <w:bottom w:val="none" w:sz="0" w:space="0" w:color="auto"/>
        <w:right w:val="none" w:sz="0" w:space="0" w:color="auto"/>
      </w:divBdr>
    </w:div>
    <w:div w:id="1637956087">
      <w:bodyDiv w:val="1"/>
      <w:marLeft w:val="0"/>
      <w:marRight w:val="0"/>
      <w:marTop w:val="0"/>
      <w:marBottom w:val="0"/>
      <w:divBdr>
        <w:top w:val="none" w:sz="0" w:space="0" w:color="auto"/>
        <w:left w:val="none" w:sz="0" w:space="0" w:color="auto"/>
        <w:bottom w:val="none" w:sz="0" w:space="0" w:color="auto"/>
        <w:right w:val="none" w:sz="0" w:space="0" w:color="auto"/>
      </w:divBdr>
    </w:div>
    <w:div w:id="1641423144">
      <w:bodyDiv w:val="1"/>
      <w:marLeft w:val="0"/>
      <w:marRight w:val="0"/>
      <w:marTop w:val="0"/>
      <w:marBottom w:val="0"/>
      <w:divBdr>
        <w:top w:val="none" w:sz="0" w:space="0" w:color="auto"/>
        <w:left w:val="none" w:sz="0" w:space="0" w:color="auto"/>
        <w:bottom w:val="none" w:sz="0" w:space="0" w:color="auto"/>
        <w:right w:val="none" w:sz="0" w:space="0" w:color="auto"/>
      </w:divBdr>
    </w:div>
    <w:div w:id="1651129316">
      <w:bodyDiv w:val="1"/>
      <w:marLeft w:val="0"/>
      <w:marRight w:val="0"/>
      <w:marTop w:val="0"/>
      <w:marBottom w:val="0"/>
      <w:divBdr>
        <w:top w:val="none" w:sz="0" w:space="0" w:color="auto"/>
        <w:left w:val="none" w:sz="0" w:space="0" w:color="auto"/>
        <w:bottom w:val="none" w:sz="0" w:space="0" w:color="auto"/>
        <w:right w:val="none" w:sz="0" w:space="0" w:color="auto"/>
      </w:divBdr>
    </w:div>
    <w:div w:id="1711881330">
      <w:bodyDiv w:val="1"/>
      <w:marLeft w:val="0"/>
      <w:marRight w:val="0"/>
      <w:marTop w:val="0"/>
      <w:marBottom w:val="0"/>
      <w:divBdr>
        <w:top w:val="none" w:sz="0" w:space="0" w:color="auto"/>
        <w:left w:val="none" w:sz="0" w:space="0" w:color="auto"/>
        <w:bottom w:val="none" w:sz="0" w:space="0" w:color="auto"/>
        <w:right w:val="none" w:sz="0" w:space="0" w:color="auto"/>
      </w:divBdr>
    </w:div>
    <w:div w:id="1755280119">
      <w:bodyDiv w:val="1"/>
      <w:marLeft w:val="0"/>
      <w:marRight w:val="0"/>
      <w:marTop w:val="0"/>
      <w:marBottom w:val="0"/>
      <w:divBdr>
        <w:top w:val="none" w:sz="0" w:space="0" w:color="auto"/>
        <w:left w:val="none" w:sz="0" w:space="0" w:color="auto"/>
        <w:bottom w:val="none" w:sz="0" w:space="0" w:color="auto"/>
        <w:right w:val="none" w:sz="0" w:space="0" w:color="auto"/>
      </w:divBdr>
    </w:div>
    <w:div w:id="1797329869">
      <w:bodyDiv w:val="1"/>
      <w:marLeft w:val="0"/>
      <w:marRight w:val="0"/>
      <w:marTop w:val="0"/>
      <w:marBottom w:val="0"/>
      <w:divBdr>
        <w:top w:val="none" w:sz="0" w:space="0" w:color="auto"/>
        <w:left w:val="none" w:sz="0" w:space="0" w:color="auto"/>
        <w:bottom w:val="none" w:sz="0" w:space="0" w:color="auto"/>
        <w:right w:val="none" w:sz="0" w:space="0" w:color="auto"/>
      </w:divBdr>
    </w:div>
    <w:div w:id="1817451362">
      <w:bodyDiv w:val="1"/>
      <w:marLeft w:val="0"/>
      <w:marRight w:val="0"/>
      <w:marTop w:val="0"/>
      <w:marBottom w:val="0"/>
      <w:divBdr>
        <w:top w:val="none" w:sz="0" w:space="0" w:color="auto"/>
        <w:left w:val="none" w:sz="0" w:space="0" w:color="auto"/>
        <w:bottom w:val="none" w:sz="0" w:space="0" w:color="auto"/>
        <w:right w:val="none" w:sz="0" w:space="0" w:color="auto"/>
      </w:divBdr>
    </w:div>
    <w:div w:id="1819615970">
      <w:bodyDiv w:val="1"/>
      <w:marLeft w:val="0"/>
      <w:marRight w:val="0"/>
      <w:marTop w:val="0"/>
      <w:marBottom w:val="0"/>
      <w:divBdr>
        <w:top w:val="none" w:sz="0" w:space="0" w:color="auto"/>
        <w:left w:val="none" w:sz="0" w:space="0" w:color="auto"/>
        <w:bottom w:val="none" w:sz="0" w:space="0" w:color="auto"/>
        <w:right w:val="none" w:sz="0" w:space="0" w:color="auto"/>
      </w:divBdr>
    </w:div>
    <w:div w:id="1842044115">
      <w:bodyDiv w:val="1"/>
      <w:marLeft w:val="0"/>
      <w:marRight w:val="0"/>
      <w:marTop w:val="0"/>
      <w:marBottom w:val="0"/>
      <w:divBdr>
        <w:top w:val="none" w:sz="0" w:space="0" w:color="auto"/>
        <w:left w:val="none" w:sz="0" w:space="0" w:color="auto"/>
        <w:bottom w:val="none" w:sz="0" w:space="0" w:color="auto"/>
        <w:right w:val="none" w:sz="0" w:space="0" w:color="auto"/>
      </w:divBdr>
    </w:div>
    <w:div w:id="1891454591">
      <w:bodyDiv w:val="1"/>
      <w:marLeft w:val="0"/>
      <w:marRight w:val="0"/>
      <w:marTop w:val="0"/>
      <w:marBottom w:val="0"/>
      <w:divBdr>
        <w:top w:val="none" w:sz="0" w:space="0" w:color="auto"/>
        <w:left w:val="none" w:sz="0" w:space="0" w:color="auto"/>
        <w:bottom w:val="none" w:sz="0" w:space="0" w:color="auto"/>
        <w:right w:val="none" w:sz="0" w:space="0" w:color="auto"/>
      </w:divBdr>
    </w:div>
    <w:div w:id="1926306252">
      <w:bodyDiv w:val="1"/>
      <w:marLeft w:val="0"/>
      <w:marRight w:val="0"/>
      <w:marTop w:val="0"/>
      <w:marBottom w:val="0"/>
      <w:divBdr>
        <w:top w:val="none" w:sz="0" w:space="0" w:color="auto"/>
        <w:left w:val="none" w:sz="0" w:space="0" w:color="auto"/>
        <w:bottom w:val="none" w:sz="0" w:space="0" w:color="auto"/>
        <w:right w:val="none" w:sz="0" w:space="0" w:color="auto"/>
      </w:divBdr>
    </w:div>
    <w:div w:id="1940797683">
      <w:bodyDiv w:val="1"/>
      <w:marLeft w:val="0"/>
      <w:marRight w:val="0"/>
      <w:marTop w:val="0"/>
      <w:marBottom w:val="0"/>
      <w:divBdr>
        <w:top w:val="none" w:sz="0" w:space="0" w:color="auto"/>
        <w:left w:val="none" w:sz="0" w:space="0" w:color="auto"/>
        <w:bottom w:val="none" w:sz="0" w:space="0" w:color="auto"/>
        <w:right w:val="none" w:sz="0" w:space="0" w:color="auto"/>
      </w:divBdr>
    </w:div>
    <w:div w:id="1950089374">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1996837616">
      <w:bodyDiv w:val="1"/>
      <w:marLeft w:val="0"/>
      <w:marRight w:val="0"/>
      <w:marTop w:val="0"/>
      <w:marBottom w:val="0"/>
      <w:divBdr>
        <w:top w:val="none" w:sz="0" w:space="0" w:color="auto"/>
        <w:left w:val="none" w:sz="0" w:space="0" w:color="auto"/>
        <w:bottom w:val="none" w:sz="0" w:space="0" w:color="auto"/>
        <w:right w:val="none" w:sz="0" w:space="0" w:color="auto"/>
      </w:divBdr>
    </w:div>
    <w:div w:id="1996909446">
      <w:bodyDiv w:val="1"/>
      <w:marLeft w:val="0"/>
      <w:marRight w:val="0"/>
      <w:marTop w:val="0"/>
      <w:marBottom w:val="0"/>
      <w:divBdr>
        <w:top w:val="none" w:sz="0" w:space="0" w:color="auto"/>
        <w:left w:val="none" w:sz="0" w:space="0" w:color="auto"/>
        <w:bottom w:val="none" w:sz="0" w:space="0" w:color="auto"/>
        <w:right w:val="none" w:sz="0" w:space="0" w:color="auto"/>
      </w:divBdr>
    </w:div>
    <w:div w:id="2046640205">
      <w:bodyDiv w:val="1"/>
      <w:marLeft w:val="0"/>
      <w:marRight w:val="0"/>
      <w:marTop w:val="0"/>
      <w:marBottom w:val="0"/>
      <w:divBdr>
        <w:top w:val="none" w:sz="0" w:space="0" w:color="auto"/>
        <w:left w:val="none" w:sz="0" w:space="0" w:color="auto"/>
        <w:bottom w:val="none" w:sz="0" w:space="0" w:color="auto"/>
        <w:right w:val="none" w:sz="0" w:space="0" w:color="auto"/>
      </w:divBdr>
    </w:div>
    <w:div w:id="2047219125">
      <w:bodyDiv w:val="1"/>
      <w:marLeft w:val="0"/>
      <w:marRight w:val="0"/>
      <w:marTop w:val="0"/>
      <w:marBottom w:val="0"/>
      <w:divBdr>
        <w:top w:val="none" w:sz="0" w:space="0" w:color="auto"/>
        <w:left w:val="none" w:sz="0" w:space="0" w:color="auto"/>
        <w:bottom w:val="none" w:sz="0" w:space="0" w:color="auto"/>
        <w:right w:val="none" w:sz="0" w:space="0" w:color="auto"/>
      </w:divBdr>
    </w:div>
    <w:div w:id="2053919841">
      <w:bodyDiv w:val="1"/>
      <w:marLeft w:val="0"/>
      <w:marRight w:val="0"/>
      <w:marTop w:val="0"/>
      <w:marBottom w:val="0"/>
      <w:divBdr>
        <w:top w:val="none" w:sz="0" w:space="0" w:color="auto"/>
        <w:left w:val="none" w:sz="0" w:space="0" w:color="auto"/>
        <w:bottom w:val="none" w:sz="0" w:space="0" w:color="auto"/>
        <w:right w:val="none" w:sz="0" w:space="0" w:color="auto"/>
      </w:divBdr>
    </w:div>
    <w:div w:id="2070111589">
      <w:bodyDiv w:val="1"/>
      <w:marLeft w:val="0"/>
      <w:marRight w:val="0"/>
      <w:marTop w:val="0"/>
      <w:marBottom w:val="0"/>
      <w:divBdr>
        <w:top w:val="none" w:sz="0" w:space="0" w:color="auto"/>
        <w:left w:val="none" w:sz="0" w:space="0" w:color="auto"/>
        <w:bottom w:val="none" w:sz="0" w:space="0" w:color="auto"/>
        <w:right w:val="none" w:sz="0" w:space="0" w:color="auto"/>
      </w:divBdr>
    </w:div>
    <w:div w:id="2084447311">
      <w:bodyDiv w:val="1"/>
      <w:marLeft w:val="0"/>
      <w:marRight w:val="0"/>
      <w:marTop w:val="0"/>
      <w:marBottom w:val="0"/>
      <w:divBdr>
        <w:top w:val="none" w:sz="0" w:space="0" w:color="auto"/>
        <w:left w:val="none" w:sz="0" w:space="0" w:color="auto"/>
        <w:bottom w:val="none" w:sz="0" w:space="0" w:color="auto"/>
        <w:right w:val="none" w:sz="0" w:space="0" w:color="auto"/>
      </w:divBdr>
    </w:div>
    <w:div w:id="21116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www.ndis.gov.au/media/1821/download" TargetMode="External"/><Relationship Id="rId3" Type="http://schemas.openxmlformats.org/officeDocument/2006/relationships/styles" Target="styles.xml"/><Relationship Id="rId21" Type="http://schemas.openxmlformats.org/officeDocument/2006/relationships/hyperlink" Target="https://www.health.gov.au/resources/apps-and-tools/health-workforce-locator/health-workforce-locato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dis.gov.au/media/1662/downloa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providers/price-guides-and-information/annual-price-review/annual-price-review-consult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gov.au/media/1820/download" TargetMode="External"/><Relationship Id="rId23" Type="http://schemas.openxmlformats.org/officeDocument/2006/relationships/fontTable" Target="fontTable.xml"/><Relationship Id="rId10" Type="http://schemas.openxmlformats.org/officeDocument/2006/relationships/hyperlink" Target="mailto:enquiries@ndis.gov.au" TargetMode="External"/><Relationship Id="rId19" Type="http://schemas.openxmlformats.org/officeDocument/2006/relationships/hyperlink" Target="https://www.ndis.gov.au/media/1821/download" TargetMode="External"/><Relationship Id="rId4" Type="http://schemas.openxmlformats.org/officeDocument/2006/relationships/settings" Target="settings.xml"/><Relationship Id="rId9" Type="http://schemas.openxmlformats.org/officeDocument/2006/relationships/hyperlink" Target="mailto:ARPC@ndis.gov.au" TargetMode="External"/><Relationship Id="rId14" Type="http://schemas.openxmlformats.org/officeDocument/2006/relationships/footer" Target="footer2.xml"/><Relationship Id="rId22" Type="http://schemas.openxmlformats.org/officeDocument/2006/relationships/hyperlink" Target="https://www.ndis.gov.au/media/1661/download" TargetMode="External"/></Relationships>
</file>

<file path=word/theme/theme1.xml><?xml version="1.0" encoding="utf-8"?>
<a:theme xmlns:a="http://schemas.openxmlformats.org/drawingml/2006/main" name="Theme1">
  <a:themeElements>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solidFill>
            <a:schemeClr val="accent6"/>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raClrScheme>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heme1" id="{2B383E43-B34B-4646-9216-D46D71579D90}" vid="{7FAE4507-3334-4D0E-A861-D7F382B384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1D65-5517-4E0B-A012-E28838BF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10351</Words>
  <Characters>59001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Willis</dc:creator>
  <cp:keywords/>
  <dc:description/>
  <cp:lastModifiedBy>Sally Ling</cp:lastModifiedBy>
  <cp:revision>3</cp:revision>
  <cp:lastPrinted>2019-11-11T04:04:00Z</cp:lastPrinted>
  <dcterms:created xsi:type="dcterms:W3CDTF">2019-11-21T05:35:00Z</dcterms:created>
  <dcterms:modified xsi:type="dcterms:W3CDTF">2019-11-21T21:27:00Z</dcterms:modified>
</cp:coreProperties>
</file>