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263" w:rsidRPr="0050028E" w:rsidRDefault="004D32B5" w:rsidP="007219F1">
      <w:pPr>
        <w:pStyle w:val="Heading1"/>
        <w:rPr>
          <w:sz w:val="72"/>
          <w:szCs w:val="72"/>
        </w:rPr>
      </w:pPr>
      <w:bookmarkStart w:id="0" w:name="_Toc20685712"/>
      <w:bookmarkStart w:id="1" w:name="_Toc23370961"/>
      <w:bookmarkStart w:id="2" w:name="_Toc23371202"/>
      <w:bookmarkStart w:id="3" w:name="_Toc23372515"/>
      <w:bookmarkStart w:id="4" w:name="_Toc24537190"/>
      <w:bookmarkStart w:id="5" w:name="_Toc25074415"/>
      <w:r w:rsidRPr="0050028E">
        <w:rPr>
          <w:noProof/>
          <w:sz w:val="72"/>
          <w:szCs w:val="72"/>
          <w:lang w:eastAsia="en-AU"/>
        </w:rPr>
        <w:drawing>
          <wp:anchor distT="0" distB="0" distL="114300" distR="114300" simplePos="0" relativeHeight="251658240" behindDoc="1" locked="0" layoutInCell="1" allowOverlap="1" wp14:anchorId="41A3A847" wp14:editId="3E7B7E37">
            <wp:simplePos x="0" y="0"/>
            <wp:positionH relativeFrom="page">
              <wp:posOffset>327259</wp:posOffset>
            </wp:positionH>
            <wp:positionV relativeFrom="page">
              <wp:posOffset>356135</wp:posOffset>
            </wp:positionV>
            <wp:extent cx="6839585" cy="8999855"/>
            <wp:effectExtent l="0" t="0" r="0" b="0"/>
            <wp:wrapNone/>
            <wp:docPr id="15" name="Picture 15" descr="Page background in NDIS purple." title="Purple 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722263" w:rsidRPr="0050028E">
        <w:rPr>
          <w:sz w:val="72"/>
          <w:szCs w:val="72"/>
        </w:rPr>
        <w:t xml:space="preserve">Supported </w:t>
      </w:r>
      <w:r w:rsidR="00351EA6">
        <w:rPr>
          <w:sz w:val="72"/>
          <w:szCs w:val="72"/>
        </w:rPr>
        <w:t>e</w:t>
      </w:r>
      <w:r w:rsidR="00722263" w:rsidRPr="0050028E">
        <w:rPr>
          <w:sz w:val="72"/>
          <w:szCs w:val="72"/>
        </w:rPr>
        <w:t xml:space="preserve">mployment </w:t>
      </w:r>
      <w:r w:rsidR="008553DA">
        <w:rPr>
          <w:sz w:val="72"/>
          <w:szCs w:val="72"/>
        </w:rPr>
        <w:t>under</w:t>
      </w:r>
      <w:r w:rsidR="00351EA6" w:rsidRPr="0050028E">
        <w:rPr>
          <w:sz w:val="72"/>
          <w:szCs w:val="72"/>
        </w:rPr>
        <w:t xml:space="preserve"> </w:t>
      </w:r>
      <w:r w:rsidR="00722263" w:rsidRPr="0050028E">
        <w:rPr>
          <w:sz w:val="72"/>
          <w:szCs w:val="72"/>
        </w:rPr>
        <w:t>the NDIS</w:t>
      </w:r>
      <w:bookmarkEnd w:id="0"/>
      <w:bookmarkEnd w:id="1"/>
      <w:bookmarkEnd w:id="2"/>
      <w:bookmarkEnd w:id="3"/>
      <w:bookmarkEnd w:id="4"/>
      <w:bookmarkEnd w:id="5"/>
    </w:p>
    <w:p w:rsidR="007219F1" w:rsidRPr="0050028E" w:rsidRDefault="00722263" w:rsidP="007219F1">
      <w:pPr>
        <w:pStyle w:val="Heading1"/>
        <w:rPr>
          <w:sz w:val="36"/>
          <w:szCs w:val="36"/>
        </w:rPr>
      </w:pPr>
      <w:bookmarkStart w:id="6" w:name="_Toc20685713"/>
      <w:bookmarkStart w:id="7" w:name="_Toc22809749"/>
      <w:bookmarkStart w:id="8" w:name="_Toc23370962"/>
      <w:bookmarkStart w:id="9" w:name="_Toc23371203"/>
      <w:bookmarkStart w:id="10" w:name="_Toc23372516"/>
      <w:bookmarkStart w:id="11" w:name="_Toc24537191"/>
      <w:bookmarkStart w:id="12" w:name="_Toc25074416"/>
      <w:r w:rsidRPr="0050028E">
        <w:rPr>
          <w:sz w:val="36"/>
          <w:szCs w:val="36"/>
        </w:rPr>
        <w:t xml:space="preserve">Industry Information </w:t>
      </w:r>
      <w:r w:rsidR="00B95B90">
        <w:rPr>
          <w:sz w:val="36"/>
          <w:szCs w:val="36"/>
        </w:rPr>
        <w:t xml:space="preserve">and Consultation </w:t>
      </w:r>
      <w:r w:rsidRPr="0050028E">
        <w:rPr>
          <w:sz w:val="36"/>
          <w:szCs w:val="36"/>
        </w:rPr>
        <w:t xml:space="preserve">Paper </w:t>
      </w:r>
      <w:r w:rsidRPr="0050028E">
        <w:rPr>
          <w:sz w:val="36"/>
          <w:szCs w:val="36"/>
        </w:rPr>
        <w:br/>
      </w:r>
      <w:r w:rsidR="00351EA6">
        <w:rPr>
          <w:sz w:val="36"/>
          <w:szCs w:val="36"/>
        </w:rPr>
        <w:t>November</w:t>
      </w:r>
      <w:r w:rsidR="00351EA6" w:rsidRPr="0050028E">
        <w:rPr>
          <w:sz w:val="36"/>
          <w:szCs w:val="36"/>
        </w:rPr>
        <w:t xml:space="preserve"> </w:t>
      </w:r>
      <w:r w:rsidRPr="0050028E">
        <w:rPr>
          <w:sz w:val="36"/>
          <w:szCs w:val="36"/>
        </w:rPr>
        <w:t>2019</w:t>
      </w:r>
      <w:bookmarkEnd w:id="6"/>
      <w:bookmarkEnd w:id="7"/>
      <w:bookmarkEnd w:id="8"/>
      <w:bookmarkEnd w:id="9"/>
      <w:bookmarkEnd w:id="10"/>
      <w:bookmarkEnd w:id="11"/>
      <w:bookmarkEnd w:id="12"/>
    </w:p>
    <w:p w:rsidR="00722263" w:rsidRPr="004D1627" w:rsidRDefault="004D1627" w:rsidP="00722263">
      <w:pPr>
        <w:rPr>
          <w:color w:val="FFFFFF" w:themeColor="background1"/>
          <w:sz w:val="24"/>
        </w:rPr>
      </w:pPr>
      <w:r>
        <w:rPr>
          <w:color w:val="FFFFFF" w:themeColor="background1"/>
          <w:sz w:val="24"/>
        </w:rPr>
        <w:t>V 1</w:t>
      </w:r>
      <w:r w:rsidR="007C2B5F">
        <w:rPr>
          <w:color w:val="FFFFFF" w:themeColor="background1"/>
          <w:sz w:val="24"/>
        </w:rPr>
        <w:t>.0</w:t>
      </w:r>
    </w:p>
    <w:p w:rsidR="007219F1" w:rsidRPr="0050028E" w:rsidRDefault="007219F1" w:rsidP="007219F1">
      <w:pPr>
        <w:rPr>
          <w:rFonts w:cs="Arial"/>
          <w:color w:val="FFFFFF" w:themeColor="background1"/>
          <w:sz w:val="24"/>
        </w:rPr>
      </w:pPr>
      <w:r w:rsidRPr="0050028E">
        <w:rPr>
          <w:sz w:val="24"/>
        </w:rPr>
        <w:br w:type="page"/>
      </w:r>
    </w:p>
    <w:p w:rsidR="00696E86" w:rsidRPr="00696E86" w:rsidRDefault="00391E48" w:rsidP="00CC7638">
      <w:pPr>
        <w:pStyle w:val="Heading2"/>
        <w:rPr>
          <w:rFonts w:cs="Arial"/>
          <w:noProof/>
          <w:sz w:val="22"/>
          <w:szCs w:val="22"/>
        </w:rPr>
      </w:pPr>
      <w:bookmarkStart w:id="13" w:name="_Toc23371204"/>
      <w:bookmarkStart w:id="14" w:name="_Toc23372517"/>
      <w:bookmarkStart w:id="15" w:name="_Toc24468946"/>
      <w:bookmarkStart w:id="16" w:name="_Toc24537192"/>
      <w:bookmarkStart w:id="17" w:name="_Toc25074417"/>
      <w:r w:rsidRPr="0050028E">
        <w:lastRenderedPageBreak/>
        <w:t>Contents</w:t>
      </w:r>
      <w:bookmarkEnd w:id="13"/>
      <w:bookmarkEnd w:id="14"/>
      <w:bookmarkEnd w:id="15"/>
      <w:bookmarkEnd w:id="16"/>
      <w:bookmarkEnd w:id="17"/>
      <w:r w:rsidR="00CC7638">
        <w:br/>
      </w:r>
      <w:r w:rsidRPr="00EE2546">
        <w:rPr>
          <w:rFonts w:cs="Arial"/>
          <w:sz w:val="22"/>
          <w:szCs w:val="22"/>
        </w:rPr>
        <w:fldChar w:fldCharType="begin"/>
      </w:r>
      <w:r w:rsidRPr="00EE2546">
        <w:rPr>
          <w:rFonts w:cs="Arial"/>
          <w:sz w:val="22"/>
          <w:szCs w:val="22"/>
        </w:rPr>
        <w:instrText xml:space="preserve"> TOC \o "1-5" \h \z \u </w:instrText>
      </w:r>
      <w:r w:rsidRPr="00EE2546">
        <w:rPr>
          <w:rFonts w:cs="Arial"/>
          <w:sz w:val="22"/>
          <w:szCs w:val="22"/>
        </w:rPr>
        <w:fldChar w:fldCharType="end"/>
      </w:r>
      <w:r w:rsidRPr="00696E86">
        <w:rPr>
          <w:rFonts w:cs="Arial"/>
          <w:sz w:val="22"/>
          <w:szCs w:val="22"/>
        </w:rPr>
        <w:fldChar w:fldCharType="begin"/>
      </w:r>
      <w:r w:rsidRPr="00696E86">
        <w:rPr>
          <w:rFonts w:cs="Arial"/>
          <w:sz w:val="22"/>
          <w:szCs w:val="22"/>
        </w:rPr>
        <w:instrText xml:space="preserve"> TOC \o "1-3" \h \z \u </w:instrText>
      </w:r>
      <w:r w:rsidRPr="00696E86">
        <w:rPr>
          <w:rFonts w:cs="Arial"/>
          <w:sz w:val="22"/>
          <w:szCs w:val="22"/>
        </w:rPr>
        <w:fldChar w:fldCharType="separate"/>
      </w:r>
    </w:p>
    <w:p w:rsidR="00696E86" w:rsidRPr="00696E86" w:rsidRDefault="00696E86">
      <w:pPr>
        <w:pStyle w:val="TOC2"/>
        <w:tabs>
          <w:tab w:val="right" w:leader="dot" w:pos="9016"/>
        </w:tabs>
        <w:rPr>
          <w:rFonts w:ascii="Arial" w:hAnsi="Arial" w:cs="Arial"/>
          <w:b w:val="0"/>
          <w:bCs w:val="0"/>
          <w:noProof/>
          <w:sz w:val="22"/>
          <w:szCs w:val="22"/>
          <w:lang w:eastAsia="en-AU"/>
        </w:rPr>
      </w:pPr>
      <w:hyperlink w:anchor="_Toc25074419" w:history="1">
        <w:r w:rsidRPr="00696E86">
          <w:rPr>
            <w:rStyle w:val="Hyperlink"/>
            <w:rFonts w:ascii="Arial" w:hAnsi="Arial" w:cs="Arial"/>
            <w:noProof/>
            <w:sz w:val="22"/>
            <w:szCs w:val="22"/>
          </w:rPr>
          <w:t>Introduction</w:t>
        </w:r>
        <w:r w:rsidRPr="00696E86">
          <w:rPr>
            <w:rFonts w:ascii="Arial" w:hAnsi="Arial" w:cs="Arial"/>
            <w:noProof/>
            <w:webHidden/>
            <w:sz w:val="22"/>
            <w:szCs w:val="22"/>
          </w:rPr>
          <w:tab/>
        </w:r>
        <w:r w:rsidRPr="00696E86">
          <w:rPr>
            <w:rFonts w:ascii="Arial" w:hAnsi="Arial" w:cs="Arial"/>
            <w:noProof/>
            <w:webHidden/>
            <w:sz w:val="22"/>
            <w:szCs w:val="22"/>
          </w:rPr>
          <w:fldChar w:fldCharType="begin"/>
        </w:r>
        <w:r w:rsidRPr="00696E86">
          <w:rPr>
            <w:rFonts w:ascii="Arial" w:hAnsi="Arial" w:cs="Arial"/>
            <w:noProof/>
            <w:webHidden/>
            <w:sz w:val="22"/>
            <w:szCs w:val="22"/>
          </w:rPr>
          <w:instrText xml:space="preserve"> PAGEREF _Toc25074419 \h </w:instrText>
        </w:r>
        <w:r w:rsidRPr="00696E86">
          <w:rPr>
            <w:rFonts w:ascii="Arial" w:hAnsi="Arial" w:cs="Arial"/>
            <w:noProof/>
            <w:webHidden/>
            <w:sz w:val="22"/>
            <w:szCs w:val="22"/>
          </w:rPr>
        </w:r>
        <w:r w:rsidRPr="00696E86">
          <w:rPr>
            <w:rFonts w:ascii="Arial" w:hAnsi="Arial" w:cs="Arial"/>
            <w:noProof/>
            <w:webHidden/>
            <w:sz w:val="22"/>
            <w:szCs w:val="22"/>
          </w:rPr>
          <w:fldChar w:fldCharType="separate"/>
        </w:r>
        <w:r w:rsidRPr="00696E86">
          <w:rPr>
            <w:rFonts w:ascii="Arial" w:hAnsi="Arial" w:cs="Arial"/>
            <w:noProof/>
            <w:webHidden/>
            <w:sz w:val="22"/>
            <w:szCs w:val="22"/>
          </w:rPr>
          <w:t>4</w:t>
        </w:r>
        <w:r w:rsidRPr="00696E86">
          <w:rPr>
            <w:rFonts w:ascii="Arial" w:hAnsi="Arial" w:cs="Arial"/>
            <w:noProof/>
            <w:webHidden/>
            <w:sz w:val="22"/>
            <w:szCs w:val="22"/>
          </w:rPr>
          <w:fldChar w:fldCharType="end"/>
        </w:r>
      </w:hyperlink>
    </w:p>
    <w:p w:rsidR="00696E86" w:rsidRPr="00696E86" w:rsidRDefault="00696E86">
      <w:pPr>
        <w:pStyle w:val="TOC2"/>
        <w:tabs>
          <w:tab w:val="right" w:leader="dot" w:pos="9016"/>
        </w:tabs>
        <w:rPr>
          <w:rFonts w:ascii="Arial" w:hAnsi="Arial" w:cs="Arial"/>
          <w:b w:val="0"/>
          <w:bCs w:val="0"/>
          <w:noProof/>
          <w:sz w:val="22"/>
          <w:szCs w:val="22"/>
          <w:lang w:eastAsia="en-AU"/>
        </w:rPr>
      </w:pPr>
      <w:hyperlink w:anchor="_Toc25074420" w:history="1">
        <w:r w:rsidRPr="00696E86">
          <w:rPr>
            <w:rStyle w:val="Hyperlink"/>
            <w:rFonts w:ascii="Arial" w:hAnsi="Arial" w:cs="Arial"/>
            <w:noProof/>
            <w:sz w:val="22"/>
            <w:szCs w:val="22"/>
          </w:rPr>
          <w:t>Purpose of this paper</w:t>
        </w:r>
        <w:r w:rsidRPr="00696E86">
          <w:rPr>
            <w:rFonts w:ascii="Arial" w:hAnsi="Arial" w:cs="Arial"/>
            <w:noProof/>
            <w:webHidden/>
            <w:sz w:val="22"/>
            <w:szCs w:val="22"/>
          </w:rPr>
          <w:tab/>
        </w:r>
        <w:r w:rsidRPr="00696E86">
          <w:rPr>
            <w:rFonts w:ascii="Arial" w:hAnsi="Arial" w:cs="Arial"/>
            <w:noProof/>
            <w:webHidden/>
            <w:sz w:val="22"/>
            <w:szCs w:val="22"/>
          </w:rPr>
          <w:fldChar w:fldCharType="begin"/>
        </w:r>
        <w:r w:rsidRPr="00696E86">
          <w:rPr>
            <w:rFonts w:ascii="Arial" w:hAnsi="Arial" w:cs="Arial"/>
            <w:noProof/>
            <w:webHidden/>
            <w:sz w:val="22"/>
            <w:szCs w:val="22"/>
          </w:rPr>
          <w:instrText xml:space="preserve"> PAGEREF _Toc25074420 \h </w:instrText>
        </w:r>
        <w:r w:rsidRPr="00696E86">
          <w:rPr>
            <w:rFonts w:ascii="Arial" w:hAnsi="Arial" w:cs="Arial"/>
            <w:noProof/>
            <w:webHidden/>
            <w:sz w:val="22"/>
            <w:szCs w:val="22"/>
          </w:rPr>
        </w:r>
        <w:r w:rsidRPr="00696E86">
          <w:rPr>
            <w:rFonts w:ascii="Arial" w:hAnsi="Arial" w:cs="Arial"/>
            <w:noProof/>
            <w:webHidden/>
            <w:sz w:val="22"/>
            <w:szCs w:val="22"/>
          </w:rPr>
          <w:fldChar w:fldCharType="separate"/>
        </w:r>
        <w:r w:rsidRPr="00696E86">
          <w:rPr>
            <w:rFonts w:ascii="Arial" w:hAnsi="Arial" w:cs="Arial"/>
            <w:noProof/>
            <w:webHidden/>
            <w:sz w:val="22"/>
            <w:szCs w:val="22"/>
          </w:rPr>
          <w:t>5</w:t>
        </w:r>
        <w:r w:rsidRPr="00696E86">
          <w:rPr>
            <w:rFonts w:ascii="Arial" w:hAnsi="Arial" w:cs="Arial"/>
            <w:noProof/>
            <w:webHidden/>
            <w:sz w:val="22"/>
            <w:szCs w:val="22"/>
          </w:rPr>
          <w:fldChar w:fldCharType="end"/>
        </w:r>
      </w:hyperlink>
    </w:p>
    <w:p w:rsidR="00696E86" w:rsidRPr="00696E86" w:rsidRDefault="00696E86">
      <w:pPr>
        <w:pStyle w:val="TOC2"/>
        <w:tabs>
          <w:tab w:val="right" w:leader="dot" w:pos="9016"/>
        </w:tabs>
        <w:rPr>
          <w:rFonts w:ascii="Arial" w:hAnsi="Arial" w:cs="Arial"/>
          <w:b w:val="0"/>
          <w:bCs w:val="0"/>
          <w:noProof/>
          <w:sz w:val="22"/>
          <w:szCs w:val="22"/>
          <w:lang w:eastAsia="en-AU"/>
        </w:rPr>
      </w:pPr>
      <w:hyperlink w:anchor="_Toc25074421" w:history="1">
        <w:r w:rsidRPr="00696E86">
          <w:rPr>
            <w:rStyle w:val="Hyperlink"/>
            <w:rFonts w:ascii="Arial" w:hAnsi="Arial" w:cs="Arial"/>
            <w:noProof/>
            <w:sz w:val="22"/>
            <w:szCs w:val="22"/>
          </w:rPr>
          <w:t>About supported employment</w:t>
        </w:r>
        <w:r w:rsidRPr="00696E86">
          <w:rPr>
            <w:rFonts w:ascii="Arial" w:hAnsi="Arial" w:cs="Arial"/>
            <w:noProof/>
            <w:webHidden/>
            <w:sz w:val="22"/>
            <w:szCs w:val="22"/>
          </w:rPr>
          <w:tab/>
        </w:r>
        <w:r w:rsidRPr="00696E86">
          <w:rPr>
            <w:rFonts w:ascii="Arial" w:hAnsi="Arial" w:cs="Arial"/>
            <w:noProof/>
            <w:webHidden/>
            <w:sz w:val="22"/>
            <w:szCs w:val="22"/>
          </w:rPr>
          <w:fldChar w:fldCharType="begin"/>
        </w:r>
        <w:r w:rsidRPr="00696E86">
          <w:rPr>
            <w:rFonts w:ascii="Arial" w:hAnsi="Arial" w:cs="Arial"/>
            <w:noProof/>
            <w:webHidden/>
            <w:sz w:val="22"/>
            <w:szCs w:val="22"/>
          </w:rPr>
          <w:instrText xml:space="preserve"> PAGEREF _Toc25074421 \h </w:instrText>
        </w:r>
        <w:r w:rsidRPr="00696E86">
          <w:rPr>
            <w:rFonts w:ascii="Arial" w:hAnsi="Arial" w:cs="Arial"/>
            <w:noProof/>
            <w:webHidden/>
            <w:sz w:val="22"/>
            <w:szCs w:val="22"/>
          </w:rPr>
        </w:r>
        <w:r w:rsidRPr="00696E86">
          <w:rPr>
            <w:rFonts w:ascii="Arial" w:hAnsi="Arial" w:cs="Arial"/>
            <w:noProof/>
            <w:webHidden/>
            <w:sz w:val="22"/>
            <w:szCs w:val="22"/>
          </w:rPr>
          <w:fldChar w:fldCharType="separate"/>
        </w:r>
        <w:r w:rsidRPr="00696E86">
          <w:rPr>
            <w:rFonts w:ascii="Arial" w:hAnsi="Arial" w:cs="Arial"/>
            <w:noProof/>
            <w:webHidden/>
            <w:sz w:val="22"/>
            <w:szCs w:val="22"/>
          </w:rPr>
          <w:t>6</w:t>
        </w:r>
        <w:r w:rsidRPr="00696E86">
          <w:rPr>
            <w:rFonts w:ascii="Arial" w:hAnsi="Arial" w:cs="Arial"/>
            <w:noProof/>
            <w:webHidden/>
            <w:sz w:val="22"/>
            <w:szCs w:val="22"/>
          </w:rPr>
          <w:fldChar w:fldCharType="end"/>
        </w:r>
      </w:hyperlink>
    </w:p>
    <w:p w:rsidR="00696E86" w:rsidRPr="00696E86" w:rsidRDefault="00696E86">
      <w:pPr>
        <w:pStyle w:val="TOC2"/>
        <w:tabs>
          <w:tab w:val="right" w:leader="dot" w:pos="9016"/>
        </w:tabs>
        <w:rPr>
          <w:rFonts w:ascii="Arial" w:hAnsi="Arial" w:cs="Arial"/>
          <w:b w:val="0"/>
          <w:bCs w:val="0"/>
          <w:noProof/>
          <w:sz w:val="22"/>
          <w:szCs w:val="22"/>
          <w:lang w:eastAsia="en-AU"/>
        </w:rPr>
      </w:pPr>
      <w:hyperlink w:anchor="_Toc25074422" w:history="1">
        <w:r w:rsidRPr="00696E86">
          <w:rPr>
            <w:rStyle w:val="Hyperlink"/>
            <w:rFonts w:ascii="Arial" w:hAnsi="Arial" w:cs="Arial"/>
            <w:noProof/>
            <w:sz w:val="22"/>
            <w:szCs w:val="22"/>
          </w:rPr>
          <w:t>About the new pricing framework</w:t>
        </w:r>
        <w:r w:rsidRPr="00696E86">
          <w:rPr>
            <w:rFonts w:ascii="Arial" w:hAnsi="Arial" w:cs="Arial"/>
            <w:noProof/>
            <w:webHidden/>
            <w:sz w:val="22"/>
            <w:szCs w:val="22"/>
          </w:rPr>
          <w:tab/>
        </w:r>
        <w:r w:rsidRPr="00696E86">
          <w:rPr>
            <w:rFonts w:ascii="Arial" w:hAnsi="Arial" w:cs="Arial"/>
            <w:noProof/>
            <w:webHidden/>
            <w:sz w:val="22"/>
            <w:szCs w:val="22"/>
          </w:rPr>
          <w:fldChar w:fldCharType="begin"/>
        </w:r>
        <w:r w:rsidRPr="00696E86">
          <w:rPr>
            <w:rFonts w:ascii="Arial" w:hAnsi="Arial" w:cs="Arial"/>
            <w:noProof/>
            <w:webHidden/>
            <w:sz w:val="22"/>
            <w:szCs w:val="22"/>
          </w:rPr>
          <w:instrText xml:space="preserve"> PAGEREF _Toc25074422 \h </w:instrText>
        </w:r>
        <w:r w:rsidRPr="00696E86">
          <w:rPr>
            <w:rFonts w:ascii="Arial" w:hAnsi="Arial" w:cs="Arial"/>
            <w:noProof/>
            <w:webHidden/>
            <w:sz w:val="22"/>
            <w:szCs w:val="22"/>
          </w:rPr>
        </w:r>
        <w:r w:rsidRPr="00696E86">
          <w:rPr>
            <w:rFonts w:ascii="Arial" w:hAnsi="Arial" w:cs="Arial"/>
            <w:noProof/>
            <w:webHidden/>
            <w:sz w:val="22"/>
            <w:szCs w:val="22"/>
          </w:rPr>
          <w:fldChar w:fldCharType="separate"/>
        </w:r>
        <w:r w:rsidRPr="00696E86">
          <w:rPr>
            <w:rFonts w:ascii="Arial" w:hAnsi="Arial" w:cs="Arial"/>
            <w:noProof/>
            <w:webHidden/>
            <w:sz w:val="22"/>
            <w:szCs w:val="22"/>
          </w:rPr>
          <w:t>8</w:t>
        </w:r>
        <w:r w:rsidRPr="00696E86">
          <w:rPr>
            <w:rFonts w:ascii="Arial" w:hAnsi="Arial" w:cs="Arial"/>
            <w:noProof/>
            <w:webHidden/>
            <w:sz w:val="22"/>
            <w:szCs w:val="22"/>
          </w:rPr>
          <w:fldChar w:fldCharType="end"/>
        </w:r>
      </w:hyperlink>
    </w:p>
    <w:p w:rsidR="00696E86" w:rsidRPr="00696E86" w:rsidRDefault="00696E86">
      <w:pPr>
        <w:pStyle w:val="TOC3"/>
        <w:tabs>
          <w:tab w:val="right" w:leader="dot" w:pos="9016"/>
        </w:tabs>
        <w:rPr>
          <w:rFonts w:ascii="Arial" w:hAnsi="Arial" w:cs="Arial"/>
          <w:noProof/>
          <w:sz w:val="22"/>
          <w:szCs w:val="22"/>
          <w:lang w:eastAsia="en-AU"/>
        </w:rPr>
      </w:pPr>
      <w:hyperlink w:anchor="_Toc25074423" w:history="1">
        <w:r w:rsidRPr="00696E86">
          <w:rPr>
            <w:rStyle w:val="Hyperlink"/>
            <w:rFonts w:ascii="Arial" w:hAnsi="Arial" w:cs="Arial"/>
            <w:noProof/>
            <w:sz w:val="22"/>
            <w:szCs w:val="22"/>
          </w:rPr>
          <w:t>Determining the right ratio of supports</w:t>
        </w:r>
        <w:r w:rsidRPr="00696E86">
          <w:rPr>
            <w:rFonts w:ascii="Arial" w:hAnsi="Arial" w:cs="Arial"/>
            <w:noProof/>
            <w:webHidden/>
            <w:sz w:val="22"/>
            <w:szCs w:val="22"/>
          </w:rPr>
          <w:tab/>
        </w:r>
        <w:r w:rsidRPr="00696E86">
          <w:rPr>
            <w:rFonts w:ascii="Arial" w:hAnsi="Arial" w:cs="Arial"/>
            <w:noProof/>
            <w:webHidden/>
            <w:sz w:val="22"/>
            <w:szCs w:val="22"/>
          </w:rPr>
          <w:fldChar w:fldCharType="begin"/>
        </w:r>
        <w:r w:rsidRPr="00696E86">
          <w:rPr>
            <w:rFonts w:ascii="Arial" w:hAnsi="Arial" w:cs="Arial"/>
            <w:noProof/>
            <w:webHidden/>
            <w:sz w:val="22"/>
            <w:szCs w:val="22"/>
          </w:rPr>
          <w:instrText xml:space="preserve"> PAGEREF _Toc25074423 \h </w:instrText>
        </w:r>
        <w:r w:rsidRPr="00696E86">
          <w:rPr>
            <w:rFonts w:ascii="Arial" w:hAnsi="Arial" w:cs="Arial"/>
            <w:noProof/>
            <w:webHidden/>
            <w:sz w:val="22"/>
            <w:szCs w:val="22"/>
          </w:rPr>
        </w:r>
        <w:r w:rsidRPr="00696E86">
          <w:rPr>
            <w:rFonts w:ascii="Arial" w:hAnsi="Arial" w:cs="Arial"/>
            <w:noProof/>
            <w:webHidden/>
            <w:sz w:val="22"/>
            <w:szCs w:val="22"/>
          </w:rPr>
          <w:fldChar w:fldCharType="separate"/>
        </w:r>
        <w:r w:rsidRPr="00696E86">
          <w:rPr>
            <w:rFonts w:ascii="Arial" w:hAnsi="Arial" w:cs="Arial"/>
            <w:noProof/>
            <w:webHidden/>
            <w:sz w:val="22"/>
            <w:szCs w:val="22"/>
          </w:rPr>
          <w:t>8</w:t>
        </w:r>
        <w:r w:rsidRPr="00696E86">
          <w:rPr>
            <w:rFonts w:ascii="Arial" w:hAnsi="Arial" w:cs="Arial"/>
            <w:noProof/>
            <w:webHidden/>
            <w:sz w:val="22"/>
            <w:szCs w:val="22"/>
          </w:rPr>
          <w:fldChar w:fldCharType="end"/>
        </w:r>
      </w:hyperlink>
    </w:p>
    <w:p w:rsidR="00696E86" w:rsidRPr="00696E86" w:rsidRDefault="00696E86">
      <w:pPr>
        <w:pStyle w:val="TOC3"/>
        <w:tabs>
          <w:tab w:val="right" w:leader="dot" w:pos="9016"/>
        </w:tabs>
        <w:rPr>
          <w:rFonts w:ascii="Arial" w:hAnsi="Arial" w:cs="Arial"/>
          <w:noProof/>
          <w:sz w:val="22"/>
          <w:szCs w:val="22"/>
          <w:lang w:eastAsia="en-AU"/>
        </w:rPr>
      </w:pPr>
      <w:hyperlink w:anchor="_Toc25074424" w:history="1">
        <w:r w:rsidRPr="00696E86">
          <w:rPr>
            <w:rStyle w:val="Hyperlink"/>
            <w:rFonts w:ascii="Arial" w:hAnsi="Arial" w:cs="Arial"/>
            <w:noProof/>
            <w:sz w:val="22"/>
            <w:szCs w:val="22"/>
          </w:rPr>
          <w:t>Claiming supports</w:t>
        </w:r>
        <w:r w:rsidRPr="00696E86">
          <w:rPr>
            <w:rFonts w:ascii="Arial" w:hAnsi="Arial" w:cs="Arial"/>
            <w:noProof/>
            <w:webHidden/>
            <w:sz w:val="22"/>
            <w:szCs w:val="22"/>
          </w:rPr>
          <w:tab/>
        </w:r>
        <w:r w:rsidRPr="00696E86">
          <w:rPr>
            <w:rFonts w:ascii="Arial" w:hAnsi="Arial" w:cs="Arial"/>
            <w:noProof/>
            <w:webHidden/>
            <w:sz w:val="22"/>
            <w:szCs w:val="22"/>
          </w:rPr>
          <w:fldChar w:fldCharType="begin"/>
        </w:r>
        <w:r w:rsidRPr="00696E86">
          <w:rPr>
            <w:rFonts w:ascii="Arial" w:hAnsi="Arial" w:cs="Arial"/>
            <w:noProof/>
            <w:webHidden/>
            <w:sz w:val="22"/>
            <w:szCs w:val="22"/>
          </w:rPr>
          <w:instrText xml:space="preserve"> PAGEREF _Toc25074424 \h </w:instrText>
        </w:r>
        <w:r w:rsidRPr="00696E86">
          <w:rPr>
            <w:rFonts w:ascii="Arial" w:hAnsi="Arial" w:cs="Arial"/>
            <w:noProof/>
            <w:webHidden/>
            <w:sz w:val="22"/>
            <w:szCs w:val="22"/>
          </w:rPr>
        </w:r>
        <w:r w:rsidRPr="00696E86">
          <w:rPr>
            <w:rFonts w:ascii="Arial" w:hAnsi="Arial" w:cs="Arial"/>
            <w:noProof/>
            <w:webHidden/>
            <w:sz w:val="22"/>
            <w:szCs w:val="22"/>
          </w:rPr>
          <w:fldChar w:fldCharType="separate"/>
        </w:r>
        <w:r w:rsidRPr="00696E86">
          <w:rPr>
            <w:rFonts w:ascii="Arial" w:hAnsi="Arial" w:cs="Arial"/>
            <w:noProof/>
            <w:webHidden/>
            <w:sz w:val="22"/>
            <w:szCs w:val="22"/>
          </w:rPr>
          <w:t>10</w:t>
        </w:r>
        <w:r w:rsidRPr="00696E86">
          <w:rPr>
            <w:rFonts w:ascii="Arial" w:hAnsi="Arial" w:cs="Arial"/>
            <w:noProof/>
            <w:webHidden/>
            <w:sz w:val="22"/>
            <w:szCs w:val="22"/>
          </w:rPr>
          <w:fldChar w:fldCharType="end"/>
        </w:r>
      </w:hyperlink>
    </w:p>
    <w:p w:rsidR="00696E86" w:rsidRPr="00696E86" w:rsidRDefault="00696E86">
      <w:pPr>
        <w:pStyle w:val="TOC3"/>
        <w:tabs>
          <w:tab w:val="right" w:leader="dot" w:pos="9016"/>
        </w:tabs>
        <w:rPr>
          <w:rFonts w:ascii="Arial" w:hAnsi="Arial" w:cs="Arial"/>
          <w:noProof/>
          <w:sz w:val="22"/>
          <w:szCs w:val="22"/>
          <w:lang w:eastAsia="en-AU"/>
        </w:rPr>
      </w:pPr>
      <w:hyperlink w:anchor="_Toc25074425" w:history="1">
        <w:r w:rsidRPr="00696E86">
          <w:rPr>
            <w:rStyle w:val="Hyperlink"/>
            <w:rFonts w:ascii="Arial" w:hAnsi="Arial" w:cs="Arial"/>
            <w:noProof/>
            <w:sz w:val="22"/>
            <w:szCs w:val="22"/>
          </w:rPr>
          <w:t>Case studies</w:t>
        </w:r>
        <w:r w:rsidRPr="00696E86">
          <w:rPr>
            <w:rFonts w:ascii="Arial" w:hAnsi="Arial" w:cs="Arial"/>
            <w:noProof/>
            <w:webHidden/>
            <w:sz w:val="22"/>
            <w:szCs w:val="22"/>
          </w:rPr>
          <w:tab/>
        </w:r>
        <w:r w:rsidRPr="00696E86">
          <w:rPr>
            <w:rFonts w:ascii="Arial" w:hAnsi="Arial" w:cs="Arial"/>
            <w:noProof/>
            <w:webHidden/>
            <w:sz w:val="22"/>
            <w:szCs w:val="22"/>
          </w:rPr>
          <w:fldChar w:fldCharType="begin"/>
        </w:r>
        <w:r w:rsidRPr="00696E86">
          <w:rPr>
            <w:rFonts w:ascii="Arial" w:hAnsi="Arial" w:cs="Arial"/>
            <w:noProof/>
            <w:webHidden/>
            <w:sz w:val="22"/>
            <w:szCs w:val="22"/>
          </w:rPr>
          <w:instrText xml:space="preserve"> PAGEREF _Toc25074425 \h </w:instrText>
        </w:r>
        <w:r w:rsidRPr="00696E86">
          <w:rPr>
            <w:rFonts w:ascii="Arial" w:hAnsi="Arial" w:cs="Arial"/>
            <w:noProof/>
            <w:webHidden/>
            <w:sz w:val="22"/>
            <w:szCs w:val="22"/>
          </w:rPr>
        </w:r>
        <w:r w:rsidRPr="00696E86">
          <w:rPr>
            <w:rFonts w:ascii="Arial" w:hAnsi="Arial" w:cs="Arial"/>
            <w:noProof/>
            <w:webHidden/>
            <w:sz w:val="22"/>
            <w:szCs w:val="22"/>
          </w:rPr>
          <w:fldChar w:fldCharType="separate"/>
        </w:r>
        <w:r w:rsidRPr="00696E86">
          <w:rPr>
            <w:rFonts w:ascii="Arial" w:hAnsi="Arial" w:cs="Arial"/>
            <w:noProof/>
            <w:webHidden/>
            <w:sz w:val="22"/>
            <w:szCs w:val="22"/>
          </w:rPr>
          <w:t>11</w:t>
        </w:r>
        <w:r w:rsidRPr="00696E86">
          <w:rPr>
            <w:rFonts w:ascii="Arial" w:hAnsi="Arial" w:cs="Arial"/>
            <w:noProof/>
            <w:webHidden/>
            <w:sz w:val="22"/>
            <w:szCs w:val="22"/>
          </w:rPr>
          <w:fldChar w:fldCharType="end"/>
        </w:r>
      </w:hyperlink>
    </w:p>
    <w:p w:rsidR="00696E86" w:rsidRPr="00696E86" w:rsidRDefault="00696E86">
      <w:pPr>
        <w:pStyle w:val="TOC2"/>
        <w:tabs>
          <w:tab w:val="right" w:leader="dot" w:pos="9016"/>
        </w:tabs>
        <w:rPr>
          <w:rFonts w:ascii="Arial" w:hAnsi="Arial" w:cs="Arial"/>
          <w:b w:val="0"/>
          <w:bCs w:val="0"/>
          <w:noProof/>
          <w:sz w:val="22"/>
          <w:szCs w:val="22"/>
          <w:lang w:eastAsia="en-AU"/>
        </w:rPr>
      </w:pPr>
      <w:hyperlink w:anchor="_Toc25074426" w:history="1">
        <w:r w:rsidRPr="00696E86">
          <w:rPr>
            <w:rStyle w:val="Hyperlink"/>
            <w:rFonts w:ascii="Arial" w:hAnsi="Arial" w:cs="Arial"/>
            <w:noProof/>
            <w:sz w:val="22"/>
            <w:szCs w:val="22"/>
          </w:rPr>
          <w:t>Supporting ADEs through the transition</w:t>
        </w:r>
        <w:r w:rsidRPr="00696E86">
          <w:rPr>
            <w:rFonts w:ascii="Arial" w:hAnsi="Arial" w:cs="Arial"/>
            <w:noProof/>
            <w:webHidden/>
            <w:sz w:val="22"/>
            <w:szCs w:val="22"/>
          </w:rPr>
          <w:tab/>
        </w:r>
        <w:r w:rsidRPr="00696E86">
          <w:rPr>
            <w:rFonts w:ascii="Arial" w:hAnsi="Arial" w:cs="Arial"/>
            <w:noProof/>
            <w:webHidden/>
            <w:sz w:val="22"/>
            <w:szCs w:val="22"/>
          </w:rPr>
          <w:fldChar w:fldCharType="begin"/>
        </w:r>
        <w:r w:rsidRPr="00696E86">
          <w:rPr>
            <w:rFonts w:ascii="Arial" w:hAnsi="Arial" w:cs="Arial"/>
            <w:noProof/>
            <w:webHidden/>
            <w:sz w:val="22"/>
            <w:szCs w:val="22"/>
          </w:rPr>
          <w:instrText xml:space="preserve"> PAGEREF _Toc25074426 \h </w:instrText>
        </w:r>
        <w:r w:rsidRPr="00696E86">
          <w:rPr>
            <w:rFonts w:ascii="Arial" w:hAnsi="Arial" w:cs="Arial"/>
            <w:noProof/>
            <w:webHidden/>
            <w:sz w:val="22"/>
            <w:szCs w:val="22"/>
          </w:rPr>
        </w:r>
        <w:r w:rsidRPr="00696E86">
          <w:rPr>
            <w:rFonts w:ascii="Arial" w:hAnsi="Arial" w:cs="Arial"/>
            <w:noProof/>
            <w:webHidden/>
            <w:sz w:val="22"/>
            <w:szCs w:val="22"/>
          </w:rPr>
          <w:fldChar w:fldCharType="separate"/>
        </w:r>
        <w:r w:rsidRPr="00696E86">
          <w:rPr>
            <w:rFonts w:ascii="Arial" w:hAnsi="Arial" w:cs="Arial"/>
            <w:noProof/>
            <w:webHidden/>
            <w:sz w:val="22"/>
            <w:szCs w:val="22"/>
          </w:rPr>
          <w:t>14</w:t>
        </w:r>
        <w:r w:rsidRPr="00696E86">
          <w:rPr>
            <w:rFonts w:ascii="Arial" w:hAnsi="Arial" w:cs="Arial"/>
            <w:noProof/>
            <w:webHidden/>
            <w:sz w:val="22"/>
            <w:szCs w:val="22"/>
          </w:rPr>
          <w:fldChar w:fldCharType="end"/>
        </w:r>
      </w:hyperlink>
    </w:p>
    <w:p w:rsidR="00696E86" w:rsidRPr="00696E86" w:rsidRDefault="00696E86">
      <w:pPr>
        <w:pStyle w:val="TOC3"/>
        <w:tabs>
          <w:tab w:val="right" w:leader="dot" w:pos="9016"/>
        </w:tabs>
        <w:rPr>
          <w:rFonts w:ascii="Arial" w:hAnsi="Arial" w:cs="Arial"/>
          <w:noProof/>
          <w:sz w:val="22"/>
          <w:szCs w:val="22"/>
          <w:lang w:eastAsia="en-AU"/>
        </w:rPr>
      </w:pPr>
      <w:hyperlink w:anchor="_Toc25074427" w:history="1">
        <w:r w:rsidRPr="00696E86">
          <w:rPr>
            <w:rStyle w:val="Hyperlink"/>
            <w:rFonts w:ascii="Arial" w:hAnsi="Arial" w:cs="Arial"/>
            <w:noProof/>
            <w:sz w:val="22"/>
            <w:szCs w:val="22"/>
          </w:rPr>
          <w:t>Looking to the future</w:t>
        </w:r>
        <w:r w:rsidRPr="00696E86">
          <w:rPr>
            <w:rFonts w:ascii="Arial" w:hAnsi="Arial" w:cs="Arial"/>
            <w:noProof/>
            <w:webHidden/>
            <w:sz w:val="22"/>
            <w:szCs w:val="22"/>
          </w:rPr>
          <w:tab/>
        </w:r>
        <w:r w:rsidRPr="00696E86">
          <w:rPr>
            <w:rFonts w:ascii="Arial" w:hAnsi="Arial" w:cs="Arial"/>
            <w:noProof/>
            <w:webHidden/>
            <w:sz w:val="22"/>
            <w:szCs w:val="22"/>
          </w:rPr>
          <w:fldChar w:fldCharType="begin"/>
        </w:r>
        <w:r w:rsidRPr="00696E86">
          <w:rPr>
            <w:rFonts w:ascii="Arial" w:hAnsi="Arial" w:cs="Arial"/>
            <w:noProof/>
            <w:webHidden/>
            <w:sz w:val="22"/>
            <w:szCs w:val="22"/>
          </w:rPr>
          <w:instrText xml:space="preserve"> PAGEREF _Toc25074427 \h </w:instrText>
        </w:r>
        <w:r w:rsidRPr="00696E86">
          <w:rPr>
            <w:rFonts w:ascii="Arial" w:hAnsi="Arial" w:cs="Arial"/>
            <w:noProof/>
            <w:webHidden/>
            <w:sz w:val="22"/>
            <w:szCs w:val="22"/>
          </w:rPr>
        </w:r>
        <w:r w:rsidRPr="00696E86">
          <w:rPr>
            <w:rFonts w:ascii="Arial" w:hAnsi="Arial" w:cs="Arial"/>
            <w:noProof/>
            <w:webHidden/>
            <w:sz w:val="22"/>
            <w:szCs w:val="22"/>
          </w:rPr>
          <w:fldChar w:fldCharType="separate"/>
        </w:r>
        <w:r w:rsidRPr="00696E86">
          <w:rPr>
            <w:rFonts w:ascii="Arial" w:hAnsi="Arial" w:cs="Arial"/>
            <w:noProof/>
            <w:webHidden/>
            <w:sz w:val="22"/>
            <w:szCs w:val="22"/>
          </w:rPr>
          <w:t>15</w:t>
        </w:r>
        <w:r w:rsidRPr="00696E86">
          <w:rPr>
            <w:rFonts w:ascii="Arial" w:hAnsi="Arial" w:cs="Arial"/>
            <w:noProof/>
            <w:webHidden/>
            <w:sz w:val="22"/>
            <w:szCs w:val="22"/>
          </w:rPr>
          <w:fldChar w:fldCharType="end"/>
        </w:r>
      </w:hyperlink>
    </w:p>
    <w:p w:rsidR="00696E86" w:rsidRPr="00696E86" w:rsidRDefault="00696E86">
      <w:pPr>
        <w:pStyle w:val="TOC2"/>
        <w:tabs>
          <w:tab w:val="right" w:leader="dot" w:pos="9016"/>
        </w:tabs>
        <w:rPr>
          <w:rFonts w:ascii="Arial" w:hAnsi="Arial" w:cs="Arial"/>
          <w:b w:val="0"/>
          <w:bCs w:val="0"/>
          <w:noProof/>
          <w:sz w:val="22"/>
          <w:szCs w:val="22"/>
          <w:lang w:eastAsia="en-AU"/>
        </w:rPr>
      </w:pPr>
      <w:hyperlink w:anchor="_Toc25074428" w:history="1">
        <w:r w:rsidRPr="00696E86">
          <w:rPr>
            <w:rStyle w:val="Hyperlink"/>
            <w:rFonts w:ascii="Arial" w:hAnsi="Arial" w:cs="Arial"/>
            <w:noProof/>
            <w:sz w:val="22"/>
            <w:szCs w:val="22"/>
          </w:rPr>
          <w:t>Next steps</w:t>
        </w:r>
        <w:r w:rsidRPr="00696E86">
          <w:rPr>
            <w:rFonts w:ascii="Arial" w:hAnsi="Arial" w:cs="Arial"/>
            <w:noProof/>
            <w:webHidden/>
            <w:sz w:val="22"/>
            <w:szCs w:val="22"/>
          </w:rPr>
          <w:tab/>
        </w:r>
        <w:r w:rsidRPr="00696E86">
          <w:rPr>
            <w:rFonts w:ascii="Arial" w:hAnsi="Arial" w:cs="Arial"/>
            <w:noProof/>
            <w:webHidden/>
            <w:sz w:val="22"/>
            <w:szCs w:val="22"/>
          </w:rPr>
          <w:fldChar w:fldCharType="begin"/>
        </w:r>
        <w:r w:rsidRPr="00696E86">
          <w:rPr>
            <w:rFonts w:ascii="Arial" w:hAnsi="Arial" w:cs="Arial"/>
            <w:noProof/>
            <w:webHidden/>
            <w:sz w:val="22"/>
            <w:szCs w:val="22"/>
          </w:rPr>
          <w:instrText xml:space="preserve"> PAGEREF _Toc25074428 \h </w:instrText>
        </w:r>
        <w:r w:rsidRPr="00696E86">
          <w:rPr>
            <w:rFonts w:ascii="Arial" w:hAnsi="Arial" w:cs="Arial"/>
            <w:noProof/>
            <w:webHidden/>
            <w:sz w:val="22"/>
            <w:szCs w:val="22"/>
          </w:rPr>
        </w:r>
        <w:r w:rsidRPr="00696E86">
          <w:rPr>
            <w:rFonts w:ascii="Arial" w:hAnsi="Arial" w:cs="Arial"/>
            <w:noProof/>
            <w:webHidden/>
            <w:sz w:val="22"/>
            <w:szCs w:val="22"/>
          </w:rPr>
          <w:fldChar w:fldCharType="separate"/>
        </w:r>
        <w:r w:rsidRPr="00696E86">
          <w:rPr>
            <w:rFonts w:ascii="Arial" w:hAnsi="Arial" w:cs="Arial"/>
            <w:noProof/>
            <w:webHidden/>
            <w:sz w:val="22"/>
            <w:szCs w:val="22"/>
          </w:rPr>
          <w:t>16</w:t>
        </w:r>
        <w:r w:rsidRPr="00696E86">
          <w:rPr>
            <w:rFonts w:ascii="Arial" w:hAnsi="Arial" w:cs="Arial"/>
            <w:noProof/>
            <w:webHidden/>
            <w:sz w:val="22"/>
            <w:szCs w:val="22"/>
          </w:rPr>
          <w:fldChar w:fldCharType="end"/>
        </w:r>
      </w:hyperlink>
    </w:p>
    <w:p w:rsidR="00696E86" w:rsidRPr="00696E86" w:rsidRDefault="00696E86">
      <w:pPr>
        <w:pStyle w:val="TOC2"/>
        <w:tabs>
          <w:tab w:val="right" w:leader="dot" w:pos="9016"/>
        </w:tabs>
        <w:rPr>
          <w:rFonts w:ascii="Arial" w:hAnsi="Arial" w:cs="Arial"/>
          <w:b w:val="0"/>
          <w:bCs w:val="0"/>
          <w:noProof/>
          <w:sz w:val="22"/>
          <w:szCs w:val="22"/>
          <w:lang w:eastAsia="en-AU"/>
        </w:rPr>
      </w:pPr>
      <w:hyperlink w:anchor="_Toc25074429" w:history="1">
        <w:r w:rsidRPr="00696E86">
          <w:rPr>
            <w:rStyle w:val="Hyperlink"/>
            <w:rFonts w:ascii="Arial" w:hAnsi="Arial" w:cs="Arial"/>
            <w:noProof/>
            <w:sz w:val="22"/>
            <w:szCs w:val="22"/>
          </w:rPr>
          <w:t>Frequently asked questions</w:t>
        </w:r>
        <w:r w:rsidRPr="00696E86">
          <w:rPr>
            <w:rFonts w:ascii="Arial" w:hAnsi="Arial" w:cs="Arial"/>
            <w:noProof/>
            <w:webHidden/>
            <w:sz w:val="22"/>
            <w:szCs w:val="22"/>
          </w:rPr>
          <w:tab/>
        </w:r>
        <w:r w:rsidRPr="00696E86">
          <w:rPr>
            <w:rFonts w:ascii="Arial" w:hAnsi="Arial" w:cs="Arial"/>
            <w:noProof/>
            <w:webHidden/>
            <w:sz w:val="22"/>
            <w:szCs w:val="22"/>
          </w:rPr>
          <w:fldChar w:fldCharType="begin"/>
        </w:r>
        <w:r w:rsidRPr="00696E86">
          <w:rPr>
            <w:rFonts w:ascii="Arial" w:hAnsi="Arial" w:cs="Arial"/>
            <w:noProof/>
            <w:webHidden/>
            <w:sz w:val="22"/>
            <w:szCs w:val="22"/>
          </w:rPr>
          <w:instrText xml:space="preserve"> PAGEREF _Toc25074429 \h </w:instrText>
        </w:r>
        <w:r w:rsidRPr="00696E86">
          <w:rPr>
            <w:rFonts w:ascii="Arial" w:hAnsi="Arial" w:cs="Arial"/>
            <w:noProof/>
            <w:webHidden/>
            <w:sz w:val="22"/>
            <w:szCs w:val="22"/>
          </w:rPr>
        </w:r>
        <w:r w:rsidRPr="00696E86">
          <w:rPr>
            <w:rFonts w:ascii="Arial" w:hAnsi="Arial" w:cs="Arial"/>
            <w:noProof/>
            <w:webHidden/>
            <w:sz w:val="22"/>
            <w:szCs w:val="22"/>
          </w:rPr>
          <w:fldChar w:fldCharType="separate"/>
        </w:r>
        <w:r w:rsidRPr="00696E86">
          <w:rPr>
            <w:rFonts w:ascii="Arial" w:hAnsi="Arial" w:cs="Arial"/>
            <w:noProof/>
            <w:webHidden/>
            <w:sz w:val="22"/>
            <w:szCs w:val="22"/>
          </w:rPr>
          <w:t>17</w:t>
        </w:r>
        <w:r w:rsidRPr="00696E86">
          <w:rPr>
            <w:rFonts w:ascii="Arial" w:hAnsi="Arial" w:cs="Arial"/>
            <w:noProof/>
            <w:webHidden/>
            <w:sz w:val="22"/>
            <w:szCs w:val="22"/>
          </w:rPr>
          <w:fldChar w:fldCharType="end"/>
        </w:r>
      </w:hyperlink>
    </w:p>
    <w:p w:rsidR="004D32B5" w:rsidRPr="00696E86" w:rsidRDefault="00391E48" w:rsidP="00391E48">
      <w:pPr>
        <w:pStyle w:val="TOC1"/>
        <w:tabs>
          <w:tab w:val="right" w:leader="dot" w:pos="9016"/>
        </w:tabs>
        <w:rPr>
          <w:rFonts w:ascii="Arial" w:hAnsi="Arial" w:cs="Arial"/>
          <w:sz w:val="22"/>
          <w:szCs w:val="22"/>
        </w:rPr>
      </w:pPr>
      <w:r w:rsidRPr="00696E86">
        <w:rPr>
          <w:rFonts w:ascii="Arial" w:hAnsi="Arial" w:cs="Arial"/>
          <w:sz w:val="22"/>
          <w:szCs w:val="22"/>
        </w:rPr>
        <w:fldChar w:fldCharType="end"/>
      </w:r>
      <w:r w:rsidR="004D32B5" w:rsidRPr="00696E86">
        <w:rPr>
          <w:rFonts w:ascii="Arial" w:hAnsi="Arial" w:cs="Arial"/>
          <w:sz w:val="22"/>
          <w:szCs w:val="22"/>
        </w:rPr>
        <w:br w:type="page"/>
      </w:r>
      <w:bookmarkStart w:id="18" w:name="_GoBack"/>
      <w:bookmarkEnd w:id="18"/>
    </w:p>
    <w:p w:rsidR="00391E48" w:rsidRPr="00391E48" w:rsidRDefault="00391E48" w:rsidP="00696E86">
      <w:pPr>
        <w:pStyle w:val="Heading2"/>
      </w:pPr>
      <w:bookmarkStart w:id="19" w:name="_Toc24468947"/>
      <w:bookmarkStart w:id="20" w:name="_Toc24537193"/>
      <w:bookmarkStart w:id="21" w:name="_Toc23370963"/>
      <w:bookmarkStart w:id="22" w:name="_Toc23372518"/>
      <w:bookmarkStart w:id="23" w:name="_Toc25074418"/>
      <w:r w:rsidRPr="00391E48">
        <w:lastRenderedPageBreak/>
        <w:t>Terms that we use</w:t>
      </w:r>
      <w:bookmarkEnd w:id="19"/>
      <w:bookmarkEnd w:id="20"/>
      <w:bookmarkEnd w:id="23"/>
    </w:p>
    <w:tbl>
      <w:tblPr>
        <w:tblStyle w:val="TableGrid"/>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3397"/>
        <w:gridCol w:w="5619"/>
      </w:tblGrid>
      <w:tr w:rsidR="00327487" w:rsidRPr="00391E48" w:rsidTr="007718DD">
        <w:trPr>
          <w:tblHeader/>
        </w:trPr>
        <w:tc>
          <w:tcPr>
            <w:tcW w:w="3397" w:type="dxa"/>
          </w:tcPr>
          <w:p w:rsidR="00327487" w:rsidRPr="00327487" w:rsidRDefault="00327487" w:rsidP="00391E48">
            <w:pPr>
              <w:spacing w:line="240" w:lineRule="auto"/>
              <w:rPr>
                <w:b/>
                <w:szCs w:val="22"/>
              </w:rPr>
            </w:pPr>
            <w:r w:rsidRPr="00327487">
              <w:rPr>
                <w:b/>
                <w:szCs w:val="22"/>
              </w:rPr>
              <w:t>Term</w:t>
            </w:r>
          </w:p>
        </w:tc>
        <w:tc>
          <w:tcPr>
            <w:tcW w:w="5619" w:type="dxa"/>
          </w:tcPr>
          <w:p w:rsidR="00327487" w:rsidRPr="00327487" w:rsidRDefault="00327487" w:rsidP="00391E48">
            <w:pPr>
              <w:spacing w:line="240" w:lineRule="auto"/>
              <w:rPr>
                <w:b/>
              </w:rPr>
            </w:pPr>
            <w:r w:rsidRPr="00327487">
              <w:rPr>
                <w:b/>
              </w:rPr>
              <w:t>Explanation</w:t>
            </w:r>
          </w:p>
        </w:tc>
      </w:tr>
      <w:tr w:rsidR="00391E48" w:rsidRPr="00391E48" w:rsidTr="007718DD">
        <w:tc>
          <w:tcPr>
            <w:tcW w:w="3397" w:type="dxa"/>
          </w:tcPr>
          <w:p w:rsidR="00391E48" w:rsidRPr="00391E48" w:rsidRDefault="00391E48" w:rsidP="00391E48">
            <w:pPr>
              <w:spacing w:after="200" w:line="240" w:lineRule="auto"/>
              <w:rPr>
                <w:szCs w:val="22"/>
              </w:rPr>
            </w:pPr>
            <w:r w:rsidRPr="00391E48">
              <w:rPr>
                <w:szCs w:val="22"/>
              </w:rPr>
              <w:t>Australian Disability Enterprise (ADE)</w:t>
            </w:r>
          </w:p>
        </w:tc>
        <w:tc>
          <w:tcPr>
            <w:tcW w:w="5619" w:type="dxa"/>
          </w:tcPr>
          <w:p w:rsidR="00391E48" w:rsidRPr="00391E48" w:rsidRDefault="00391E48" w:rsidP="00391E48">
            <w:pPr>
              <w:spacing w:after="200" w:line="240" w:lineRule="auto"/>
              <w:rPr>
                <w:szCs w:val="22"/>
              </w:rPr>
            </w:pPr>
            <w:r w:rsidRPr="00391E48">
              <w:t xml:space="preserve">ADEs are typically not-for-profit organisations that provide a wide range of employment opportunities to people with disability who require regular, ongoing and intensive supports in the workplace. ADEs predominantly employ people with disability. </w:t>
            </w:r>
            <w:r w:rsidR="00412AB9">
              <w:t>They were historically funded</w:t>
            </w:r>
            <w:r w:rsidRPr="00391E48">
              <w:t xml:space="preserve"> through the Disability Employment Assistance (DEA) program by the Department of Social Services (DSS).</w:t>
            </w:r>
          </w:p>
        </w:tc>
      </w:tr>
      <w:tr w:rsidR="002352C7" w:rsidRPr="00391E48" w:rsidTr="007718DD">
        <w:tc>
          <w:tcPr>
            <w:tcW w:w="3397" w:type="dxa"/>
          </w:tcPr>
          <w:p w:rsidR="002352C7" w:rsidRPr="00391E48" w:rsidRDefault="002352C7" w:rsidP="00391E48">
            <w:pPr>
              <w:spacing w:line="240" w:lineRule="auto"/>
              <w:rPr>
                <w:szCs w:val="22"/>
              </w:rPr>
            </w:pPr>
            <w:r>
              <w:rPr>
                <w:szCs w:val="22"/>
              </w:rPr>
              <w:t>C</w:t>
            </w:r>
            <w:r w:rsidR="00412AB9">
              <w:rPr>
                <w:szCs w:val="22"/>
              </w:rPr>
              <w:t>ase-B</w:t>
            </w:r>
            <w:r>
              <w:rPr>
                <w:szCs w:val="22"/>
              </w:rPr>
              <w:t>ased Funding (CBF)</w:t>
            </w:r>
          </w:p>
        </w:tc>
        <w:tc>
          <w:tcPr>
            <w:tcW w:w="5619" w:type="dxa"/>
          </w:tcPr>
          <w:p w:rsidR="002352C7" w:rsidRDefault="002352C7" w:rsidP="002352C7">
            <w:pPr>
              <w:spacing w:line="240" w:lineRule="auto"/>
            </w:pPr>
            <w:r>
              <w:t xml:space="preserve">CBF is the grants funding provided </w:t>
            </w:r>
            <w:r w:rsidR="00412AB9">
              <w:t xml:space="preserve">by the </w:t>
            </w:r>
            <w:r>
              <w:t xml:space="preserve">Commonwealth Government through the DEA program. This </w:t>
            </w:r>
            <w:r w:rsidR="00412AB9">
              <w:t>funding was administered by DSS</w:t>
            </w:r>
            <w:r>
              <w:t xml:space="preserve"> and has been mirrored by the NDIS during th</w:t>
            </w:r>
            <w:r w:rsidR="00412AB9">
              <w:t>e transition period. Under the Case-Based F</w:t>
            </w:r>
            <w:r>
              <w:t>undi</w:t>
            </w:r>
            <w:r w:rsidR="00412AB9">
              <w:t xml:space="preserve">ng model, </w:t>
            </w:r>
            <w:r>
              <w:t>ADE</w:t>
            </w:r>
            <w:r w:rsidR="00412AB9">
              <w:t>s are paid</w:t>
            </w:r>
            <w:r>
              <w:t xml:space="preserve"> for </w:t>
            </w:r>
            <w:r w:rsidR="00412AB9">
              <w:t>an agreed number of places at a level</w:t>
            </w:r>
            <w:r>
              <w:t xml:space="preserve"> </w:t>
            </w:r>
            <w:r w:rsidR="00412AB9">
              <w:t xml:space="preserve">that reflects each </w:t>
            </w:r>
            <w:r>
              <w:t>s</w:t>
            </w:r>
            <w:r w:rsidR="00412AB9">
              <w:t>upported employee's</w:t>
            </w:r>
            <w:r>
              <w:t xml:space="preserve"> assessed support needs. </w:t>
            </w:r>
          </w:p>
          <w:p w:rsidR="00763422" w:rsidRPr="00391E48" w:rsidRDefault="00763422" w:rsidP="002352C7">
            <w:pPr>
              <w:spacing w:line="240" w:lineRule="auto"/>
            </w:pPr>
          </w:p>
        </w:tc>
      </w:tr>
      <w:tr w:rsidR="00391E48" w:rsidRPr="00391E48" w:rsidTr="007718DD">
        <w:tc>
          <w:tcPr>
            <w:tcW w:w="3397" w:type="dxa"/>
          </w:tcPr>
          <w:p w:rsidR="00391E48" w:rsidRPr="00391E48" w:rsidRDefault="00391E48" w:rsidP="00391E48">
            <w:pPr>
              <w:spacing w:after="200" w:line="240" w:lineRule="auto"/>
              <w:rPr>
                <w:szCs w:val="22"/>
              </w:rPr>
            </w:pPr>
            <w:r w:rsidRPr="00391E48">
              <w:rPr>
                <w:szCs w:val="22"/>
              </w:rPr>
              <w:t>Disability Maintenance Instrument (DMI)</w:t>
            </w:r>
          </w:p>
        </w:tc>
        <w:tc>
          <w:tcPr>
            <w:tcW w:w="5619" w:type="dxa"/>
          </w:tcPr>
          <w:p w:rsidR="00391E48" w:rsidRPr="00391E48" w:rsidRDefault="00391E48" w:rsidP="00391E48">
            <w:pPr>
              <w:spacing w:after="200" w:line="240" w:lineRule="auto"/>
              <w:rPr>
                <w:szCs w:val="22"/>
              </w:rPr>
            </w:pPr>
            <w:r w:rsidRPr="00391E48">
              <w:rPr>
                <w:szCs w:val="22"/>
              </w:rPr>
              <w:t>The DMI is an assessment tool previously conducted by ADEs to determine the level of support that a supported employee needs in the workplace. It was used to determine the funding of s</w:t>
            </w:r>
            <w:r w:rsidR="00854C11">
              <w:rPr>
                <w:szCs w:val="22"/>
              </w:rPr>
              <w:t xml:space="preserve">upports under the DEA program. </w:t>
            </w:r>
            <w:r w:rsidR="002352C7">
              <w:t>It captures workplace assessments, preparation of employment assistance plans, training, supervision, physical assistance and personal care, amongst many othe</w:t>
            </w:r>
            <w:r w:rsidR="00412AB9">
              <w:t>r factors, to assess disability-</w:t>
            </w:r>
            <w:r w:rsidR="002352C7">
              <w:t>related employment support needs.</w:t>
            </w:r>
          </w:p>
        </w:tc>
      </w:tr>
      <w:tr w:rsidR="00391E48" w:rsidRPr="00391E48" w:rsidTr="007718DD">
        <w:tc>
          <w:tcPr>
            <w:tcW w:w="3397" w:type="dxa"/>
          </w:tcPr>
          <w:p w:rsidR="00391E48" w:rsidRPr="00391E48" w:rsidRDefault="00391E48" w:rsidP="00391E48">
            <w:pPr>
              <w:spacing w:after="200" w:line="240" w:lineRule="auto"/>
              <w:rPr>
                <w:szCs w:val="22"/>
              </w:rPr>
            </w:pPr>
            <w:r w:rsidRPr="00391E48">
              <w:rPr>
                <w:szCs w:val="22"/>
              </w:rPr>
              <w:t>Pricing Framework</w:t>
            </w:r>
          </w:p>
        </w:tc>
        <w:tc>
          <w:tcPr>
            <w:tcW w:w="5619" w:type="dxa"/>
          </w:tcPr>
          <w:p w:rsidR="00391E48" w:rsidRPr="00391E48" w:rsidRDefault="00763422" w:rsidP="00763422">
            <w:pPr>
              <w:spacing w:after="200" w:line="240" w:lineRule="auto"/>
              <w:rPr>
                <w:szCs w:val="22"/>
              </w:rPr>
            </w:pPr>
            <w:r>
              <w:rPr>
                <w:szCs w:val="22"/>
              </w:rPr>
              <w:t>Pricing framework r</w:t>
            </w:r>
            <w:r w:rsidR="00391E48" w:rsidRPr="00391E48">
              <w:rPr>
                <w:szCs w:val="22"/>
              </w:rPr>
              <w:t xml:space="preserve">efers to the Pricing Control Framework used by the </w:t>
            </w:r>
            <w:r>
              <w:rPr>
                <w:szCs w:val="22"/>
              </w:rPr>
              <w:t>NDIA</w:t>
            </w:r>
            <w:r w:rsidR="00391E48" w:rsidRPr="00391E48">
              <w:rPr>
                <w:szCs w:val="22"/>
              </w:rPr>
              <w:t xml:space="preserve">. Under the Framework, the </w:t>
            </w:r>
            <w:r>
              <w:rPr>
                <w:szCs w:val="22"/>
              </w:rPr>
              <w:t>NDIA</w:t>
            </w:r>
            <w:r w:rsidRPr="00391E48">
              <w:rPr>
                <w:szCs w:val="22"/>
              </w:rPr>
              <w:t xml:space="preserve"> </w:t>
            </w:r>
            <w:r w:rsidR="00391E48" w:rsidRPr="00391E48">
              <w:rPr>
                <w:szCs w:val="22"/>
              </w:rPr>
              <w:t>does not s</w:t>
            </w:r>
            <w:r w:rsidR="002A3C05">
              <w:rPr>
                <w:szCs w:val="22"/>
              </w:rPr>
              <w:t xml:space="preserve">et prices, it sets price caps. </w:t>
            </w:r>
            <w:r w:rsidR="00391E48" w:rsidRPr="00391E48">
              <w:rPr>
                <w:szCs w:val="22"/>
              </w:rPr>
              <w:t>Providers</w:t>
            </w:r>
            <w:r w:rsidR="00412AB9">
              <w:rPr>
                <w:szCs w:val="22"/>
              </w:rPr>
              <w:t>’</w:t>
            </w:r>
            <w:r w:rsidR="00391E48" w:rsidRPr="00391E48">
              <w:rPr>
                <w:szCs w:val="22"/>
              </w:rPr>
              <w:t xml:space="preserve"> charge to participants must not exceed the price limit for that su</w:t>
            </w:r>
            <w:r w:rsidR="002A3C05">
              <w:rPr>
                <w:szCs w:val="22"/>
              </w:rPr>
              <w:t xml:space="preserve">pport in the NDIS Price Guide. </w:t>
            </w:r>
            <w:r w:rsidR="00391E48" w:rsidRPr="00391E48">
              <w:rPr>
                <w:szCs w:val="22"/>
              </w:rPr>
              <w:t>Providers may choose to charge prices below these limits.</w:t>
            </w:r>
          </w:p>
        </w:tc>
      </w:tr>
    </w:tbl>
    <w:p w:rsidR="00391E48" w:rsidRDefault="00391E48" w:rsidP="00A36757">
      <w:pPr>
        <w:pStyle w:val="Heading2"/>
      </w:pPr>
    </w:p>
    <w:p w:rsidR="00391E48" w:rsidRDefault="00391E48">
      <w:pPr>
        <w:spacing w:line="276" w:lineRule="auto"/>
        <w:rPr>
          <w:rFonts w:eastAsiaTheme="majorEastAsia" w:cstheme="majorBidi"/>
          <w:b/>
          <w:bCs/>
          <w:color w:val="6A2875"/>
          <w:sz w:val="44"/>
          <w:szCs w:val="26"/>
        </w:rPr>
      </w:pPr>
      <w:r>
        <w:br w:type="page"/>
      </w:r>
    </w:p>
    <w:p w:rsidR="00A36757" w:rsidRDefault="00A36757" w:rsidP="00A36757">
      <w:pPr>
        <w:pStyle w:val="Heading2"/>
      </w:pPr>
      <w:bookmarkStart w:id="24" w:name="_Toc25074419"/>
      <w:r>
        <w:lastRenderedPageBreak/>
        <w:t>Introduction</w:t>
      </w:r>
      <w:bookmarkEnd w:id="21"/>
      <w:bookmarkEnd w:id="22"/>
      <w:bookmarkEnd w:id="24"/>
    </w:p>
    <w:p w:rsidR="00ED5378" w:rsidRDefault="00ED5378" w:rsidP="00ED5378">
      <w:r>
        <w:t>For Australians with disability, h</w:t>
      </w:r>
      <w:r w:rsidRPr="00A75255">
        <w:t>aving a job expands social networks, raises living standards, and increases financial independence and self-worth.</w:t>
      </w:r>
      <w:r>
        <w:t xml:space="preserve"> Our vision is that people with disabilities</w:t>
      </w:r>
      <w:r w:rsidR="00AA2FC8">
        <w:t xml:space="preserve"> </w:t>
      </w:r>
      <w:r w:rsidR="00CD0AFC">
        <w:t xml:space="preserve">are supported to reach their </w:t>
      </w:r>
      <w:r w:rsidR="00526B73">
        <w:t>employment</w:t>
      </w:r>
      <w:r w:rsidR="00F044E9">
        <w:t xml:space="preserve"> goals</w:t>
      </w:r>
      <w:r w:rsidR="00CD0AFC">
        <w:t xml:space="preserve"> and </w:t>
      </w:r>
      <w:r>
        <w:t xml:space="preserve">have the same confidence, skills and opportunities to work as </w:t>
      </w:r>
      <w:r w:rsidR="00AA2FC8">
        <w:t xml:space="preserve">all </w:t>
      </w:r>
      <w:r>
        <w:t>Australian</w:t>
      </w:r>
      <w:r w:rsidR="00AA2FC8">
        <w:t>s</w:t>
      </w:r>
      <w:r>
        <w:t>.</w:t>
      </w:r>
    </w:p>
    <w:p w:rsidR="00ED5378" w:rsidRDefault="00ED5378" w:rsidP="00ED5378">
      <w:pPr>
        <w:rPr>
          <w:szCs w:val="22"/>
        </w:rPr>
      </w:pPr>
      <w:r w:rsidRPr="008670FD">
        <w:rPr>
          <w:szCs w:val="22"/>
        </w:rPr>
        <w:t xml:space="preserve">Our focus at the National Disability Insurance Agency (NDIA) is to ensure </w:t>
      </w:r>
      <w:r w:rsidR="002F342F">
        <w:rPr>
          <w:szCs w:val="22"/>
        </w:rPr>
        <w:t xml:space="preserve">National Disability Insurance Scheme (NDIS) </w:t>
      </w:r>
      <w:r>
        <w:rPr>
          <w:szCs w:val="22"/>
        </w:rPr>
        <w:t xml:space="preserve">participants receive </w:t>
      </w:r>
      <w:r w:rsidRPr="008670FD">
        <w:rPr>
          <w:szCs w:val="22"/>
        </w:rPr>
        <w:t xml:space="preserve">the funding they need to continue their employment and have opportunities for personal development, including career progression. </w:t>
      </w:r>
    </w:p>
    <w:p w:rsidR="00D830B4" w:rsidRDefault="00526B73" w:rsidP="00D830B4">
      <w:r>
        <w:rPr>
          <w:szCs w:val="22"/>
        </w:rPr>
        <w:t xml:space="preserve">The NDIS is </w:t>
      </w:r>
      <w:r w:rsidR="002F342F">
        <w:rPr>
          <w:szCs w:val="22"/>
        </w:rPr>
        <w:t xml:space="preserve">responsible for </w:t>
      </w:r>
      <w:r w:rsidR="00D003FA">
        <w:rPr>
          <w:szCs w:val="22"/>
        </w:rPr>
        <w:t xml:space="preserve">funding </w:t>
      </w:r>
      <w:r w:rsidR="002F342F">
        <w:rPr>
          <w:szCs w:val="22"/>
        </w:rPr>
        <w:t xml:space="preserve">reasonable and necessary supports </w:t>
      </w:r>
      <w:r w:rsidR="00F044E9">
        <w:rPr>
          <w:szCs w:val="22"/>
        </w:rPr>
        <w:t xml:space="preserve">that </w:t>
      </w:r>
      <w:r w:rsidR="00763422">
        <w:rPr>
          <w:szCs w:val="22"/>
        </w:rPr>
        <w:t xml:space="preserve">a </w:t>
      </w:r>
      <w:r w:rsidR="00F044E9">
        <w:rPr>
          <w:szCs w:val="22"/>
        </w:rPr>
        <w:t>participant need</w:t>
      </w:r>
      <w:r w:rsidR="00763422">
        <w:rPr>
          <w:szCs w:val="22"/>
        </w:rPr>
        <w:t>s</w:t>
      </w:r>
      <w:r w:rsidR="002F342F">
        <w:rPr>
          <w:szCs w:val="22"/>
        </w:rPr>
        <w:t xml:space="preserve"> as a result of their disability, to participate in community, social, economic and daily life </w:t>
      </w:r>
      <w:r w:rsidR="00D50EC6">
        <w:rPr>
          <w:szCs w:val="22"/>
        </w:rPr>
        <w:t xml:space="preserve">activities </w:t>
      </w:r>
      <w:r w:rsidR="002F342F">
        <w:rPr>
          <w:szCs w:val="22"/>
        </w:rPr>
        <w:t xml:space="preserve">and </w:t>
      </w:r>
      <w:r w:rsidR="00D003FA">
        <w:rPr>
          <w:szCs w:val="22"/>
        </w:rPr>
        <w:t xml:space="preserve">to </w:t>
      </w:r>
      <w:r w:rsidR="002F342F">
        <w:rPr>
          <w:szCs w:val="22"/>
        </w:rPr>
        <w:t>achieve their goals. Practically, this means the NDIS funds people, not programs</w:t>
      </w:r>
      <w:r w:rsidR="00D50EC6">
        <w:rPr>
          <w:szCs w:val="22"/>
        </w:rPr>
        <w:t xml:space="preserve">. </w:t>
      </w:r>
      <w:r w:rsidR="0084530F">
        <w:rPr>
          <w:szCs w:val="22"/>
        </w:rPr>
        <w:t xml:space="preserve">As such, </w:t>
      </w:r>
      <w:r w:rsidR="00D830B4">
        <w:t xml:space="preserve">transitioning </w:t>
      </w:r>
      <w:r w:rsidR="00F044E9">
        <w:t>Case-Based Funding (</w:t>
      </w:r>
      <w:r w:rsidR="00746291">
        <w:t>CBF</w:t>
      </w:r>
      <w:r w:rsidR="00F044E9">
        <w:t>)</w:t>
      </w:r>
      <w:r w:rsidR="00746291">
        <w:t xml:space="preserve"> </w:t>
      </w:r>
      <w:r w:rsidR="00D830B4">
        <w:t>from the Department of Social Services (DSS) to the NDIS</w:t>
      </w:r>
      <w:r w:rsidR="00746291">
        <w:t xml:space="preserve"> requires </w:t>
      </w:r>
      <w:r w:rsidR="00D830B4">
        <w:t xml:space="preserve">a </w:t>
      </w:r>
      <w:r w:rsidR="00D830B4" w:rsidRPr="00307C07">
        <w:t>person-centred planning</w:t>
      </w:r>
      <w:r w:rsidR="00D830B4">
        <w:t xml:space="preserve"> approach</w:t>
      </w:r>
      <w:r w:rsidR="00763422">
        <w:t>. This approach is</w:t>
      </w:r>
      <w:r w:rsidR="00F044E9">
        <w:t xml:space="preserve"> </w:t>
      </w:r>
      <w:r w:rsidR="00D830B4" w:rsidRPr="00307C07">
        <w:t xml:space="preserve">defined </w:t>
      </w:r>
      <w:r w:rsidR="00D830B4">
        <w:t>by the</w:t>
      </w:r>
      <w:r w:rsidR="00F044E9">
        <w:t xml:space="preserve"> participant’s employment goals</w:t>
      </w:r>
      <w:r w:rsidR="00D830B4">
        <w:t xml:space="preserve"> and the intensity and frequency of s</w:t>
      </w:r>
      <w:r w:rsidR="00F044E9">
        <w:t>upport they require</w:t>
      </w:r>
      <w:r w:rsidR="00A02AA4">
        <w:t xml:space="preserve"> to achieve those goals</w:t>
      </w:r>
      <w:r w:rsidR="00763422">
        <w:t xml:space="preserve"> rather than </w:t>
      </w:r>
      <w:r w:rsidR="00763422" w:rsidRPr="00307C07">
        <w:t>th</w:t>
      </w:r>
      <w:r w:rsidR="00763422">
        <w:t>e nature of their workplace.</w:t>
      </w:r>
    </w:p>
    <w:p w:rsidR="00ED5378" w:rsidRDefault="00746291" w:rsidP="008553DA">
      <w:pPr>
        <w:rPr>
          <w:szCs w:val="22"/>
        </w:rPr>
      </w:pPr>
      <w:r>
        <w:rPr>
          <w:szCs w:val="22"/>
        </w:rPr>
        <w:t>On</w:t>
      </w:r>
      <w:r w:rsidR="00ED5378">
        <w:rPr>
          <w:szCs w:val="22"/>
        </w:rPr>
        <w:t xml:space="preserve"> </w:t>
      </w:r>
      <w:r w:rsidR="001173ED">
        <w:rPr>
          <w:szCs w:val="22"/>
        </w:rPr>
        <w:t>10 October 2019</w:t>
      </w:r>
      <w:r w:rsidR="00A14E01">
        <w:rPr>
          <w:szCs w:val="22"/>
        </w:rPr>
        <w:t>,</w:t>
      </w:r>
      <w:r w:rsidR="00ED5378">
        <w:rPr>
          <w:szCs w:val="22"/>
        </w:rPr>
        <w:t xml:space="preserve"> </w:t>
      </w:r>
      <w:r w:rsidR="0064589F">
        <w:rPr>
          <w:szCs w:val="22"/>
        </w:rPr>
        <w:t xml:space="preserve">the NDIA </w:t>
      </w:r>
      <w:r w:rsidR="00A02AA4">
        <w:rPr>
          <w:szCs w:val="22"/>
        </w:rPr>
        <w:t>announced</w:t>
      </w:r>
      <w:r w:rsidR="00ED5378">
        <w:rPr>
          <w:szCs w:val="22"/>
        </w:rPr>
        <w:t xml:space="preserve"> a new supported employment </w:t>
      </w:r>
      <w:r w:rsidR="004B6432">
        <w:rPr>
          <w:szCs w:val="22"/>
        </w:rPr>
        <w:t>pric</w:t>
      </w:r>
      <w:r w:rsidR="0064589F">
        <w:rPr>
          <w:szCs w:val="22"/>
        </w:rPr>
        <w:t xml:space="preserve">ing </w:t>
      </w:r>
      <w:r w:rsidR="004B6432">
        <w:rPr>
          <w:szCs w:val="22"/>
        </w:rPr>
        <w:t>framework</w:t>
      </w:r>
      <w:r w:rsidR="00ED5378">
        <w:rPr>
          <w:szCs w:val="22"/>
        </w:rPr>
        <w:t xml:space="preserve">, which will come into effect </w:t>
      </w:r>
      <w:r w:rsidR="00A02AA4">
        <w:rPr>
          <w:szCs w:val="22"/>
        </w:rPr>
        <w:t xml:space="preserve">in </w:t>
      </w:r>
      <w:r w:rsidR="00391E48">
        <w:rPr>
          <w:szCs w:val="22"/>
        </w:rPr>
        <w:t xml:space="preserve">July </w:t>
      </w:r>
      <w:r w:rsidR="00ED5378">
        <w:rPr>
          <w:szCs w:val="22"/>
        </w:rPr>
        <w:t>2020</w:t>
      </w:r>
      <w:r>
        <w:rPr>
          <w:szCs w:val="22"/>
        </w:rPr>
        <w:t xml:space="preserve">, when the transition of </w:t>
      </w:r>
      <w:r w:rsidR="00D003FA">
        <w:rPr>
          <w:szCs w:val="22"/>
        </w:rPr>
        <w:t xml:space="preserve">existing </w:t>
      </w:r>
      <w:r w:rsidR="00A02AA4">
        <w:rPr>
          <w:szCs w:val="22"/>
        </w:rPr>
        <w:t>supported employees</w:t>
      </w:r>
      <w:r w:rsidR="002A3C05">
        <w:rPr>
          <w:szCs w:val="22"/>
        </w:rPr>
        <w:t xml:space="preserve"> into the </w:t>
      </w:r>
      <w:r w:rsidR="00763422">
        <w:rPr>
          <w:szCs w:val="22"/>
        </w:rPr>
        <w:t>NDIS</w:t>
      </w:r>
      <w:r>
        <w:rPr>
          <w:szCs w:val="22"/>
        </w:rPr>
        <w:t xml:space="preserve"> is expected to be complete.</w:t>
      </w:r>
      <w:r w:rsidR="00D003FA" w:rsidRPr="00D003FA">
        <w:t xml:space="preserve"> </w:t>
      </w:r>
      <w:r w:rsidR="00FA14FE" w:rsidRPr="008553DA">
        <w:rPr>
          <w:szCs w:val="22"/>
        </w:rPr>
        <w:t>A</w:t>
      </w:r>
      <w:r w:rsidR="00FA14FE">
        <w:rPr>
          <w:szCs w:val="22"/>
        </w:rPr>
        <w:t xml:space="preserve">ustralian </w:t>
      </w:r>
      <w:r w:rsidR="00FA14FE" w:rsidRPr="008553DA">
        <w:rPr>
          <w:szCs w:val="22"/>
        </w:rPr>
        <w:t>D</w:t>
      </w:r>
      <w:r w:rsidR="00FA14FE">
        <w:rPr>
          <w:szCs w:val="22"/>
        </w:rPr>
        <w:t xml:space="preserve">isability </w:t>
      </w:r>
      <w:r w:rsidR="00FA14FE" w:rsidRPr="008553DA">
        <w:rPr>
          <w:szCs w:val="22"/>
        </w:rPr>
        <w:t>E</w:t>
      </w:r>
      <w:r w:rsidR="00FA14FE">
        <w:rPr>
          <w:szCs w:val="22"/>
        </w:rPr>
        <w:t>nterprise</w:t>
      </w:r>
      <w:r w:rsidR="00FA14FE" w:rsidRPr="008553DA">
        <w:rPr>
          <w:szCs w:val="22"/>
        </w:rPr>
        <w:t>s</w:t>
      </w:r>
      <w:r w:rsidR="00FA14FE">
        <w:rPr>
          <w:szCs w:val="22"/>
        </w:rPr>
        <w:t xml:space="preserve"> (</w:t>
      </w:r>
      <w:r w:rsidR="00D003FA">
        <w:t>ADEs</w:t>
      </w:r>
      <w:r w:rsidR="00FA14FE">
        <w:t>)</w:t>
      </w:r>
      <w:r w:rsidR="00D003FA">
        <w:t xml:space="preserve"> employ and provide supports to </w:t>
      </w:r>
      <w:r w:rsidR="00A02AA4">
        <w:t xml:space="preserve">more than </w:t>
      </w:r>
      <w:r w:rsidR="00D003FA">
        <w:t xml:space="preserve">20,000 NDIS participants. </w:t>
      </w:r>
    </w:p>
    <w:p w:rsidR="000A5517" w:rsidRDefault="000A5517" w:rsidP="000A5517">
      <w:r>
        <w:t xml:space="preserve">The new </w:t>
      </w:r>
      <w:r w:rsidR="004B6432">
        <w:t>pric</w:t>
      </w:r>
      <w:r w:rsidR="0064589F">
        <w:t>ing</w:t>
      </w:r>
      <w:r w:rsidR="004B6432">
        <w:t xml:space="preserve"> framework</w:t>
      </w:r>
      <w:r>
        <w:t xml:space="preserve"> introduces an hours</w:t>
      </w:r>
      <w:r w:rsidR="00AA2FC8">
        <w:t>-</w:t>
      </w:r>
      <w:r>
        <w:t>based</w:t>
      </w:r>
      <w:r w:rsidR="00AA2FC8">
        <w:t>,</w:t>
      </w:r>
      <w:r>
        <w:t xml:space="preserve"> per</w:t>
      </w:r>
      <w:r w:rsidR="00AA2FC8">
        <w:t>-</w:t>
      </w:r>
      <w:r>
        <w:t>participant model that</w:t>
      </w:r>
      <w:r w:rsidRPr="00A90E31">
        <w:t xml:space="preserve">: </w:t>
      </w:r>
    </w:p>
    <w:p w:rsidR="000A5517" w:rsidRPr="00A90E31" w:rsidRDefault="000A5517" w:rsidP="000A5517">
      <w:pPr>
        <w:pStyle w:val="ListParagraph"/>
        <w:numPr>
          <w:ilvl w:val="0"/>
          <w:numId w:val="28"/>
        </w:numPr>
        <w:spacing w:after="120" w:line="276" w:lineRule="auto"/>
      </w:pPr>
      <w:r>
        <w:t>reflects the</w:t>
      </w:r>
      <w:r w:rsidRPr="00A90E31">
        <w:t xml:space="preserve"> actual hours of support provided </w:t>
      </w:r>
      <w:r>
        <w:t xml:space="preserve">to the participant </w:t>
      </w:r>
      <w:r w:rsidR="00011214">
        <w:t>at work,</w:t>
      </w:r>
      <w:r>
        <w:t xml:space="preserve"> which may include non-face-to-face work time if appropriate</w:t>
      </w:r>
    </w:p>
    <w:p w:rsidR="000A5517" w:rsidRPr="00A90E31" w:rsidRDefault="000A5517" w:rsidP="000A5517">
      <w:pPr>
        <w:pStyle w:val="ListParagraph"/>
        <w:numPr>
          <w:ilvl w:val="0"/>
          <w:numId w:val="28"/>
        </w:numPr>
        <w:spacing w:after="120" w:line="276" w:lineRule="auto"/>
      </w:pPr>
      <w:r>
        <w:t>will vary</w:t>
      </w:r>
      <w:r w:rsidRPr="00A90E31">
        <w:t xml:space="preserve"> </w:t>
      </w:r>
      <w:r>
        <w:t xml:space="preserve">depending on the </w:t>
      </w:r>
      <w:r w:rsidR="00C53BD1">
        <w:t>intensity</w:t>
      </w:r>
      <w:r w:rsidRPr="00A90E31">
        <w:t xml:space="preserve"> of workplace support</w:t>
      </w:r>
      <w:r>
        <w:t xml:space="preserve"> a participant needs</w:t>
      </w:r>
      <w:r w:rsidR="008553DA">
        <w:t>.</w:t>
      </w:r>
      <w:r>
        <w:t xml:space="preserve"> </w:t>
      </w:r>
    </w:p>
    <w:p w:rsidR="000A5517" w:rsidRDefault="000A5517" w:rsidP="006A4ACA">
      <w:pPr>
        <w:rPr>
          <w:szCs w:val="22"/>
        </w:rPr>
      </w:pPr>
      <w:r>
        <w:rPr>
          <w:szCs w:val="22"/>
        </w:rPr>
        <w:t>T</w:t>
      </w:r>
      <w:r w:rsidRPr="008670FD">
        <w:rPr>
          <w:szCs w:val="22"/>
        </w:rPr>
        <w:t xml:space="preserve">he new pricing will inject significant additional funding for supported employment into </w:t>
      </w:r>
      <w:r w:rsidR="0064589F">
        <w:rPr>
          <w:szCs w:val="22"/>
        </w:rPr>
        <w:t xml:space="preserve">NDIS </w:t>
      </w:r>
      <w:r w:rsidRPr="008670FD">
        <w:rPr>
          <w:szCs w:val="22"/>
        </w:rPr>
        <w:t>participant plans</w:t>
      </w:r>
      <w:r>
        <w:rPr>
          <w:szCs w:val="22"/>
        </w:rPr>
        <w:t>,</w:t>
      </w:r>
      <w:r w:rsidRPr="008670FD">
        <w:rPr>
          <w:szCs w:val="22"/>
        </w:rPr>
        <w:t xml:space="preserve"> ensur</w:t>
      </w:r>
      <w:r>
        <w:rPr>
          <w:szCs w:val="22"/>
        </w:rPr>
        <w:t>ing</w:t>
      </w:r>
      <w:r w:rsidRPr="008670FD">
        <w:rPr>
          <w:szCs w:val="22"/>
        </w:rPr>
        <w:t xml:space="preserve"> participants have the funding available to purchase the hours and intensity of support they need to maintain work. </w:t>
      </w:r>
    </w:p>
    <w:p w:rsidR="006A4ACA" w:rsidRDefault="008E6515" w:rsidP="006A4ACA">
      <w:r w:rsidRPr="008553DA">
        <w:rPr>
          <w:szCs w:val="22"/>
        </w:rPr>
        <w:t xml:space="preserve">It will </w:t>
      </w:r>
      <w:r w:rsidR="000A5517">
        <w:rPr>
          <w:szCs w:val="22"/>
        </w:rPr>
        <w:t xml:space="preserve">also give </w:t>
      </w:r>
      <w:r w:rsidR="00FA14FE">
        <w:rPr>
          <w:szCs w:val="22"/>
        </w:rPr>
        <w:t>ADEs</w:t>
      </w:r>
      <w:r w:rsidR="006A4ACA" w:rsidRPr="008553DA">
        <w:rPr>
          <w:szCs w:val="22"/>
        </w:rPr>
        <w:t xml:space="preserve"> and other employment providers the freedom to innovate, expand and work flexibly with individuals to achieve their employment goals.</w:t>
      </w:r>
      <w:r w:rsidR="00A23302">
        <w:rPr>
          <w:szCs w:val="22"/>
        </w:rPr>
        <w:t xml:space="preserve"> </w:t>
      </w:r>
    </w:p>
    <w:p w:rsidR="00763422" w:rsidRDefault="00763422" w:rsidP="00711DF7">
      <w:pPr>
        <w:pStyle w:val="Heading3"/>
      </w:pPr>
    </w:p>
    <w:p w:rsidR="00763422" w:rsidRDefault="00763422">
      <w:pPr>
        <w:spacing w:line="276" w:lineRule="auto"/>
        <w:rPr>
          <w:b/>
          <w:color w:val="6A2875"/>
          <w:sz w:val="30"/>
          <w:szCs w:val="30"/>
        </w:rPr>
      </w:pPr>
      <w:r>
        <w:br w:type="page"/>
      </w:r>
    </w:p>
    <w:p w:rsidR="00711DF7" w:rsidRPr="00696E86" w:rsidRDefault="00711DF7" w:rsidP="00696E86">
      <w:pPr>
        <w:pStyle w:val="Heading2"/>
      </w:pPr>
      <w:bookmarkStart w:id="25" w:name="_Toc25074420"/>
      <w:r w:rsidRPr="00696E86">
        <w:lastRenderedPageBreak/>
        <w:t>Purpose of this paper</w:t>
      </w:r>
      <w:bookmarkEnd w:id="25"/>
    </w:p>
    <w:p w:rsidR="00CD0AFC" w:rsidRDefault="004B5264">
      <w:r>
        <w:t xml:space="preserve">This </w:t>
      </w:r>
      <w:r w:rsidR="00CD0AFC">
        <w:t xml:space="preserve">paper </w:t>
      </w:r>
      <w:r>
        <w:t xml:space="preserve">provides further information about how to interpret </w:t>
      </w:r>
      <w:r w:rsidR="00A544BA">
        <w:t>and apply the pricing framework</w:t>
      </w:r>
      <w:r>
        <w:t xml:space="preserve"> announced by the</w:t>
      </w:r>
      <w:r w:rsidR="00763422">
        <w:t xml:space="preserve"> NDIA</w:t>
      </w:r>
      <w:r>
        <w:t xml:space="preserve"> in O</w:t>
      </w:r>
      <w:r w:rsidR="00E25D16">
        <w:t>ctober. It also seeks advice</w:t>
      </w:r>
      <w:r w:rsidR="00D003FA">
        <w:t xml:space="preserve"> </w:t>
      </w:r>
      <w:r w:rsidR="00E25D16">
        <w:t>from the sector about</w:t>
      </w:r>
      <w:r w:rsidR="00C25295">
        <w:t xml:space="preserve"> how best to </w:t>
      </w:r>
      <w:r w:rsidR="00A544BA">
        <w:t>implem</w:t>
      </w:r>
      <w:r w:rsidR="00C25295">
        <w:t>ent</w:t>
      </w:r>
      <w:r w:rsidR="00A544BA">
        <w:t xml:space="preserve"> the framework. </w:t>
      </w:r>
    </w:p>
    <w:p w:rsidR="00711DF7" w:rsidRDefault="00E25D16">
      <w:pPr>
        <w:rPr>
          <w:szCs w:val="22"/>
        </w:rPr>
      </w:pPr>
      <w:r>
        <w:t>The NDIA want</w:t>
      </w:r>
      <w:r w:rsidR="00A544BA">
        <w:t>s to understand</w:t>
      </w:r>
      <w:r>
        <w:t xml:space="preserve"> the </w:t>
      </w:r>
      <w:r w:rsidR="00711DF7">
        <w:t xml:space="preserve">operational </w:t>
      </w:r>
      <w:r w:rsidR="00D003FA">
        <w:t xml:space="preserve">changes </w:t>
      </w:r>
      <w:r>
        <w:t>involved in</w:t>
      </w:r>
      <w:r w:rsidR="00CD0AFC">
        <w:t xml:space="preserve"> </w:t>
      </w:r>
      <w:r>
        <w:t>moving from annualised, program-</w:t>
      </w:r>
      <w:r w:rsidR="00CD0AFC">
        <w:t>based funding to individualis</w:t>
      </w:r>
      <w:r w:rsidR="00A544BA">
        <w:t>ed, participant-centred funding</w:t>
      </w:r>
      <w:r w:rsidR="00CD0AFC">
        <w:t xml:space="preserve"> under the NDIS</w:t>
      </w:r>
      <w:r w:rsidR="00A544BA">
        <w:t>. We want</w:t>
      </w:r>
      <w:r w:rsidR="00770343">
        <w:t xml:space="preserve"> to ensure that supported employees</w:t>
      </w:r>
      <w:r w:rsidR="00CD0AFC">
        <w:t xml:space="preserve"> continue to be supported to </w:t>
      </w:r>
      <w:r w:rsidR="00CD0AFC">
        <w:rPr>
          <w:szCs w:val="22"/>
        </w:rPr>
        <w:t>pursue their employment goals and enjoy the benefits and rewards of work.</w:t>
      </w:r>
    </w:p>
    <w:p w:rsidR="000A5517" w:rsidRDefault="000A5517">
      <w:pPr>
        <w:rPr>
          <w:szCs w:val="22"/>
        </w:rPr>
      </w:pPr>
      <w:r>
        <w:rPr>
          <w:szCs w:val="22"/>
        </w:rPr>
        <w:t>In this paper you will find</w:t>
      </w:r>
      <w:r w:rsidR="00481AF8">
        <w:rPr>
          <w:szCs w:val="22"/>
        </w:rPr>
        <w:t xml:space="preserve"> background information and</w:t>
      </w:r>
      <w:r w:rsidR="004B5264">
        <w:rPr>
          <w:szCs w:val="22"/>
        </w:rPr>
        <w:t xml:space="preserve"> </w:t>
      </w:r>
      <w:r>
        <w:rPr>
          <w:szCs w:val="22"/>
        </w:rPr>
        <w:t xml:space="preserve">detail on the </w:t>
      </w:r>
      <w:r w:rsidR="00481AF8">
        <w:rPr>
          <w:szCs w:val="22"/>
        </w:rPr>
        <w:t xml:space="preserve">pricing framework, including </w:t>
      </w:r>
      <w:r w:rsidR="00770343">
        <w:rPr>
          <w:szCs w:val="22"/>
        </w:rPr>
        <w:t>guidance</w:t>
      </w:r>
      <w:r w:rsidR="00746291">
        <w:rPr>
          <w:szCs w:val="22"/>
        </w:rPr>
        <w:t xml:space="preserve"> </w:t>
      </w:r>
      <w:r w:rsidR="00770343">
        <w:rPr>
          <w:szCs w:val="22"/>
        </w:rPr>
        <w:t xml:space="preserve">on </w:t>
      </w:r>
      <w:r w:rsidR="00746291">
        <w:rPr>
          <w:szCs w:val="22"/>
        </w:rPr>
        <w:t xml:space="preserve">the </w:t>
      </w:r>
      <w:r w:rsidR="00DB6D70">
        <w:rPr>
          <w:szCs w:val="22"/>
        </w:rPr>
        <w:t>application of</w:t>
      </w:r>
      <w:r>
        <w:rPr>
          <w:szCs w:val="22"/>
        </w:rPr>
        <w:t xml:space="preserve"> support ratios</w:t>
      </w:r>
      <w:r w:rsidR="001C61AE">
        <w:rPr>
          <w:szCs w:val="22"/>
        </w:rPr>
        <w:t xml:space="preserve"> </w:t>
      </w:r>
      <w:r>
        <w:rPr>
          <w:szCs w:val="22"/>
        </w:rPr>
        <w:t xml:space="preserve">and </w:t>
      </w:r>
      <w:r w:rsidR="00481AF8">
        <w:rPr>
          <w:szCs w:val="22"/>
        </w:rPr>
        <w:t xml:space="preserve">on </w:t>
      </w:r>
      <w:r>
        <w:rPr>
          <w:szCs w:val="22"/>
        </w:rPr>
        <w:t>how to claim</w:t>
      </w:r>
      <w:r w:rsidR="001C61AE">
        <w:rPr>
          <w:szCs w:val="22"/>
        </w:rPr>
        <w:t xml:space="preserve"> payments</w:t>
      </w:r>
      <w:r>
        <w:rPr>
          <w:szCs w:val="22"/>
        </w:rPr>
        <w:t xml:space="preserve">. </w:t>
      </w:r>
    </w:p>
    <w:p w:rsidR="00481AF8" w:rsidRDefault="00E25D16">
      <w:pPr>
        <w:rPr>
          <w:szCs w:val="22"/>
        </w:rPr>
      </w:pPr>
      <w:r>
        <w:rPr>
          <w:szCs w:val="22"/>
        </w:rPr>
        <w:t>We invite</w:t>
      </w:r>
      <w:r w:rsidR="00481AF8">
        <w:rPr>
          <w:szCs w:val="22"/>
        </w:rPr>
        <w:t xml:space="preserve"> input from the sector </w:t>
      </w:r>
      <w:r w:rsidR="00770343">
        <w:rPr>
          <w:szCs w:val="22"/>
        </w:rPr>
        <w:t>to inform</w:t>
      </w:r>
      <w:r w:rsidR="009545AA">
        <w:rPr>
          <w:szCs w:val="22"/>
        </w:rPr>
        <w:t xml:space="preserve"> the NDIA</w:t>
      </w:r>
      <w:r w:rsidR="00481014">
        <w:rPr>
          <w:szCs w:val="22"/>
        </w:rPr>
        <w:t>’s</w:t>
      </w:r>
      <w:r w:rsidR="009545AA">
        <w:rPr>
          <w:szCs w:val="22"/>
        </w:rPr>
        <w:t xml:space="preserve"> approach to</w:t>
      </w:r>
      <w:r w:rsidR="00481AF8">
        <w:rPr>
          <w:szCs w:val="22"/>
        </w:rPr>
        <w:t>:</w:t>
      </w:r>
    </w:p>
    <w:p w:rsidR="00481AF8" w:rsidRDefault="00481AF8" w:rsidP="005136A2">
      <w:pPr>
        <w:pStyle w:val="ListParagraph"/>
        <w:numPr>
          <w:ilvl w:val="0"/>
          <w:numId w:val="27"/>
        </w:numPr>
        <w:spacing w:after="120" w:line="276" w:lineRule="auto"/>
      </w:pPr>
      <w:r>
        <w:t>defining supports in the workplace</w:t>
      </w:r>
    </w:p>
    <w:p w:rsidR="009545AA" w:rsidRDefault="009545AA" w:rsidP="005136A2">
      <w:pPr>
        <w:pStyle w:val="ListParagraph"/>
        <w:numPr>
          <w:ilvl w:val="0"/>
          <w:numId w:val="27"/>
        </w:numPr>
        <w:spacing w:after="120" w:line="276" w:lineRule="auto"/>
      </w:pPr>
      <w:r>
        <w:t>defining a ‘support worker’ in the workplace</w:t>
      </w:r>
    </w:p>
    <w:p w:rsidR="009545AA" w:rsidRDefault="00AB682E" w:rsidP="005136A2">
      <w:pPr>
        <w:pStyle w:val="ListParagraph"/>
        <w:numPr>
          <w:ilvl w:val="0"/>
          <w:numId w:val="27"/>
        </w:numPr>
        <w:spacing w:after="120" w:line="276" w:lineRule="auto"/>
      </w:pPr>
      <w:r>
        <w:t>identifying</w:t>
      </w:r>
      <w:r w:rsidR="009545AA">
        <w:t xml:space="preserve"> </w:t>
      </w:r>
      <w:r>
        <w:t xml:space="preserve">the </w:t>
      </w:r>
      <w:r w:rsidR="009545AA">
        <w:t xml:space="preserve">types of </w:t>
      </w:r>
      <w:r w:rsidR="00E25D16">
        <w:t>disability-</w:t>
      </w:r>
      <w:r w:rsidR="00DB6D70">
        <w:t xml:space="preserve">related </w:t>
      </w:r>
      <w:r w:rsidR="009545AA">
        <w:t>activities undertaken as ‘non face-to-face</w:t>
      </w:r>
      <w:r w:rsidR="00E25D16">
        <w:t xml:space="preserve"> support</w:t>
      </w:r>
      <w:r w:rsidR="009545AA">
        <w:t>’ in the supported employment setting</w:t>
      </w:r>
    </w:p>
    <w:p w:rsidR="00727ADE" w:rsidRDefault="00AB682E">
      <w:pPr>
        <w:pStyle w:val="ListParagraph"/>
        <w:numPr>
          <w:ilvl w:val="0"/>
          <w:numId w:val="27"/>
        </w:numPr>
        <w:spacing w:after="120" w:line="276" w:lineRule="auto"/>
      </w:pPr>
      <w:r>
        <w:t>minimising unnecessary administrative burden on providers</w:t>
      </w:r>
      <w:r w:rsidR="00EA2608">
        <w:t>.</w:t>
      </w:r>
    </w:p>
    <w:p w:rsidR="00F80114" w:rsidRDefault="00E25D16" w:rsidP="00980B90">
      <w:pPr>
        <w:spacing w:after="120" w:line="276" w:lineRule="auto"/>
        <w:rPr>
          <w:szCs w:val="22"/>
        </w:rPr>
      </w:pPr>
      <w:r>
        <w:rPr>
          <w:szCs w:val="22"/>
        </w:rPr>
        <w:t xml:space="preserve">The paper </w:t>
      </w:r>
      <w:r w:rsidR="00680CBC" w:rsidRPr="00846559">
        <w:rPr>
          <w:szCs w:val="22"/>
        </w:rPr>
        <w:t>outlines the timeline</w:t>
      </w:r>
      <w:r w:rsidR="00770343">
        <w:rPr>
          <w:szCs w:val="22"/>
        </w:rPr>
        <w:t xml:space="preserve"> </w:t>
      </w:r>
      <w:r w:rsidR="00680CBC" w:rsidRPr="00846559">
        <w:rPr>
          <w:szCs w:val="22"/>
        </w:rPr>
        <w:t>for implementing the new</w:t>
      </w:r>
      <w:r w:rsidR="00770343">
        <w:rPr>
          <w:szCs w:val="22"/>
        </w:rPr>
        <w:t xml:space="preserve"> pricing framework. The timeline </w:t>
      </w:r>
      <w:r w:rsidR="00EA2608">
        <w:rPr>
          <w:szCs w:val="22"/>
        </w:rPr>
        <w:t xml:space="preserve">recognises </w:t>
      </w:r>
      <w:r w:rsidR="00680CBC" w:rsidRPr="00846559">
        <w:rPr>
          <w:szCs w:val="22"/>
        </w:rPr>
        <w:t>the new pricing framework is a significant change and th</w:t>
      </w:r>
      <w:r w:rsidR="00770343">
        <w:rPr>
          <w:szCs w:val="22"/>
        </w:rPr>
        <w:t>at some ADEs may need extended</w:t>
      </w:r>
      <w:r w:rsidR="00680CBC" w:rsidRPr="00846559">
        <w:rPr>
          <w:szCs w:val="22"/>
        </w:rPr>
        <w:t xml:space="preserve"> time to make adjustments to their business and support models.</w:t>
      </w:r>
      <w:r w:rsidR="00846559" w:rsidRPr="00846559">
        <w:t xml:space="preserve"> </w:t>
      </w:r>
      <w:r w:rsidR="00727ADE">
        <w:t xml:space="preserve">We are interested in hearing from ADEs about what would assist them in making a transition to the new pricing framework.  </w:t>
      </w:r>
    </w:p>
    <w:p w:rsidR="00F80114" w:rsidRDefault="00F80114" w:rsidP="00F80114">
      <w:pPr>
        <w:rPr>
          <w:szCs w:val="22"/>
        </w:rPr>
      </w:pPr>
      <w:r>
        <w:rPr>
          <w:szCs w:val="22"/>
        </w:rPr>
        <w:t>Providers and other interested stakeholders are invited to make written</w:t>
      </w:r>
      <w:r w:rsidR="00E25D16">
        <w:rPr>
          <w:szCs w:val="22"/>
        </w:rPr>
        <w:t xml:space="preserve"> submissions on the implementation approach</w:t>
      </w:r>
      <w:r>
        <w:rPr>
          <w:szCs w:val="22"/>
        </w:rPr>
        <w:t xml:space="preserve"> and </w:t>
      </w:r>
      <w:r w:rsidR="00E25D16">
        <w:rPr>
          <w:szCs w:val="22"/>
        </w:rPr>
        <w:t xml:space="preserve">to </w:t>
      </w:r>
      <w:r>
        <w:rPr>
          <w:szCs w:val="22"/>
        </w:rPr>
        <w:t xml:space="preserve">respond to any or all of the questions raised in this paper. </w:t>
      </w:r>
    </w:p>
    <w:p w:rsidR="00763422" w:rsidRDefault="00F80114" w:rsidP="005136A2">
      <w:pPr>
        <w:rPr>
          <w:szCs w:val="22"/>
        </w:rPr>
      </w:pPr>
      <w:r>
        <w:rPr>
          <w:szCs w:val="22"/>
        </w:rPr>
        <w:t>Submissions will be considered as the NDIA</w:t>
      </w:r>
      <w:r w:rsidR="006536AE">
        <w:rPr>
          <w:szCs w:val="22"/>
        </w:rPr>
        <w:t>, in partnership with DSS,</w:t>
      </w:r>
      <w:r>
        <w:rPr>
          <w:szCs w:val="22"/>
        </w:rPr>
        <w:t xml:space="preserve"> further develop</w:t>
      </w:r>
      <w:r w:rsidR="00E25D16">
        <w:rPr>
          <w:szCs w:val="22"/>
        </w:rPr>
        <w:t>s</w:t>
      </w:r>
      <w:r>
        <w:rPr>
          <w:szCs w:val="22"/>
        </w:rPr>
        <w:t xml:space="preserve"> and refine</w:t>
      </w:r>
      <w:r w:rsidR="00E25D16">
        <w:rPr>
          <w:szCs w:val="22"/>
        </w:rPr>
        <w:t>s its approach to implementing the NDIS in the supported employment sector</w:t>
      </w:r>
      <w:r>
        <w:rPr>
          <w:szCs w:val="22"/>
        </w:rPr>
        <w:t xml:space="preserve">. </w:t>
      </w:r>
    </w:p>
    <w:p w:rsidR="00CC7638" w:rsidRDefault="00763422" w:rsidP="005136A2">
      <w:pPr>
        <w:rPr>
          <w:rFonts w:eastAsiaTheme="majorEastAsia" w:cstheme="majorBidi"/>
          <w:b/>
          <w:bCs/>
          <w:color w:val="6A2875"/>
          <w:sz w:val="44"/>
          <w:szCs w:val="26"/>
        </w:rPr>
      </w:pPr>
      <w:r>
        <w:rPr>
          <w:szCs w:val="22"/>
        </w:rPr>
        <w:t>Written s</w:t>
      </w:r>
      <w:r w:rsidR="00F80114">
        <w:rPr>
          <w:szCs w:val="22"/>
        </w:rPr>
        <w:t xml:space="preserve">ubmissions </w:t>
      </w:r>
      <w:r>
        <w:rPr>
          <w:szCs w:val="22"/>
        </w:rPr>
        <w:t>should be made via</w:t>
      </w:r>
      <w:r w:rsidR="00F80114">
        <w:rPr>
          <w:szCs w:val="22"/>
        </w:rPr>
        <w:t xml:space="preserve"> </w:t>
      </w:r>
      <w:r w:rsidR="00CC7638">
        <w:rPr>
          <w:szCs w:val="22"/>
        </w:rPr>
        <w:t xml:space="preserve">email to </w:t>
      </w:r>
      <w:hyperlink r:id="rId12" w:history="1">
        <w:r w:rsidR="00CC7638" w:rsidRPr="001F4ABF">
          <w:rPr>
            <w:rStyle w:val="Hyperlink"/>
            <w:szCs w:val="22"/>
          </w:rPr>
          <w:t>participant.employment@ndis.gov.au</w:t>
        </w:r>
      </w:hyperlink>
      <w:r w:rsidR="00CC7638">
        <w:rPr>
          <w:szCs w:val="22"/>
        </w:rPr>
        <w:t xml:space="preserve"> by </w:t>
      </w:r>
      <w:r w:rsidR="00CC7638" w:rsidRPr="005136A2">
        <w:rPr>
          <w:b/>
          <w:szCs w:val="22"/>
        </w:rPr>
        <w:t>5pm Friday 20 December 2019</w:t>
      </w:r>
      <w:r w:rsidR="00CC7638">
        <w:rPr>
          <w:szCs w:val="22"/>
        </w:rPr>
        <w:t xml:space="preserve">.  </w:t>
      </w:r>
      <w:bookmarkStart w:id="26" w:name="_Toc23372519"/>
      <w:r w:rsidR="00CC7638">
        <w:br w:type="page"/>
      </w:r>
    </w:p>
    <w:p w:rsidR="00351EA6" w:rsidRDefault="000A5517" w:rsidP="008553DA">
      <w:pPr>
        <w:pStyle w:val="Heading2"/>
      </w:pPr>
      <w:bookmarkStart w:id="27" w:name="_Toc25074421"/>
      <w:r>
        <w:lastRenderedPageBreak/>
        <w:t xml:space="preserve">About </w:t>
      </w:r>
      <w:r w:rsidRPr="00EC053E">
        <w:t>supported</w:t>
      </w:r>
      <w:r>
        <w:t xml:space="preserve"> employment</w:t>
      </w:r>
      <w:bookmarkEnd w:id="26"/>
      <w:bookmarkEnd w:id="27"/>
    </w:p>
    <w:p w:rsidR="00236B20" w:rsidRPr="00281BC7" w:rsidRDefault="00236B20" w:rsidP="00236B20">
      <w:r>
        <w:t xml:space="preserve">Under the </w:t>
      </w:r>
      <w:r w:rsidRPr="00CC7638">
        <w:rPr>
          <w:i/>
        </w:rPr>
        <w:t>N</w:t>
      </w:r>
      <w:r>
        <w:rPr>
          <w:i/>
        </w:rPr>
        <w:t xml:space="preserve">ational </w:t>
      </w:r>
      <w:r w:rsidRPr="00CC7638">
        <w:rPr>
          <w:i/>
        </w:rPr>
        <w:t>D</w:t>
      </w:r>
      <w:r>
        <w:rPr>
          <w:i/>
        </w:rPr>
        <w:t xml:space="preserve">isability </w:t>
      </w:r>
      <w:r w:rsidRPr="00CC7638">
        <w:rPr>
          <w:i/>
        </w:rPr>
        <w:t>I</w:t>
      </w:r>
      <w:r>
        <w:rPr>
          <w:i/>
        </w:rPr>
        <w:t xml:space="preserve">nsurance </w:t>
      </w:r>
      <w:r w:rsidRPr="00CC7638">
        <w:rPr>
          <w:i/>
        </w:rPr>
        <w:t>S</w:t>
      </w:r>
      <w:r>
        <w:rPr>
          <w:i/>
        </w:rPr>
        <w:t>cheme</w:t>
      </w:r>
      <w:r w:rsidRPr="00CC7638">
        <w:rPr>
          <w:i/>
        </w:rPr>
        <w:t xml:space="preserve"> [Supports for Participants] Rules 2013</w:t>
      </w:r>
      <w:r>
        <w:t xml:space="preserve"> the NDIS is responsible for employment supports including “frequent and ongoing supports that assist a person with disability to take part in work where the person has work capacity and is unlikely to be able to find or retain work in the open market, including with the assistance of employment services”.</w:t>
      </w:r>
    </w:p>
    <w:p w:rsidR="00236B20" w:rsidRDefault="00236B20" w:rsidP="00236B20">
      <w:r>
        <w:t>In the context of the NDIS, supported employment is a subset of funded employment supports that participants can purchase if they</w:t>
      </w:r>
      <w:r w:rsidRPr="0075411F">
        <w:t xml:space="preserve"> need higher intensity or more frequent </w:t>
      </w:r>
      <w:r>
        <w:t xml:space="preserve">on-the-job </w:t>
      </w:r>
      <w:r w:rsidRPr="0075411F">
        <w:t xml:space="preserve">supports to </w:t>
      </w:r>
      <w:r>
        <w:t>pursue their employment goals. Generally, these suppo</w:t>
      </w:r>
      <w:r w:rsidR="008D53A9">
        <w:t>rts are greater than those</w:t>
      </w:r>
      <w:r>
        <w:t xml:space="preserve"> provided by an employer</w:t>
      </w:r>
      <w:r w:rsidR="008D53A9">
        <w:t xml:space="preserve"> through reasonable adjustments or by</w:t>
      </w:r>
      <w:r w:rsidR="00A86D9D">
        <w:t xml:space="preserve"> </w:t>
      </w:r>
      <w:r>
        <w:t xml:space="preserve">Disability </w:t>
      </w:r>
      <w:r w:rsidR="00A86D9D">
        <w:t>Employment Services (DES)</w:t>
      </w:r>
      <w:r>
        <w:t>.</w:t>
      </w:r>
    </w:p>
    <w:p w:rsidR="00A86D9D" w:rsidRPr="000D1286" w:rsidRDefault="00236B20" w:rsidP="00327487">
      <w:pPr>
        <w:rPr>
          <w:b/>
        </w:rPr>
      </w:pPr>
      <w:r w:rsidRPr="000D1286">
        <w:t>Because the NDIS puts participant c</w:t>
      </w:r>
      <w:r w:rsidR="00A86D9D" w:rsidRPr="000D1286">
        <w:t>hoice at the centre of decision-making</w:t>
      </w:r>
      <w:r w:rsidRPr="000D1286">
        <w:t xml:space="preserve">, </w:t>
      </w:r>
      <w:r w:rsidR="00A86D9D" w:rsidRPr="000D1286">
        <w:t>participants have choice about the provider of supports</w:t>
      </w:r>
      <w:r w:rsidR="00846559" w:rsidRPr="000D1286">
        <w:t xml:space="preserve"> and the </w:t>
      </w:r>
      <w:r w:rsidR="00A86D9D" w:rsidRPr="000D1286">
        <w:t>employment setting in which supports</w:t>
      </w:r>
      <w:r w:rsidR="00846559" w:rsidRPr="000D1286">
        <w:t xml:space="preserve"> are delivered. </w:t>
      </w:r>
    </w:p>
    <w:p w:rsidR="008146A3" w:rsidRPr="00327487" w:rsidRDefault="008146A3" w:rsidP="00327487">
      <w:pPr>
        <w:pStyle w:val="Heading4"/>
      </w:pPr>
      <w:bookmarkStart w:id="28" w:name="_Toc23370965"/>
      <w:r w:rsidRPr="00327487">
        <w:t xml:space="preserve">Figure 1. </w:t>
      </w:r>
      <w:bookmarkEnd w:id="28"/>
      <w:r w:rsidR="001173ED" w:rsidRPr="00327487">
        <w:t>NDIS funded employment support categories</w:t>
      </w:r>
    </w:p>
    <w:p w:rsidR="008146A3" w:rsidRDefault="008146A3" w:rsidP="00E90617">
      <w:pPr>
        <w:jc w:val="center"/>
      </w:pPr>
      <w:r>
        <w:rPr>
          <w:noProof/>
          <w:lang w:eastAsia="en-AU"/>
        </w:rPr>
        <w:drawing>
          <wp:inline distT="0" distB="0" distL="0" distR="0" wp14:anchorId="22A5D654" wp14:editId="4F1C1FE5">
            <wp:extent cx="4463143" cy="1817914"/>
            <wp:effectExtent l="0" t="0" r="147320" b="125730"/>
            <wp:docPr id="2" name="Diagram 2" descr="Individual or group based assistance; employment related assessment and counselling; School Leaver Employment Supports; and supported employment." title="NDIS employment support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36B20" w:rsidRPr="00236B20" w:rsidRDefault="00236B20" w:rsidP="00236B20">
      <w:r w:rsidRPr="00236B20">
        <w:t>S</w:t>
      </w:r>
      <w:r w:rsidR="00A86D9D">
        <w:t>upported employment supports can</w:t>
      </w:r>
      <w:r w:rsidRPr="00236B20">
        <w:t xml:space="preserve"> include, for example: </w:t>
      </w:r>
    </w:p>
    <w:p w:rsidR="00236B20" w:rsidRPr="00236B20" w:rsidRDefault="00236B20" w:rsidP="00236B20">
      <w:pPr>
        <w:numPr>
          <w:ilvl w:val="0"/>
          <w:numId w:val="27"/>
        </w:numPr>
        <w:spacing w:after="120" w:line="276" w:lineRule="auto"/>
        <w:contextualSpacing/>
      </w:pPr>
      <w:r w:rsidRPr="00236B20">
        <w:t xml:space="preserve">assessments related to the </w:t>
      </w:r>
      <w:r w:rsidR="00A86D9D">
        <w:t xml:space="preserve">work </w:t>
      </w:r>
      <w:r w:rsidRPr="00236B20">
        <w:t xml:space="preserve">impact </w:t>
      </w:r>
      <w:r w:rsidR="00A86D9D">
        <w:t>of a person’s disability</w:t>
      </w:r>
    </w:p>
    <w:p w:rsidR="00236B20" w:rsidRPr="00236B20" w:rsidRDefault="00A86D9D" w:rsidP="00236B20">
      <w:pPr>
        <w:numPr>
          <w:ilvl w:val="0"/>
          <w:numId w:val="27"/>
        </w:numPr>
        <w:spacing w:after="120" w:line="276" w:lineRule="auto"/>
        <w:contextualSpacing/>
      </w:pPr>
      <w:r>
        <w:t>job customisation</w:t>
      </w:r>
    </w:p>
    <w:p w:rsidR="00236B20" w:rsidRPr="00236B20" w:rsidRDefault="00236B20" w:rsidP="00236B20">
      <w:pPr>
        <w:numPr>
          <w:ilvl w:val="0"/>
          <w:numId w:val="27"/>
        </w:numPr>
        <w:spacing w:after="120" w:line="276" w:lineRule="auto"/>
        <w:contextualSpacing/>
      </w:pPr>
      <w:r w:rsidRPr="00236B20">
        <w:t>on-the-job training and support with daily work tasks</w:t>
      </w:r>
    </w:p>
    <w:p w:rsidR="00236B20" w:rsidRPr="00236B20" w:rsidRDefault="00236B20" w:rsidP="00236B20">
      <w:pPr>
        <w:numPr>
          <w:ilvl w:val="0"/>
          <w:numId w:val="27"/>
        </w:numPr>
        <w:spacing w:after="120" w:line="276" w:lineRule="auto"/>
        <w:contextualSpacing/>
      </w:pPr>
      <w:r w:rsidRPr="00236B20">
        <w:t>direct supervision and/or group-based support to enable meaningful participation at work</w:t>
      </w:r>
    </w:p>
    <w:p w:rsidR="00236B20" w:rsidRPr="00236B20" w:rsidRDefault="00236B20" w:rsidP="00236B20">
      <w:pPr>
        <w:numPr>
          <w:ilvl w:val="0"/>
          <w:numId w:val="27"/>
        </w:numPr>
        <w:spacing w:after="120" w:line="276" w:lineRule="auto"/>
        <w:contextualSpacing/>
      </w:pPr>
      <w:r w:rsidRPr="00236B20">
        <w:t>physical assistance and personal care delivered in the workplace</w:t>
      </w:r>
    </w:p>
    <w:p w:rsidR="00236B20" w:rsidRPr="00236B20" w:rsidRDefault="00A86D9D" w:rsidP="00236B20">
      <w:pPr>
        <w:numPr>
          <w:ilvl w:val="0"/>
          <w:numId w:val="27"/>
        </w:numPr>
        <w:spacing w:after="120" w:line="276" w:lineRule="auto"/>
        <w:contextualSpacing/>
      </w:pPr>
      <w:r>
        <w:t>supports to manage disability-</w:t>
      </w:r>
      <w:r w:rsidR="00236B20" w:rsidRPr="00236B20">
        <w:t xml:space="preserve">related behaviour or complex needs at work </w:t>
      </w:r>
    </w:p>
    <w:p w:rsidR="00236B20" w:rsidRPr="00236B20" w:rsidRDefault="00236B20" w:rsidP="00236B20">
      <w:pPr>
        <w:numPr>
          <w:ilvl w:val="0"/>
          <w:numId w:val="27"/>
        </w:numPr>
        <w:spacing w:after="120" w:line="276" w:lineRule="auto"/>
        <w:contextualSpacing/>
      </w:pPr>
      <w:r w:rsidRPr="00236B20">
        <w:t>non face-to-face activities that are directly related to supporting a participant</w:t>
      </w:r>
      <w:r w:rsidR="00A86D9D">
        <w:t>’</w:t>
      </w:r>
      <w:r w:rsidRPr="00236B20">
        <w:t>s employment</w:t>
      </w:r>
      <w:r w:rsidR="00CA7A24">
        <w:t>.</w:t>
      </w:r>
    </w:p>
    <w:p w:rsidR="00247069" w:rsidRDefault="00247069" w:rsidP="005136A2">
      <w:pPr>
        <w:pStyle w:val="ListParagraph"/>
        <w:spacing w:after="120" w:line="276" w:lineRule="auto"/>
      </w:pPr>
    </w:p>
    <w:tbl>
      <w:tblPr>
        <w:tblStyle w:val="TableGrid"/>
        <w:tblW w:w="9121" w:type="dxa"/>
        <w:tblLook w:val="04A0" w:firstRow="1" w:lastRow="0" w:firstColumn="1" w:lastColumn="0" w:noHBand="0" w:noVBand="1"/>
        <w:tblCaption w:val="Questions"/>
        <w:tblDescription w:val="1. How do ADEs currently define supports in the workplace? Do they provide disability supports that are not captured in the list above?&#10;2. What activities do ADEs currently undertake that would count as non-face-to-face disability support?&#10;"/>
      </w:tblPr>
      <w:tblGrid>
        <w:gridCol w:w="9121"/>
      </w:tblGrid>
      <w:tr w:rsidR="00247069" w:rsidTr="00632067">
        <w:trPr>
          <w:trHeight w:val="416"/>
          <w:tblHeader/>
        </w:trPr>
        <w:tc>
          <w:tcPr>
            <w:tcW w:w="9121" w:type="dxa"/>
            <w:tcBorders>
              <w:bottom w:val="nil"/>
            </w:tcBorders>
            <w:shd w:val="clear" w:color="auto" w:fill="E5DFEC" w:themeFill="accent4" w:themeFillTint="33"/>
          </w:tcPr>
          <w:p w:rsidR="0034108D" w:rsidRPr="007718DD" w:rsidRDefault="00247069" w:rsidP="007718DD">
            <w:pPr>
              <w:pStyle w:val="Heading4"/>
              <w:outlineLvl w:val="3"/>
            </w:pPr>
            <w:r w:rsidRPr="001205AC">
              <w:lastRenderedPageBreak/>
              <w:t>Question</w:t>
            </w:r>
            <w:r>
              <w:t>s</w:t>
            </w:r>
          </w:p>
        </w:tc>
      </w:tr>
      <w:tr w:rsidR="007718DD" w:rsidTr="00632067">
        <w:trPr>
          <w:trHeight w:val="1436"/>
          <w:tblHeader/>
        </w:trPr>
        <w:tc>
          <w:tcPr>
            <w:tcW w:w="9121" w:type="dxa"/>
            <w:tcBorders>
              <w:top w:val="nil"/>
            </w:tcBorders>
            <w:shd w:val="clear" w:color="auto" w:fill="E5DFEC" w:themeFill="accent4" w:themeFillTint="33"/>
          </w:tcPr>
          <w:p w:rsidR="007718DD" w:rsidRDefault="007718DD" w:rsidP="007718DD">
            <w:pPr>
              <w:pStyle w:val="ListParagraph"/>
              <w:numPr>
                <w:ilvl w:val="0"/>
                <w:numId w:val="42"/>
              </w:numPr>
            </w:pPr>
            <w:r>
              <w:t>How do ADEs currently define supports in the workplace? Do they provide disability supports that are not captured in the list above?</w:t>
            </w:r>
          </w:p>
          <w:p w:rsidR="007718DD" w:rsidRPr="007718DD" w:rsidRDefault="007718DD" w:rsidP="007718DD">
            <w:pPr>
              <w:pStyle w:val="ListParagraph"/>
              <w:numPr>
                <w:ilvl w:val="0"/>
                <w:numId w:val="42"/>
              </w:numPr>
              <w:spacing w:line="240" w:lineRule="auto"/>
              <w:contextualSpacing w:val="0"/>
              <w:rPr>
                <w:rFonts w:ascii="Calibri" w:eastAsiaTheme="minorHAnsi" w:hAnsi="Calibri"/>
                <w:szCs w:val="22"/>
                <w:lang w:eastAsia="en-US"/>
              </w:rPr>
            </w:pPr>
            <w:r>
              <w:t>What activities do ADEs currently undertake that would count as non-face-to-face disability support?</w:t>
            </w:r>
          </w:p>
        </w:tc>
      </w:tr>
    </w:tbl>
    <w:p w:rsidR="001B066A" w:rsidRDefault="001B066A" w:rsidP="00BA7B84"/>
    <w:p w:rsidR="00BA7B84" w:rsidRDefault="00BA7B84" w:rsidP="00BA7B84">
      <w:r>
        <w:t>To</w:t>
      </w:r>
      <w:r w:rsidR="00AA2FC8">
        <w:t xml:space="preserve"> </w:t>
      </w:r>
      <w:r>
        <w:t xml:space="preserve">date, </w:t>
      </w:r>
      <w:r w:rsidR="00CC7638">
        <w:t xml:space="preserve">NDIS </w:t>
      </w:r>
      <w:r>
        <w:t>funding for supported employees has been determined in two ways:</w:t>
      </w:r>
    </w:p>
    <w:p w:rsidR="00BA7B84" w:rsidRDefault="00BA7B84" w:rsidP="00BA7B84">
      <w:pPr>
        <w:pStyle w:val="ListParagraph"/>
        <w:numPr>
          <w:ilvl w:val="0"/>
          <w:numId w:val="29"/>
        </w:numPr>
        <w:spacing w:after="120" w:line="276" w:lineRule="auto"/>
      </w:pPr>
      <w:r>
        <w:t xml:space="preserve">Supported employees transitioning to the NDIS have been assessed for one of four levels of funding. The levels are determined by an assessment tool called the Disability Maintenance Instrument (DMI) </w:t>
      </w:r>
    </w:p>
    <w:p w:rsidR="00BA7B84" w:rsidRDefault="00BA7B84" w:rsidP="00BA7B84">
      <w:pPr>
        <w:pStyle w:val="ListParagraph"/>
        <w:numPr>
          <w:ilvl w:val="0"/>
          <w:numId w:val="29"/>
        </w:numPr>
        <w:spacing w:after="120" w:line="276" w:lineRule="auto"/>
      </w:pPr>
      <w:r>
        <w:t xml:space="preserve">New supported employees who have entered an ADE after NDIS transition have attracted the ‘average outlet price’ determined for the site at which they work. </w:t>
      </w:r>
    </w:p>
    <w:p w:rsidR="00BA7B84" w:rsidRDefault="00BA7B84" w:rsidP="00446D6C">
      <w:r>
        <w:t>Th</w:t>
      </w:r>
      <w:r w:rsidR="005B7FEF">
        <w:t>e NDIA is introducing a</w:t>
      </w:r>
      <w:r w:rsidR="00AA2FC8">
        <w:t xml:space="preserve"> new pricing framework to better align supported employment</w:t>
      </w:r>
      <w:r>
        <w:t xml:space="preserve"> funding with the NDIS individualised planning principles</w:t>
      </w:r>
      <w:r w:rsidR="00AA2FC8">
        <w:t>, by</w:t>
      </w:r>
      <w:r>
        <w:t xml:space="preserve"> tak</w:t>
      </w:r>
      <w:r w:rsidR="00AA2FC8">
        <w:t>ing</w:t>
      </w:r>
      <w:r>
        <w:t xml:space="preserve"> into account the number of hours a participant works </w:t>
      </w:r>
      <w:r w:rsidR="00AA2FC8">
        <w:t>and</w:t>
      </w:r>
      <w:r>
        <w:t xml:space="preserve"> the </w:t>
      </w:r>
      <w:r w:rsidR="001C443E">
        <w:t xml:space="preserve">intensity </w:t>
      </w:r>
      <w:r>
        <w:t>of support they require</w:t>
      </w:r>
      <w:r w:rsidR="00AA2FC8">
        <w:t xml:space="preserve">. We </w:t>
      </w:r>
      <w:r w:rsidR="00F46901">
        <w:t xml:space="preserve">also </w:t>
      </w:r>
      <w:r w:rsidR="004A4EB5">
        <w:t xml:space="preserve">recognise that </w:t>
      </w:r>
      <w:r w:rsidR="00AA2FC8">
        <w:t xml:space="preserve">basing funding arrangements for new supported employees on ADE site averages does not reflect the individual support needs of employees. </w:t>
      </w:r>
    </w:p>
    <w:p w:rsidR="00BA7B84" w:rsidRDefault="00BA7B84" w:rsidP="008553DA">
      <w:pPr>
        <w:spacing w:after="120" w:line="276" w:lineRule="auto"/>
      </w:pPr>
      <w:r>
        <w:t>The new pric</w:t>
      </w:r>
      <w:r w:rsidR="004D1627">
        <w:t xml:space="preserve">ing </w:t>
      </w:r>
      <w:r>
        <w:t xml:space="preserve">framework will give participants greater choice and control over how they </w:t>
      </w:r>
      <w:r w:rsidRPr="00F911A2">
        <w:t>spend their supported employment funding within their existing budget</w:t>
      </w:r>
      <w:r>
        <w:t>s. For example</w:t>
      </w:r>
      <w:r w:rsidR="004A4EB5">
        <w:t>,</w:t>
      </w:r>
      <w:r>
        <w:t xml:space="preserve"> a participant may choose to:</w:t>
      </w:r>
    </w:p>
    <w:p w:rsidR="00BA7B84" w:rsidRDefault="00BA7B84" w:rsidP="008553DA">
      <w:pPr>
        <w:pStyle w:val="ListParagraph"/>
        <w:numPr>
          <w:ilvl w:val="0"/>
          <w:numId w:val="30"/>
        </w:numPr>
        <w:spacing w:after="120" w:line="276" w:lineRule="auto"/>
      </w:pPr>
      <w:r>
        <w:t xml:space="preserve">continue using their employment support funding with their existing ADE </w:t>
      </w:r>
    </w:p>
    <w:p w:rsidR="00BA7B84" w:rsidRDefault="00BA7B84" w:rsidP="008553DA">
      <w:pPr>
        <w:pStyle w:val="ListParagraph"/>
        <w:numPr>
          <w:ilvl w:val="0"/>
          <w:numId w:val="30"/>
        </w:numPr>
        <w:spacing w:after="120" w:line="276" w:lineRule="auto"/>
      </w:pPr>
      <w:r>
        <w:t xml:space="preserve">use their employment support funding with a different ADE </w:t>
      </w:r>
    </w:p>
    <w:p w:rsidR="00BA7B84" w:rsidRDefault="00BA7B84" w:rsidP="008553DA">
      <w:pPr>
        <w:pStyle w:val="ListParagraph"/>
        <w:numPr>
          <w:ilvl w:val="0"/>
          <w:numId w:val="30"/>
        </w:numPr>
        <w:spacing w:after="120" w:line="276" w:lineRule="auto"/>
      </w:pPr>
      <w:r>
        <w:t>purchase emp</w:t>
      </w:r>
      <w:r w:rsidR="005B7FEF">
        <w:t>loyment supports from</w:t>
      </w:r>
      <w:r w:rsidR="00F9082A">
        <w:t xml:space="preserve"> their</w:t>
      </w:r>
      <w:r>
        <w:t xml:space="preserve"> </w:t>
      </w:r>
      <w:r w:rsidR="00846559">
        <w:t xml:space="preserve">current </w:t>
      </w:r>
      <w:r w:rsidR="005B7FEF">
        <w:t xml:space="preserve">provider </w:t>
      </w:r>
      <w:r w:rsidR="00846559">
        <w:t xml:space="preserve">or </w:t>
      </w:r>
      <w:r w:rsidR="005B7FEF">
        <w:t xml:space="preserve">a </w:t>
      </w:r>
      <w:r>
        <w:t xml:space="preserve">different provider to work in </w:t>
      </w:r>
      <w:r w:rsidR="004B6432">
        <w:t>other employment settings</w:t>
      </w:r>
      <w:r>
        <w:t>.</w:t>
      </w:r>
    </w:p>
    <w:p w:rsidR="00CA7A24" w:rsidRDefault="00CA7A24">
      <w:pPr>
        <w:spacing w:line="276" w:lineRule="auto"/>
      </w:pPr>
      <w:r>
        <w:br w:type="page"/>
      </w:r>
    </w:p>
    <w:p w:rsidR="00BA7B84" w:rsidRDefault="00BA7B84" w:rsidP="008146A3">
      <w:pPr>
        <w:pStyle w:val="Heading2"/>
      </w:pPr>
      <w:bookmarkStart w:id="29" w:name="_Toc23370967"/>
      <w:bookmarkStart w:id="30" w:name="_Toc23372520"/>
      <w:bookmarkStart w:id="31" w:name="_Toc25074422"/>
      <w:r>
        <w:lastRenderedPageBreak/>
        <w:t xml:space="preserve">About the new </w:t>
      </w:r>
      <w:r w:rsidR="0064589F">
        <w:t>pricing</w:t>
      </w:r>
      <w:r>
        <w:t xml:space="preserve"> framework</w:t>
      </w:r>
      <w:bookmarkEnd w:id="29"/>
      <w:bookmarkEnd w:id="30"/>
      <w:bookmarkEnd w:id="31"/>
    </w:p>
    <w:p w:rsidR="00BA7B84" w:rsidRDefault="00BA7B84" w:rsidP="00BA7B84">
      <w:r w:rsidRPr="00A90E31">
        <w:t xml:space="preserve">The new </w:t>
      </w:r>
      <w:r w:rsidR="0064589F">
        <w:t>pricing</w:t>
      </w:r>
      <w:r w:rsidR="004B6432">
        <w:t xml:space="preserve"> </w:t>
      </w:r>
      <w:r>
        <w:t>framework introduces an hours</w:t>
      </w:r>
      <w:r w:rsidR="00AA2FC8">
        <w:t>-</w:t>
      </w:r>
      <w:r>
        <w:t>based per</w:t>
      </w:r>
      <w:r w:rsidR="00AA2FC8">
        <w:t>-</w:t>
      </w:r>
      <w:r>
        <w:t>participant model that</w:t>
      </w:r>
      <w:r w:rsidRPr="00A90E31">
        <w:t xml:space="preserve">: </w:t>
      </w:r>
    </w:p>
    <w:p w:rsidR="00BA7B84" w:rsidRPr="00A90E31" w:rsidRDefault="00BA7B84" w:rsidP="008553DA">
      <w:pPr>
        <w:pStyle w:val="ListParagraph"/>
        <w:numPr>
          <w:ilvl w:val="0"/>
          <w:numId w:val="33"/>
        </w:numPr>
      </w:pPr>
      <w:r>
        <w:t>reflects the</w:t>
      </w:r>
      <w:r w:rsidRPr="00A90E31">
        <w:t xml:space="preserve"> actual hours of support provided </w:t>
      </w:r>
      <w:r>
        <w:t xml:space="preserve">to the participant </w:t>
      </w:r>
      <w:r w:rsidR="008553DA">
        <w:t>at work</w:t>
      </w:r>
      <w:r>
        <w:t xml:space="preserve">, which may include non-face-to-face </w:t>
      </w:r>
      <w:r w:rsidR="005D6278">
        <w:t>support</w:t>
      </w:r>
      <w:r>
        <w:t xml:space="preserve"> time if appropriate</w:t>
      </w:r>
      <w:r w:rsidR="00F45895">
        <w:t>;</w:t>
      </w:r>
      <w:r w:rsidR="00F9082A">
        <w:t xml:space="preserve"> and</w:t>
      </w:r>
    </w:p>
    <w:p w:rsidR="00BA7B84" w:rsidRPr="00A90E31" w:rsidRDefault="00BA7B84" w:rsidP="008553DA">
      <w:pPr>
        <w:pStyle w:val="ListParagraph"/>
        <w:numPr>
          <w:ilvl w:val="0"/>
          <w:numId w:val="33"/>
        </w:numPr>
      </w:pPr>
      <w:r>
        <w:t>will vary</w:t>
      </w:r>
      <w:r w:rsidRPr="00A90E31">
        <w:t xml:space="preserve"> </w:t>
      </w:r>
      <w:r>
        <w:t xml:space="preserve">depending on the </w:t>
      </w:r>
      <w:r w:rsidR="00C53BD1">
        <w:t xml:space="preserve">intensity </w:t>
      </w:r>
      <w:r w:rsidRPr="00A90E31">
        <w:t>of workplace support</w:t>
      </w:r>
      <w:r>
        <w:t>s a participant needs</w:t>
      </w:r>
      <w:r w:rsidR="008553DA">
        <w:t>.</w:t>
      </w:r>
      <w:r>
        <w:t xml:space="preserve"> </w:t>
      </w:r>
    </w:p>
    <w:p w:rsidR="00F9082A" w:rsidRPr="008553DA" w:rsidRDefault="00BA7B84" w:rsidP="00BA7B84">
      <w:r w:rsidRPr="00BA52E6">
        <w:t>The table below sets out hourly prices for support at different times of the day and week. It means, for example, that an ADE wh</w:t>
      </w:r>
      <w:r w:rsidR="00F45895">
        <w:t>ich</w:t>
      </w:r>
      <w:r w:rsidRPr="00BA52E6">
        <w:t xml:space="preserve"> supports six participants with one support worker during weekday hours </w:t>
      </w:r>
      <w:r>
        <w:t>will</w:t>
      </w:r>
      <w:r w:rsidRPr="00BA52E6">
        <w:t xml:space="preserve"> receive $65.46 </w:t>
      </w:r>
      <w:r w:rsidR="00471BF8">
        <w:t xml:space="preserve">in total </w:t>
      </w:r>
      <w:r w:rsidRPr="00BA52E6">
        <w:t>for each hour of suppor</w:t>
      </w:r>
      <w:r w:rsidR="0000610C">
        <w:t xml:space="preserve">t. </w:t>
      </w:r>
      <w:r w:rsidRPr="00BA52E6">
        <w:t>If the support ratio provided is larger than 1:7, the ADE would charge each participant the 1:7 price.</w:t>
      </w:r>
      <w:r w:rsidRPr="008553DA">
        <w:t xml:space="preserve"> </w:t>
      </w:r>
    </w:p>
    <w:p w:rsidR="00BA7B84" w:rsidRDefault="00BA7B84" w:rsidP="008553DA">
      <w:pPr>
        <w:pStyle w:val="Heading4"/>
        <w:rPr>
          <w:lang w:val="en-US"/>
        </w:rPr>
      </w:pPr>
      <w:r>
        <w:rPr>
          <w:lang w:val="en-US"/>
        </w:rPr>
        <w:t xml:space="preserve">Figure </w:t>
      </w:r>
      <w:r w:rsidR="00ED5378">
        <w:rPr>
          <w:lang w:val="en-US"/>
        </w:rPr>
        <w:t>2.</w:t>
      </w:r>
      <w:r>
        <w:rPr>
          <w:lang w:val="en-US"/>
        </w:rPr>
        <w:t xml:space="preserve"> New prices for supported employment providers</w:t>
      </w:r>
    </w:p>
    <w:tbl>
      <w:tblPr>
        <w:tblW w:w="8538" w:type="dxa"/>
        <w:tblCellMar>
          <w:left w:w="0" w:type="dxa"/>
          <w:right w:w="0" w:type="dxa"/>
        </w:tblCellMar>
        <w:tblLook w:val="04A0" w:firstRow="1" w:lastRow="0" w:firstColumn="1" w:lastColumn="0" w:noHBand="0" w:noVBand="1"/>
      </w:tblPr>
      <w:tblGrid>
        <w:gridCol w:w="1539"/>
        <w:gridCol w:w="1217"/>
        <w:gridCol w:w="1177"/>
        <w:gridCol w:w="1116"/>
        <w:gridCol w:w="1116"/>
        <w:gridCol w:w="1257"/>
        <w:gridCol w:w="1116"/>
      </w:tblGrid>
      <w:tr w:rsidR="00BA7B84" w:rsidRPr="00111C7C" w:rsidTr="00A36757">
        <w:trPr>
          <w:trHeight w:val="828"/>
        </w:trPr>
        <w:tc>
          <w:tcPr>
            <w:tcW w:w="1539" w:type="dxa"/>
            <w:tcBorders>
              <w:top w:val="single" w:sz="4" w:space="0" w:color="auto"/>
              <w:left w:val="single" w:sz="4" w:space="0" w:color="auto"/>
            </w:tcBorders>
            <w:shd w:val="clear" w:color="auto" w:fill="D6BEDC"/>
            <w:tcMar>
              <w:top w:w="0" w:type="dxa"/>
              <w:left w:w="108" w:type="dxa"/>
              <w:bottom w:w="0" w:type="dxa"/>
              <w:right w:w="108" w:type="dxa"/>
            </w:tcMar>
            <w:vAlign w:val="bottom"/>
            <w:hideMark/>
          </w:tcPr>
          <w:p w:rsidR="00BA7B84" w:rsidRPr="00111C7C" w:rsidRDefault="00BA7B84" w:rsidP="00A36757">
            <w:pPr>
              <w:rPr>
                <w:rFonts w:cs="Arial"/>
                <w:color w:val="000000"/>
                <w:lang w:eastAsia="en-AU"/>
              </w:rPr>
            </w:pPr>
            <w:r w:rsidRPr="00111C7C">
              <w:rPr>
                <w:rFonts w:cs="Arial"/>
                <w:color w:val="000000"/>
                <w:lang w:eastAsia="en-AU"/>
              </w:rPr>
              <w:t>Ratio of support worker to participants</w:t>
            </w:r>
          </w:p>
        </w:tc>
        <w:tc>
          <w:tcPr>
            <w:tcW w:w="1217" w:type="dxa"/>
            <w:tcBorders>
              <w:top w:val="single" w:sz="4" w:space="0" w:color="auto"/>
            </w:tcBorders>
            <w:shd w:val="clear" w:color="auto" w:fill="D6BEDC"/>
            <w:tcMar>
              <w:top w:w="0" w:type="dxa"/>
              <w:left w:w="108" w:type="dxa"/>
              <w:bottom w:w="0" w:type="dxa"/>
              <w:right w:w="108" w:type="dxa"/>
            </w:tcMar>
            <w:vAlign w:val="center"/>
            <w:hideMark/>
          </w:tcPr>
          <w:p w:rsidR="00BA7B84" w:rsidRPr="00111C7C" w:rsidRDefault="00BA7B84" w:rsidP="00A36757">
            <w:pPr>
              <w:jc w:val="center"/>
              <w:rPr>
                <w:rFonts w:cs="Arial"/>
                <w:color w:val="000000"/>
                <w:lang w:eastAsia="en-AU"/>
              </w:rPr>
            </w:pPr>
            <w:r w:rsidRPr="00111C7C">
              <w:rPr>
                <w:rFonts w:cs="Arial"/>
                <w:color w:val="000000"/>
                <w:lang w:eastAsia="en-AU"/>
              </w:rPr>
              <w:t>Weekday</w:t>
            </w:r>
          </w:p>
        </w:tc>
        <w:tc>
          <w:tcPr>
            <w:tcW w:w="1177" w:type="dxa"/>
            <w:tcBorders>
              <w:top w:val="single" w:sz="4" w:space="0" w:color="auto"/>
            </w:tcBorders>
            <w:shd w:val="clear" w:color="auto" w:fill="D6BEDC"/>
            <w:tcMar>
              <w:top w:w="0" w:type="dxa"/>
              <w:left w:w="108" w:type="dxa"/>
              <w:bottom w:w="0" w:type="dxa"/>
              <w:right w:w="108" w:type="dxa"/>
            </w:tcMar>
            <w:vAlign w:val="center"/>
            <w:hideMark/>
          </w:tcPr>
          <w:p w:rsidR="00BA7B84" w:rsidRPr="00111C7C" w:rsidRDefault="00BA7B84" w:rsidP="00A36757">
            <w:pPr>
              <w:jc w:val="center"/>
              <w:rPr>
                <w:rFonts w:cs="Arial"/>
                <w:color w:val="000000"/>
                <w:lang w:eastAsia="en-AU"/>
              </w:rPr>
            </w:pPr>
            <w:r w:rsidRPr="00111C7C">
              <w:rPr>
                <w:rFonts w:cs="Arial"/>
                <w:color w:val="000000"/>
                <w:lang w:eastAsia="en-AU"/>
              </w:rPr>
              <w:t>Saturday</w:t>
            </w:r>
          </w:p>
        </w:tc>
        <w:tc>
          <w:tcPr>
            <w:tcW w:w="1116" w:type="dxa"/>
            <w:tcBorders>
              <w:top w:val="single" w:sz="4" w:space="0" w:color="auto"/>
            </w:tcBorders>
            <w:shd w:val="clear" w:color="auto" w:fill="D6BEDC"/>
            <w:tcMar>
              <w:top w:w="0" w:type="dxa"/>
              <w:left w:w="108" w:type="dxa"/>
              <w:bottom w:w="0" w:type="dxa"/>
              <w:right w:w="108" w:type="dxa"/>
            </w:tcMar>
            <w:vAlign w:val="center"/>
            <w:hideMark/>
          </w:tcPr>
          <w:p w:rsidR="00BA7B84" w:rsidRPr="00111C7C" w:rsidRDefault="00BA7B84" w:rsidP="00A36757">
            <w:pPr>
              <w:jc w:val="center"/>
              <w:rPr>
                <w:rFonts w:cs="Arial"/>
                <w:color w:val="000000"/>
                <w:lang w:eastAsia="en-AU"/>
              </w:rPr>
            </w:pPr>
            <w:r w:rsidRPr="00111C7C">
              <w:rPr>
                <w:rFonts w:cs="Arial"/>
                <w:color w:val="000000"/>
                <w:lang w:eastAsia="en-AU"/>
              </w:rPr>
              <w:t>Sunday</w:t>
            </w:r>
          </w:p>
        </w:tc>
        <w:tc>
          <w:tcPr>
            <w:tcW w:w="1116" w:type="dxa"/>
            <w:tcBorders>
              <w:top w:val="single" w:sz="4" w:space="0" w:color="auto"/>
            </w:tcBorders>
            <w:shd w:val="clear" w:color="auto" w:fill="D6BEDC"/>
            <w:tcMar>
              <w:top w:w="0" w:type="dxa"/>
              <w:left w:w="108" w:type="dxa"/>
              <w:bottom w:w="0" w:type="dxa"/>
              <w:right w:w="108" w:type="dxa"/>
            </w:tcMar>
            <w:vAlign w:val="center"/>
            <w:hideMark/>
          </w:tcPr>
          <w:p w:rsidR="00BA7B84" w:rsidRPr="00111C7C" w:rsidRDefault="00BA7B84" w:rsidP="00A36757">
            <w:pPr>
              <w:jc w:val="center"/>
              <w:rPr>
                <w:rFonts w:cs="Arial"/>
                <w:color w:val="000000"/>
                <w:lang w:eastAsia="en-AU"/>
              </w:rPr>
            </w:pPr>
            <w:r w:rsidRPr="00111C7C">
              <w:rPr>
                <w:rFonts w:cs="Arial"/>
                <w:color w:val="000000"/>
                <w:lang w:eastAsia="en-AU"/>
              </w:rPr>
              <w:t>Public Holiday</w:t>
            </w:r>
          </w:p>
        </w:tc>
        <w:tc>
          <w:tcPr>
            <w:tcW w:w="1257" w:type="dxa"/>
            <w:tcBorders>
              <w:top w:val="single" w:sz="4" w:space="0" w:color="auto"/>
            </w:tcBorders>
            <w:shd w:val="clear" w:color="auto" w:fill="D6BEDC"/>
            <w:tcMar>
              <w:top w:w="0" w:type="dxa"/>
              <w:left w:w="108" w:type="dxa"/>
              <w:bottom w:w="0" w:type="dxa"/>
              <w:right w:w="108" w:type="dxa"/>
            </w:tcMar>
            <w:vAlign w:val="center"/>
            <w:hideMark/>
          </w:tcPr>
          <w:p w:rsidR="00BA7B84" w:rsidRPr="00111C7C" w:rsidRDefault="00BA7B84" w:rsidP="00A36757">
            <w:pPr>
              <w:jc w:val="center"/>
              <w:rPr>
                <w:rFonts w:cs="Arial"/>
                <w:color w:val="000000"/>
                <w:lang w:eastAsia="en-AU"/>
              </w:rPr>
            </w:pPr>
            <w:r w:rsidRPr="00111C7C">
              <w:rPr>
                <w:rFonts w:cs="Arial"/>
                <w:color w:val="000000"/>
                <w:lang w:eastAsia="en-AU"/>
              </w:rPr>
              <w:t>Afternoon Shift</w:t>
            </w:r>
          </w:p>
        </w:tc>
        <w:tc>
          <w:tcPr>
            <w:tcW w:w="1116" w:type="dxa"/>
            <w:tcBorders>
              <w:top w:val="single" w:sz="4" w:space="0" w:color="auto"/>
              <w:right w:val="single" w:sz="4" w:space="0" w:color="auto"/>
            </w:tcBorders>
            <w:shd w:val="clear" w:color="auto" w:fill="D6BEDC"/>
            <w:tcMar>
              <w:top w:w="0" w:type="dxa"/>
              <w:left w:w="108" w:type="dxa"/>
              <w:bottom w:w="0" w:type="dxa"/>
              <w:right w:w="108" w:type="dxa"/>
            </w:tcMar>
            <w:vAlign w:val="center"/>
            <w:hideMark/>
          </w:tcPr>
          <w:p w:rsidR="00BA7B84" w:rsidRPr="00111C7C" w:rsidRDefault="00BA7B84" w:rsidP="00A36757">
            <w:pPr>
              <w:jc w:val="center"/>
              <w:rPr>
                <w:rFonts w:cs="Arial"/>
                <w:color w:val="000000"/>
                <w:lang w:eastAsia="en-AU"/>
              </w:rPr>
            </w:pPr>
            <w:r w:rsidRPr="00111C7C">
              <w:rPr>
                <w:rFonts w:cs="Arial"/>
                <w:color w:val="000000"/>
                <w:lang w:eastAsia="en-AU"/>
              </w:rPr>
              <w:t>Night Shift</w:t>
            </w:r>
          </w:p>
        </w:tc>
      </w:tr>
      <w:tr w:rsidR="00BA7B84" w:rsidRPr="00111C7C" w:rsidTr="00A36757">
        <w:trPr>
          <w:trHeight w:val="288"/>
        </w:trPr>
        <w:tc>
          <w:tcPr>
            <w:tcW w:w="1539" w:type="dxa"/>
            <w:tcBorders>
              <w:left w:val="single" w:sz="4" w:space="0" w:color="auto"/>
            </w:tcBorders>
            <w:shd w:val="clear" w:color="auto" w:fill="D6BEDC"/>
            <w:tcMar>
              <w:top w:w="0" w:type="dxa"/>
              <w:left w:w="108" w:type="dxa"/>
              <w:bottom w:w="0" w:type="dxa"/>
              <w:right w:w="108" w:type="dxa"/>
            </w:tcMar>
            <w:vAlign w:val="bottom"/>
            <w:hideMark/>
          </w:tcPr>
          <w:p w:rsidR="00BA7B84" w:rsidRPr="00111C7C" w:rsidRDefault="00BA7B84" w:rsidP="00A36757">
            <w:pPr>
              <w:jc w:val="center"/>
              <w:rPr>
                <w:rFonts w:cs="Arial"/>
                <w:color w:val="000000"/>
                <w:lang w:eastAsia="en-AU"/>
              </w:rPr>
            </w:pPr>
            <w:r w:rsidRPr="00111C7C">
              <w:rPr>
                <w:rFonts w:cs="Arial"/>
                <w:color w:val="000000"/>
                <w:lang w:eastAsia="en-AU"/>
              </w:rPr>
              <w:t>1:1</w:t>
            </w:r>
          </w:p>
        </w:tc>
        <w:tc>
          <w:tcPr>
            <w:tcW w:w="1217" w:type="dxa"/>
            <w:noWrap/>
            <w:tcMar>
              <w:top w:w="0" w:type="dxa"/>
              <w:left w:w="108" w:type="dxa"/>
              <w:bottom w:w="0" w:type="dxa"/>
              <w:right w:w="108" w:type="dxa"/>
            </w:tcMar>
            <w:hideMark/>
          </w:tcPr>
          <w:p w:rsidR="00BA7B84" w:rsidRPr="008055AA" w:rsidRDefault="00BA7B84" w:rsidP="00A36757">
            <w:r w:rsidRPr="008055AA">
              <w:t>$54.95</w:t>
            </w:r>
          </w:p>
        </w:tc>
        <w:tc>
          <w:tcPr>
            <w:tcW w:w="1177" w:type="dxa"/>
            <w:noWrap/>
            <w:tcMar>
              <w:top w:w="0" w:type="dxa"/>
              <w:left w:w="108" w:type="dxa"/>
              <w:bottom w:w="0" w:type="dxa"/>
              <w:right w:w="108" w:type="dxa"/>
            </w:tcMar>
            <w:hideMark/>
          </w:tcPr>
          <w:p w:rsidR="00BA7B84" w:rsidRPr="008055AA" w:rsidRDefault="00BA7B84" w:rsidP="00A36757">
            <w:r w:rsidRPr="008055AA">
              <w:t>$74.79</w:t>
            </w:r>
          </w:p>
        </w:tc>
        <w:tc>
          <w:tcPr>
            <w:tcW w:w="1116" w:type="dxa"/>
            <w:noWrap/>
            <w:tcMar>
              <w:top w:w="0" w:type="dxa"/>
              <w:left w:w="108" w:type="dxa"/>
              <w:bottom w:w="0" w:type="dxa"/>
              <w:right w:w="108" w:type="dxa"/>
            </w:tcMar>
            <w:hideMark/>
          </w:tcPr>
          <w:p w:rsidR="00BA7B84" w:rsidRPr="008055AA" w:rsidRDefault="00BA7B84" w:rsidP="00A36757">
            <w:r w:rsidRPr="008055AA">
              <w:t>$96.62</w:t>
            </w:r>
          </w:p>
        </w:tc>
        <w:tc>
          <w:tcPr>
            <w:tcW w:w="1116" w:type="dxa"/>
            <w:noWrap/>
            <w:tcMar>
              <w:top w:w="0" w:type="dxa"/>
              <w:left w:w="108" w:type="dxa"/>
              <w:bottom w:w="0" w:type="dxa"/>
              <w:right w:w="108" w:type="dxa"/>
            </w:tcMar>
            <w:hideMark/>
          </w:tcPr>
          <w:p w:rsidR="00BA7B84" w:rsidRPr="008055AA" w:rsidRDefault="00BA7B84" w:rsidP="00A36757">
            <w:r w:rsidRPr="008055AA">
              <w:t>$120.44</w:t>
            </w:r>
          </w:p>
        </w:tc>
        <w:tc>
          <w:tcPr>
            <w:tcW w:w="1257" w:type="dxa"/>
            <w:noWrap/>
            <w:tcMar>
              <w:top w:w="0" w:type="dxa"/>
              <w:left w:w="108" w:type="dxa"/>
              <w:bottom w:w="0" w:type="dxa"/>
              <w:right w:w="108" w:type="dxa"/>
            </w:tcMar>
            <w:hideMark/>
          </w:tcPr>
          <w:p w:rsidR="00BA7B84" w:rsidRPr="008055AA" w:rsidRDefault="00BA7B84" w:rsidP="00A36757">
            <w:r w:rsidRPr="008055AA">
              <w:t>$60.41</w:t>
            </w:r>
          </w:p>
        </w:tc>
        <w:tc>
          <w:tcPr>
            <w:tcW w:w="1116" w:type="dxa"/>
            <w:tcBorders>
              <w:right w:val="single" w:sz="4" w:space="0" w:color="auto"/>
            </w:tcBorders>
            <w:noWrap/>
            <w:tcMar>
              <w:top w:w="0" w:type="dxa"/>
              <w:left w:w="108" w:type="dxa"/>
              <w:bottom w:w="0" w:type="dxa"/>
              <w:right w:w="108" w:type="dxa"/>
            </w:tcMar>
            <w:hideMark/>
          </w:tcPr>
          <w:p w:rsidR="00BA7B84" w:rsidRPr="008055AA" w:rsidRDefault="00BA7B84" w:rsidP="00A36757">
            <w:r w:rsidRPr="008055AA">
              <w:t>$61.50</w:t>
            </w:r>
          </w:p>
        </w:tc>
      </w:tr>
      <w:tr w:rsidR="00BA7B84" w:rsidRPr="00111C7C" w:rsidTr="00A36757">
        <w:trPr>
          <w:trHeight w:val="288"/>
        </w:trPr>
        <w:tc>
          <w:tcPr>
            <w:tcW w:w="1539" w:type="dxa"/>
            <w:tcBorders>
              <w:left w:val="single" w:sz="4" w:space="0" w:color="auto"/>
            </w:tcBorders>
            <w:shd w:val="clear" w:color="auto" w:fill="D6BEDC"/>
            <w:tcMar>
              <w:top w:w="0" w:type="dxa"/>
              <w:left w:w="108" w:type="dxa"/>
              <w:bottom w:w="0" w:type="dxa"/>
              <w:right w:w="108" w:type="dxa"/>
            </w:tcMar>
            <w:vAlign w:val="bottom"/>
            <w:hideMark/>
          </w:tcPr>
          <w:p w:rsidR="00BA7B84" w:rsidRPr="00111C7C" w:rsidRDefault="00BA7B84" w:rsidP="00A36757">
            <w:pPr>
              <w:jc w:val="center"/>
              <w:rPr>
                <w:rFonts w:cs="Arial"/>
                <w:color w:val="000000"/>
                <w:lang w:eastAsia="en-AU"/>
              </w:rPr>
            </w:pPr>
            <w:r w:rsidRPr="00111C7C">
              <w:rPr>
                <w:rFonts w:cs="Arial"/>
                <w:color w:val="000000"/>
                <w:lang w:eastAsia="en-AU"/>
              </w:rPr>
              <w:t>1:2</w:t>
            </w:r>
          </w:p>
        </w:tc>
        <w:tc>
          <w:tcPr>
            <w:tcW w:w="1217" w:type="dxa"/>
            <w:noWrap/>
            <w:tcMar>
              <w:top w:w="0" w:type="dxa"/>
              <w:left w:w="108" w:type="dxa"/>
              <w:bottom w:w="0" w:type="dxa"/>
              <w:right w:w="108" w:type="dxa"/>
            </w:tcMar>
            <w:hideMark/>
          </w:tcPr>
          <w:p w:rsidR="00BA7B84" w:rsidRPr="008055AA" w:rsidRDefault="00BA7B84" w:rsidP="00A36757">
            <w:r w:rsidRPr="008055AA">
              <w:t>$28.53</w:t>
            </w:r>
          </w:p>
        </w:tc>
        <w:tc>
          <w:tcPr>
            <w:tcW w:w="1177" w:type="dxa"/>
            <w:noWrap/>
            <w:tcMar>
              <w:top w:w="0" w:type="dxa"/>
              <w:left w:w="108" w:type="dxa"/>
              <w:bottom w:w="0" w:type="dxa"/>
              <w:right w:w="108" w:type="dxa"/>
            </w:tcMar>
            <w:hideMark/>
          </w:tcPr>
          <w:p w:rsidR="00BA7B84" w:rsidRPr="008055AA" w:rsidRDefault="00BA7B84" w:rsidP="00A36757">
            <w:r w:rsidRPr="008055AA">
              <w:t>$38.45</w:t>
            </w:r>
          </w:p>
        </w:tc>
        <w:tc>
          <w:tcPr>
            <w:tcW w:w="1116" w:type="dxa"/>
            <w:noWrap/>
            <w:tcMar>
              <w:top w:w="0" w:type="dxa"/>
              <w:left w:w="108" w:type="dxa"/>
              <w:bottom w:w="0" w:type="dxa"/>
              <w:right w:w="108" w:type="dxa"/>
            </w:tcMar>
            <w:hideMark/>
          </w:tcPr>
          <w:p w:rsidR="00BA7B84" w:rsidRPr="008055AA" w:rsidRDefault="00BA7B84" w:rsidP="00A36757">
            <w:r w:rsidRPr="008055AA">
              <w:t>$49.36</w:t>
            </w:r>
          </w:p>
        </w:tc>
        <w:tc>
          <w:tcPr>
            <w:tcW w:w="1116" w:type="dxa"/>
            <w:noWrap/>
            <w:tcMar>
              <w:top w:w="0" w:type="dxa"/>
              <w:left w:w="108" w:type="dxa"/>
              <w:bottom w:w="0" w:type="dxa"/>
              <w:right w:w="108" w:type="dxa"/>
            </w:tcMar>
            <w:hideMark/>
          </w:tcPr>
          <w:p w:rsidR="00BA7B84" w:rsidRPr="008055AA" w:rsidRDefault="00BA7B84" w:rsidP="00A36757">
            <w:r w:rsidRPr="008055AA">
              <w:t>$61.27</w:t>
            </w:r>
          </w:p>
        </w:tc>
        <w:tc>
          <w:tcPr>
            <w:tcW w:w="1257" w:type="dxa"/>
            <w:noWrap/>
            <w:tcMar>
              <w:top w:w="0" w:type="dxa"/>
              <w:left w:w="108" w:type="dxa"/>
              <w:bottom w:w="0" w:type="dxa"/>
              <w:right w:w="108" w:type="dxa"/>
            </w:tcMar>
            <w:hideMark/>
          </w:tcPr>
          <w:p w:rsidR="00BA7B84" w:rsidRPr="008055AA" w:rsidRDefault="00BA7B84" w:rsidP="00A36757">
            <w:r w:rsidRPr="008055AA">
              <w:t>$31.26</w:t>
            </w:r>
          </w:p>
        </w:tc>
        <w:tc>
          <w:tcPr>
            <w:tcW w:w="1116" w:type="dxa"/>
            <w:tcBorders>
              <w:right w:val="single" w:sz="4" w:space="0" w:color="auto"/>
            </w:tcBorders>
            <w:noWrap/>
            <w:tcMar>
              <w:top w:w="0" w:type="dxa"/>
              <w:left w:w="108" w:type="dxa"/>
              <w:bottom w:w="0" w:type="dxa"/>
              <w:right w:w="108" w:type="dxa"/>
            </w:tcMar>
            <w:hideMark/>
          </w:tcPr>
          <w:p w:rsidR="00BA7B84" w:rsidRPr="008055AA" w:rsidRDefault="00BA7B84" w:rsidP="00A36757">
            <w:r w:rsidRPr="008055AA">
              <w:t>$31.80</w:t>
            </w:r>
          </w:p>
        </w:tc>
      </w:tr>
      <w:tr w:rsidR="00BA7B84" w:rsidRPr="00111C7C" w:rsidTr="00A36757">
        <w:trPr>
          <w:trHeight w:val="288"/>
        </w:trPr>
        <w:tc>
          <w:tcPr>
            <w:tcW w:w="1539" w:type="dxa"/>
            <w:tcBorders>
              <w:left w:val="single" w:sz="4" w:space="0" w:color="auto"/>
            </w:tcBorders>
            <w:shd w:val="clear" w:color="auto" w:fill="D6BEDC"/>
            <w:tcMar>
              <w:top w:w="0" w:type="dxa"/>
              <w:left w:w="108" w:type="dxa"/>
              <w:bottom w:w="0" w:type="dxa"/>
              <w:right w:w="108" w:type="dxa"/>
            </w:tcMar>
            <w:vAlign w:val="bottom"/>
            <w:hideMark/>
          </w:tcPr>
          <w:p w:rsidR="00BA7B84" w:rsidRPr="00111C7C" w:rsidRDefault="00BA7B84" w:rsidP="00A36757">
            <w:pPr>
              <w:jc w:val="center"/>
              <w:rPr>
                <w:rFonts w:cs="Arial"/>
                <w:color w:val="000000"/>
                <w:lang w:eastAsia="en-AU"/>
              </w:rPr>
            </w:pPr>
            <w:r w:rsidRPr="00111C7C">
              <w:rPr>
                <w:rFonts w:cs="Arial"/>
                <w:color w:val="000000"/>
                <w:lang w:eastAsia="en-AU"/>
              </w:rPr>
              <w:t>1:3</w:t>
            </w:r>
          </w:p>
        </w:tc>
        <w:tc>
          <w:tcPr>
            <w:tcW w:w="1217" w:type="dxa"/>
            <w:noWrap/>
            <w:tcMar>
              <w:top w:w="0" w:type="dxa"/>
              <w:left w:w="108" w:type="dxa"/>
              <w:bottom w:w="0" w:type="dxa"/>
              <w:right w:w="108" w:type="dxa"/>
            </w:tcMar>
            <w:hideMark/>
          </w:tcPr>
          <w:p w:rsidR="00BA7B84" w:rsidRPr="008055AA" w:rsidRDefault="00BA7B84" w:rsidP="00A36757">
            <w:r w:rsidRPr="008055AA">
              <w:t>$19.72</w:t>
            </w:r>
          </w:p>
        </w:tc>
        <w:tc>
          <w:tcPr>
            <w:tcW w:w="1177" w:type="dxa"/>
            <w:noWrap/>
            <w:tcMar>
              <w:top w:w="0" w:type="dxa"/>
              <w:left w:w="108" w:type="dxa"/>
              <w:bottom w:w="0" w:type="dxa"/>
              <w:right w:w="108" w:type="dxa"/>
            </w:tcMar>
            <w:hideMark/>
          </w:tcPr>
          <w:p w:rsidR="00BA7B84" w:rsidRPr="008055AA" w:rsidRDefault="00BA7B84" w:rsidP="00A36757">
            <w:r w:rsidRPr="008055AA">
              <w:t>$26.33</w:t>
            </w:r>
          </w:p>
        </w:tc>
        <w:tc>
          <w:tcPr>
            <w:tcW w:w="1116" w:type="dxa"/>
            <w:noWrap/>
            <w:tcMar>
              <w:top w:w="0" w:type="dxa"/>
              <w:left w:w="108" w:type="dxa"/>
              <w:bottom w:w="0" w:type="dxa"/>
              <w:right w:w="108" w:type="dxa"/>
            </w:tcMar>
            <w:hideMark/>
          </w:tcPr>
          <w:p w:rsidR="00BA7B84" w:rsidRPr="008055AA" w:rsidRDefault="00BA7B84" w:rsidP="00A36757">
            <w:r w:rsidRPr="008055AA">
              <w:t>$33.61</w:t>
            </w:r>
          </w:p>
        </w:tc>
        <w:tc>
          <w:tcPr>
            <w:tcW w:w="1116" w:type="dxa"/>
            <w:noWrap/>
            <w:tcMar>
              <w:top w:w="0" w:type="dxa"/>
              <w:left w:w="108" w:type="dxa"/>
              <w:bottom w:w="0" w:type="dxa"/>
              <w:right w:w="108" w:type="dxa"/>
            </w:tcMar>
            <w:hideMark/>
          </w:tcPr>
          <w:p w:rsidR="00BA7B84" w:rsidRPr="008055AA" w:rsidRDefault="00BA7B84" w:rsidP="00A36757">
            <w:r w:rsidRPr="008055AA">
              <w:t>$41.55</w:t>
            </w:r>
          </w:p>
        </w:tc>
        <w:tc>
          <w:tcPr>
            <w:tcW w:w="1257" w:type="dxa"/>
            <w:noWrap/>
            <w:tcMar>
              <w:top w:w="0" w:type="dxa"/>
              <w:left w:w="108" w:type="dxa"/>
              <w:bottom w:w="0" w:type="dxa"/>
              <w:right w:w="108" w:type="dxa"/>
            </w:tcMar>
            <w:hideMark/>
          </w:tcPr>
          <w:p w:rsidR="00BA7B84" w:rsidRPr="008055AA" w:rsidRDefault="00BA7B84" w:rsidP="00A36757">
            <w:r w:rsidRPr="008055AA">
              <w:t>$21.54</w:t>
            </w:r>
          </w:p>
        </w:tc>
        <w:tc>
          <w:tcPr>
            <w:tcW w:w="1116" w:type="dxa"/>
            <w:tcBorders>
              <w:right w:val="single" w:sz="4" w:space="0" w:color="auto"/>
            </w:tcBorders>
            <w:noWrap/>
            <w:tcMar>
              <w:top w:w="0" w:type="dxa"/>
              <w:left w:w="108" w:type="dxa"/>
              <w:bottom w:w="0" w:type="dxa"/>
              <w:right w:w="108" w:type="dxa"/>
            </w:tcMar>
            <w:hideMark/>
          </w:tcPr>
          <w:p w:rsidR="00BA7B84" w:rsidRPr="008055AA" w:rsidRDefault="00BA7B84" w:rsidP="00A36757">
            <w:r w:rsidRPr="008055AA">
              <w:t>$21.90</w:t>
            </w:r>
          </w:p>
        </w:tc>
      </w:tr>
      <w:tr w:rsidR="00BA7B84" w:rsidRPr="00111C7C" w:rsidTr="00A36757">
        <w:trPr>
          <w:trHeight w:val="288"/>
        </w:trPr>
        <w:tc>
          <w:tcPr>
            <w:tcW w:w="1539" w:type="dxa"/>
            <w:tcBorders>
              <w:left w:val="single" w:sz="4" w:space="0" w:color="auto"/>
            </w:tcBorders>
            <w:shd w:val="clear" w:color="auto" w:fill="D6BEDC"/>
            <w:tcMar>
              <w:top w:w="0" w:type="dxa"/>
              <w:left w:w="108" w:type="dxa"/>
              <w:bottom w:w="0" w:type="dxa"/>
              <w:right w:w="108" w:type="dxa"/>
            </w:tcMar>
            <w:vAlign w:val="bottom"/>
            <w:hideMark/>
          </w:tcPr>
          <w:p w:rsidR="00BA7B84" w:rsidRPr="00111C7C" w:rsidRDefault="00BA7B84" w:rsidP="00A36757">
            <w:pPr>
              <w:jc w:val="center"/>
              <w:rPr>
                <w:rFonts w:cs="Arial"/>
                <w:color w:val="000000"/>
                <w:lang w:eastAsia="en-AU"/>
              </w:rPr>
            </w:pPr>
            <w:r w:rsidRPr="00111C7C">
              <w:rPr>
                <w:rFonts w:cs="Arial"/>
                <w:color w:val="000000"/>
                <w:lang w:eastAsia="en-AU"/>
              </w:rPr>
              <w:t>1:4</w:t>
            </w:r>
          </w:p>
        </w:tc>
        <w:tc>
          <w:tcPr>
            <w:tcW w:w="1217" w:type="dxa"/>
            <w:noWrap/>
            <w:tcMar>
              <w:top w:w="0" w:type="dxa"/>
              <w:left w:w="108" w:type="dxa"/>
              <w:bottom w:w="0" w:type="dxa"/>
              <w:right w:w="108" w:type="dxa"/>
            </w:tcMar>
            <w:hideMark/>
          </w:tcPr>
          <w:p w:rsidR="00BA7B84" w:rsidRPr="008055AA" w:rsidRDefault="00BA7B84" w:rsidP="00A36757">
            <w:r w:rsidRPr="008055AA">
              <w:t>$15.31</w:t>
            </w:r>
          </w:p>
        </w:tc>
        <w:tc>
          <w:tcPr>
            <w:tcW w:w="1177" w:type="dxa"/>
            <w:noWrap/>
            <w:tcMar>
              <w:top w:w="0" w:type="dxa"/>
              <w:left w:w="108" w:type="dxa"/>
              <w:bottom w:w="0" w:type="dxa"/>
              <w:right w:w="108" w:type="dxa"/>
            </w:tcMar>
            <w:hideMark/>
          </w:tcPr>
          <w:p w:rsidR="00BA7B84" w:rsidRPr="008055AA" w:rsidRDefault="00BA7B84" w:rsidP="00A36757">
            <w:r w:rsidRPr="008055AA">
              <w:t>$20.27</w:t>
            </w:r>
          </w:p>
        </w:tc>
        <w:tc>
          <w:tcPr>
            <w:tcW w:w="1116" w:type="dxa"/>
            <w:noWrap/>
            <w:tcMar>
              <w:top w:w="0" w:type="dxa"/>
              <w:left w:w="108" w:type="dxa"/>
              <w:bottom w:w="0" w:type="dxa"/>
              <w:right w:w="108" w:type="dxa"/>
            </w:tcMar>
            <w:hideMark/>
          </w:tcPr>
          <w:p w:rsidR="00BA7B84" w:rsidRPr="008055AA" w:rsidRDefault="00BA7B84" w:rsidP="00A36757">
            <w:r w:rsidRPr="008055AA">
              <w:t>$25.73</w:t>
            </w:r>
          </w:p>
        </w:tc>
        <w:tc>
          <w:tcPr>
            <w:tcW w:w="1116" w:type="dxa"/>
            <w:noWrap/>
            <w:tcMar>
              <w:top w:w="0" w:type="dxa"/>
              <w:left w:w="108" w:type="dxa"/>
              <w:bottom w:w="0" w:type="dxa"/>
              <w:right w:w="108" w:type="dxa"/>
            </w:tcMar>
            <w:hideMark/>
          </w:tcPr>
          <w:p w:rsidR="00BA7B84" w:rsidRPr="008055AA" w:rsidRDefault="00BA7B84" w:rsidP="00A36757">
            <w:r w:rsidRPr="008055AA">
              <w:t>$31.69</w:t>
            </w:r>
          </w:p>
        </w:tc>
        <w:tc>
          <w:tcPr>
            <w:tcW w:w="1257" w:type="dxa"/>
            <w:noWrap/>
            <w:tcMar>
              <w:top w:w="0" w:type="dxa"/>
              <w:left w:w="108" w:type="dxa"/>
              <w:bottom w:w="0" w:type="dxa"/>
              <w:right w:w="108" w:type="dxa"/>
            </w:tcMar>
            <w:hideMark/>
          </w:tcPr>
          <w:p w:rsidR="00BA7B84" w:rsidRPr="008055AA" w:rsidRDefault="00BA7B84" w:rsidP="00A36757">
            <w:r w:rsidRPr="008055AA">
              <w:t>$16.68</w:t>
            </w:r>
          </w:p>
        </w:tc>
        <w:tc>
          <w:tcPr>
            <w:tcW w:w="1116" w:type="dxa"/>
            <w:tcBorders>
              <w:right w:val="single" w:sz="4" w:space="0" w:color="auto"/>
            </w:tcBorders>
            <w:noWrap/>
            <w:tcMar>
              <w:top w:w="0" w:type="dxa"/>
              <w:left w:w="108" w:type="dxa"/>
              <w:bottom w:w="0" w:type="dxa"/>
              <w:right w:w="108" w:type="dxa"/>
            </w:tcMar>
            <w:hideMark/>
          </w:tcPr>
          <w:p w:rsidR="00BA7B84" w:rsidRPr="008055AA" w:rsidRDefault="00BA7B84" w:rsidP="00A36757">
            <w:r w:rsidRPr="008055AA">
              <w:t>$16.95</w:t>
            </w:r>
          </w:p>
        </w:tc>
      </w:tr>
      <w:tr w:rsidR="00BA7B84" w:rsidRPr="00111C7C" w:rsidTr="00A36757">
        <w:trPr>
          <w:trHeight w:val="288"/>
        </w:trPr>
        <w:tc>
          <w:tcPr>
            <w:tcW w:w="1539" w:type="dxa"/>
            <w:tcBorders>
              <w:left w:val="single" w:sz="4" w:space="0" w:color="auto"/>
            </w:tcBorders>
            <w:shd w:val="clear" w:color="auto" w:fill="D6BEDC"/>
            <w:tcMar>
              <w:top w:w="0" w:type="dxa"/>
              <w:left w:w="108" w:type="dxa"/>
              <w:bottom w:w="0" w:type="dxa"/>
              <w:right w:w="108" w:type="dxa"/>
            </w:tcMar>
            <w:vAlign w:val="bottom"/>
            <w:hideMark/>
          </w:tcPr>
          <w:p w:rsidR="00BA7B84" w:rsidRPr="00111C7C" w:rsidRDefault="00BA7B84" w:rsidP="00A36757">
            <w:pPr>
              <w:jc w:val="center"/>
              <w:rPr>
                <w:rFonts w:cs="Arial"/>
                <w:color w:val="000000"/>
                <w:lang w:eastAsia="en-AU"/>
              </w:rPr>
            </w:pPr>
            <w:r w:rsidRPr="00111C7C">
              <w:rPr>
                <w:rFonts w:cs="Arial"/>
                <w:color w:val="000000"/>
                <w:lang w:eastAsia="en-AU"/>
              </w:rPr>
              <w:t>1:5</w:t>
            </w:r>
          </w:p>
        </w:tc>
        <w:tc>
          <w:tcPr>
            <w:tcW w:w="1217" w:type="dxa"/>
            <w:noWrap/>
            <w:tcMar>
              <w:top w:w="0" w:type="dxa"/>
              <w:left w:w="108" w:type="dxa"/>
              <w:bottom w:w="0" w:type="dxa"/>
              <w:right w:w="108" w:type="dxa"/>
            </w:tcMar>
            <w:hideMark/>
          </w:tcPr>
          <w:p w:rsidR="00BA7B84" w:rsidRPr="008055AA" w:rsidRDefault="00BA7B84" w:rsidP="00A36757">
            <w:r w:rsidRPr="008055AA">
              <w:t>$12.67</w:t>
            </w:r>
          </w:p>
        </w:tc>
        <w:tc>
          <w:tcPr>
            <w:tcW w:w="1177" w:type="dxa"/>
            <w:noWrap/>
            <w:tcMar>
              <w:top w:w="0" w:type="dxa"/>
              <w:left w:w="108" w:type="dxa"/>
              <w:bottom w:w="0" w:type="dxa"/>
              <w:right w:w="108" w:type="dxa"/>
            </w:tcMar>
            <w:hideMark/>
          </w:tcPr>
          <w:p w:rsidR="00BA7B84" w:rsidRPr="008055AA" w:rsidRDefault="00BA7B84" w:rsidP="00A36757">
            <w:r w:rsidRPr="008055AA">
              <w:t>$16.64</w:t>
            </w:r>
          </w:p>
        </w:tc>
        <w:tc>
          <w:tcPr>
            <w:tcW w:w="1116" w:type="dxa"/>
            <w:noWrap/>
            <w:tcMar>
              <w:top w:w="0" w:type="dxa"/>
              <w:left w:w="108" w:type="dxa"/>
              <w:bottom w:w="0" w:type="dxa"/>
              <w:right w:w="108" w:type="dxa"/>
            </w:tcMar>
            <w:hideMark/>
          </w:tcPr>
          <w:p w:rsidR="00BA7B84" w:rsidRPr="008055AA" w:rsidRDefault="00BA7B84" w:rsidP="00A36757">
            <w:r w:rsidRPr="008055AA">
              <w:t>$21.00</w:t>
            </w:r>
          </w:p>
        </w:tc>
        <w:tc>
          <w:tcPr>
            <w:tcW w:w="1116" w:type="dxa"/>
            <w:noWrap/>
            <w:tcMar>
              <w:top w:w="0" w:type="dxa"/>
              <w:left w:w="108" w:type="dxa"/>
              <w:bottom w:w="0" w:type="dxa"/>
              <w:right w:w="108" w:type="dxa"/>
            </w:tcMar>
            <w:hideMark/>
          </w:tcPr>
          <w:p w:rsidR="00BA7B84" w:rsidRPr="008055AA" w:rsidRDefault="00BA7B84" w:rsidP="00A36757">
            <w:r w:rsidRPr="008055AA">
              <w:t>$25.77</w:t>
            </w:r>
          </w:p>
        </w:tc>
        <w:tc>
          <w:tcPr>
            <w:tcW w:w="1257" w:type="dxa"/>
            <w:noWrap/>
            <w:tcMar>
              <w:top w:w="0" w:type="dxa"/>
              <w:left w:w="108" w:type="dxa"/>
              <w:bottom w:w="0" w:type="dxa"/>
              <w:right w:w="108" w:type="dxa"/>
            </w:tcMar>
            <w:hideMark/>
          </w:tcPr>
          <w:p w:rsidR="00BA7B84" w:rsidRPr="008055AA" w:rsidRDefault="00BA7B84" w:rsidP="00A36757">
            <w:r w:rsidRPr="008055AA">
              <w:t>$13.76</w:t>
            </w:r>
          </w:p>
        </w:tc>
        <w:tc>
          <w:tcPr>
            <w:tcW w:w="1116" w:type="dxa"/>
            <w:tcBorders>
              <w:right w:val="single" w:sz="4" w:space="0" w:color="auto"/>
            </w:tcBorders>
            <w:noWrap/>
            <w:tcMar>
              <w:top w:w="0" w:type="dxa"/>
              <w:left w:w="108" w:type="dxa"/>
              <w:bottom w:w="0" w:type="dxa"/>
              <w:right w:w="108" w:type="dxa"/>
            </w:tcMar>
            <w:hideMark/>
          </w:tcPr>
          <w:p w:rsidR="00BA7B84" w:rsidRPr="008055AA" w:rsidRDefault="00BA7B84" w:rsidP="00A36757">
            <w:r w:rsidRPr="008055AA">
              <w:t>$13.98</w:t>
            </w:r>
          </w:p>
        </w:tc>
      </w:tr>
      <w:tr w:rsidR="00BA7B84" w:rsidRPr="00111C7C" w:rsidTr="00A36757">
        <w:trPr>
          <w:trHeight w:val="288"/>
        </w:trPr>
        <w:tc>
          <w:tcPr>
            <w:tcW w:w="1539" w:type="dxa"/>
            <w:tcBorders>
              <w:left w:val="single" w:sz="4" w:space="0" w:color="auto"/>
            </w:tcBorders>
            <w:shd w:val="clear" w:color="auto" w:fill="D6BEDC"/>
            <w:tcMar>
              <w:top w:w="0" w:type="dxa"/>
              <w:left w:w="108" w:type="dxa"/>
              <w:bottom w:w="0" w:type="dxa"/>
              <w:right w:w="108" w:type="dxa"/>
            </w:tcMar>
            <w:vAlign w:val="bottom"/>
            <w:hideMark/>
          </w:tcPr>
          <w:p w:rsidR="00BA7B84" w:rsidRPr="00111C7C" w:rsidRDefault="00BA7B84" w:rsidP="00A36757">
            <w:pPr>
              <w:jc w:val="center"/>
              <w:rPr>
                <w:rFonts w:cs="Arial"/>
                <w:color w:val="000000"/>
                <w:lang w:eastAsia="en-AU"/>
              </w:rPr>
            </w:pPr>
            <w:r w:rsidRPr="00111C7C">
              <w:rPr>
                <w:rFonts w:cs="Arial"/>
                <w:color w:val="000000"/>
                <w:lang w:eastAsia="en-AU"/>
              </w:rPr>
              <w:t>1:6</w:t>
            </w:r>
          </w:p>
        </w:tc>
        <w:tc>
          <w:tcPr>
            <w:tcW w:w="1217" w:type="dxa"/>
            <w:noWrap/>
            <w:tcMar>
              <w:top w:w="0" w:type="dxa"/>
              <w:left w:w="108" w:type="dxa"/>
              <w:bottom w:w="0" w:type="dxa"/>
              <w:right w:w="108" w:type="dxa"/>
            </w:tcMar>
            <w:hideMark/>
          </w:tcPr>
          <w:p w:rsidR="00BA7B84" w:rsidRPr="008055AA" w:rsidRDefault="00BA7B84" w:rsidP="00A36757">
            <w:r w:rsidRPr="008055AA">
              <w:t>$10.91</w:t>
            </w:r>
          </w:p>
        </w:tc>
        <w:tc>
          <w:tcPr>
            <w:tcW w:w="1177" w:type="dxa"/>
            <w:noWrap/>
            <w:tcMar>
              <w:top w:w="0" w:type="dxa"/>
              <w:left w:w="108" w:type="dxa"/>
              <w:bottom w:w="0" w:type="dxa"/>
              <w:right w:w="108" w:type="dxa"/>
            </w:tcMar>
            <w:hideMark/>
          </w:tcPr>
          <w:p w:rsidR="00BA7B84" w:rsidRPr="008055AA" w:rsidRDefault="00BA7B84" w:rsidP="00A36757">
            <w:r w:rsidRPr="008055AA">
              <w:t>$14.22</w:t>
            </w:r>
          </w:p>
        </w:tc>
        <w:tc>
          <w:tcPr>
            <w:tcW w:w="1116" w:type="dxa"/>
            <w:noWrap/>
            <w:tcMar>
              <w:top w:w="0" w:type="dxa"/>
              <w:left w:w="108" w:type="dxa"/>
              <w:bottom w:w="0" w:type="dxa"/>
              <w:right w:w="108" w:type="dxa"/>
            </w:tcMar>
            <w:hideMark/>
          </w:tcPr>
          <w:p w:rsidR="00BA7B84" w:rsidRPr="008055AA" w:rsidRDefault="00BA7B84" w:rsidP="00A36757">
            <w:r w:rsidRPr="008055AA">
              <w:t>$17.85</w:t>
            </w:r>
          </w:p>
        </w:tc>
        <w:tc>
          <w:tcPr>
            <w:tcW w:w="1116" w:type="dxa"/>
            <w:noWrap/>
            <w:tcMar>
              <w:top w:w="0" w:type="dxa"/>
              <w:left w:w="108" w:type="dxa"/>
              <w:bottom w:w="0" w:type="dxa"/>
              <w:right w:w="108" w:type="dxa"/>
            </w:tcMar>
            <w:hideMark/>
          </w:tcPr>
          <w:p w:rsidR="00BA7B84" w:rsidRPr="008055AA" w:rsidRDefault="00BA7B84" w:rsidP="00A36757">
            <w:r w:rsidRPr="008055AA">
              <w:t>$21.82</w:t>
            </w:r>
          </w:p>
        </w:tc>
        <w:tc>
          <w:tcPr>
            <w:tcW w:w="1257" w:type="dxa"/>
            <w:noWrap/>
            <w:tcMar>
              <w:top w:w="0" w:type="dxa"/>
              <w:left w:w="108" w:type="dxa"/>
              <w:bottom w:w="0" w:type="dxa"/>
              <w:right w:w="108" w:type="dxa"/>
            </w:tcMar>
            <w:hideMark/>
          </w:tcPr>
          <w:p w:rsidR="00BA7B84" w:rsidRPr="008055AA" w:rsidRDefault="00BA7B84" w:rsidP="00A36757">
            <w:r w:rsidRPr="008055AA">
              <w:t>$11.82</w:t>
            </w:r>
          </w:p>
        </w:tc>
        <w:tc>
          <w:tcPr>
            <w:tcW w:w="1116" w:type="dxa"/>
            <w:tcBorders>
              <w:right w:val="single" w:sz="4" w:space="0" w:color="auto"/>
            </w:tcBorders>
            <w:noWrap/>
            <w:tcMar>
              <w:top w:w="0" w:type="dxa"/>
              <w:left w:w="108" w:type="dxa"/>
              <w:bottom w:w="0" w:type="dxa"/>
              <w:right w:w="108" w:type="dxa"/>
            </w:tcMar>
            <w:hideMark/>
          </w:tcPr>
          <w:p w:rsidR="00BA7B84" w:rsidRPr="008055AA" w:rsidRDefault="00BA7B84" w:rsidP="00A36757">
            <w:r w:rsidRPr="008055AA">
              <w:t>$12.00</w:t>
            </w:r>
          </w:p>
        </w:tc>
      </w:tr>
      <w:tr w:rsidR="00BA7B84" w:rsidRPr="00111C7C" w:rsidTr="00A36757">
        <w:trPr>
          <w:trHeight w:val="288"/>
        </w:trPr>
        <w:tc>
          <w:tcPr>
            <w:tcW w:w="1539" w:type="dxa"/>
            <w:tcBorders>
              <w:left w:val="single" w:sz="4" w:space="0" w:color="auto"/>
              <w:bottom w:val="single" w:sz="4" w:space="0" w:color="auto"/>
            </w:tcBorders>
            <w:shd w:val="clear" w:color="auto" w:fill="D6BEDC"/>
            <w:tcMar>
              <w:top w:w="0" w:type="dxa"/>
              <w:left w:w="108" w:type="dxa"/>
              <w:bottom w:w="0" w:type="dxa"/>
              <w:right w:w="108" w:type="dxa"/>
            </w:tcMar>
            <w:vAlign w:val="bottom"/>
            <w:hideMark/>
          </w:tcPr>
          <w:p w:rsidR="00BA7B84" w:rsidRPr="00111C7C" w:rsidRDefault="00BA7B84" w:rsidP="00A36757">
            <w:pPr>
              <w:jc w:val="center"/>
              <w:rPr>
                <w:rFonts w:cs="Arial"/>
                <w:color w:val="000000"/>
                <w:lang w:eastAsia="en-AU"/>
              </w:rPr>
            </w:pPr>
            <w:r w:rsidRPr="00111C7C">
              <w:rPr>
                <w:rFonts w:cs="Arial"/>
                <w:color w:val="000000"/>
                <w:lang w:eastAsia="en-AU"/>
              </w:rPr>
              <w:t>1:7</w:t>
            </w:r>
          </w:p>
        </w:tc>
        <w:tc>
          <w:tcPr>
            <w:tcW w:w="1217" w:type="dxa"/>
            <w:tcBorders>
              <w:bottom w:val="single" w:sz="4" w:space="0" w:color="auto"/>
            </w:tcBorders>
            <w:noWrap/>
            <w:tcMar>
              <w:top w:w="0" w:type="dxa"/>
              <w:left w:w="108" w:type="dxa"/>
              <w:bottom w:w="0" w:type="dxa"/>
              <w:right w:w="108" w:type="dxa"/>
            </w:tcMar>
            <w:hideMark/>
          </w:tcPr>
          <w:p w:rsidR="00BA7B84" w:rsidRPr="008055AA" w:rsidRDefault="00BA7B84" w:rsidP="00A36757">
            <w:r w:rsidRPr="008055AA">
              <w:t>$9.65</w:t>
            </w:r>
          </w:p>
        </w:tc>
        <w:tc>
          <w:tcPr>
            <w:tcW w:w="1177" w:type="dxa"/>
            <w:tcBorders>
              <w:bottom w:val="single" w:sz="4" w:space="0" w:color="auto"/>
            </w:tcBorders>
            <w:noWrap/>
            <w:tcMar>
              <w:top w:w="0" w:type="dxa"/>
              <w:left w:w="108" w:type="dxa"/>
              <w:bottom w:w="0" w:type="dxa"/>
              <w:right w:w="108" w:type="dxa"/>
            </w:tcMar>
            <w:hideMark/>
          </w:tcPr>
          <w:p w:rsidR="00BA7B84" w:rsidRPr="008055AA" w:rsidRDefault="00BA7B84" w:rsidP="00A36757">
            <w:r w:rsidRPr="008055AA">
              <w:t>$12.48</w:t>
            </w:r>
          </w:p>
        </w:tc>
        <w:tc>
          <w:tcPr>
            <w:tcW w:w="1116" w:type="dxa"/>
            <w:tcBorders>
              <w:bottom w:val="single" w:sz="4" w:space="0" w:color="auto"/>
            </w:tcBorders>
            <w:noWrap/>
            <w:tcMar>
              <w:top w:w="0" w:type="dxa"/>
              <w:left w:w="108" w:type="dxa"/>
              <w:bottom w:w="0" w:type="dxa"/>
              <w:right w:w="108" w:type="dxa"/>
            </w:tcMar>
            <w:hideMark/>
          </w:tcPr>
          <w:p w:rsidR="00BA7B84" w:rsidRPr="008055AA" w:rsidRDefault="00BA7B84" w:rsidP="00A36757">
            <w:r w:rsidRPr="008055AA">
              <w:t>$15.60</w:t>
            </w:r>
          </w:p>
        </w:tc>
        <w:tc>
          <w:tcPr>
            <w:tcW w:w="1116" w:type="dxa"/>
            <w:tcBorders>
              <w:bottom w:val="single" w:sz="4" w:space="0" w:color="auto"/>
            </w:tcBorders>
            <w:noWrap/>
            <w:tcMar>
              <w:top w:w="0" w:type="dxa"/>
              <w:left w:w="108" w:type="dxa"/>
              <w:bottom w:w="0" w:type="dxa"/>
              <w:right w:w="108" w:type="dxa"/>
            </w:tcMar>
            <w:hideMark/>
          </w:tcPr>
          <w:p w:rsidR="00BA7B84" w:rsidRPr="008055AA" w:rsidRDefault="00BA7B84" w:rsidP="00A36757">
            <w:r w:rsidRPr="008055AA">
              <w:t>$19.01</w:t>
            </w:r>
          </w:p>
        </w:tc>
        <w:tc>
          <w:tcPr>
            <w:tcW w:w="1257" w:type="dxa"/>
            <w:tcBorders>
              <w:bottom w:val="single" w:sz="4" w:space="0" w:color="auto"/>
            </w:tcBorders>
            <w:noWrap/>
            <w:tcMar>
              <w:top w:w="0" w:type="dxa"/>
              <w:left w:w="108" w:type="dxa"/>
              <w:bottom w:w="0" w:type="dxa"/>
              <w:right w:w="108" w:type="dxa"/>
            </w:tcMar>
            <w:hideMark/>
          </w:tcPr>
          <w:p w:rsidR="00BA7B84" w:rsidRPr="008055AA" w:rsidRDefault="00BA7B84" w:rsidP="00A36757">
            <w:r w:rsidRPr="008055AA">
              <w:t>$10.43</w:t>
            </w:r>
          </w:p>
        </w:tc>
        <w:tc>
          <w:tcPr>
            <w:tcW w:w="1116" w:type="dxa"/>
            <w:tcBorders>
              <w:bottom w:val="single" w:sz="4" w:space="0" w:color="auto"/>
              <w:right w:val="single" w:sz="4" w:space="0" w:color="auto"/>
            </w:tcBorders>
            <w:noWrap/>
            <w:tcMar>
              <w:top w:w="0" w:type="dxa"/>
              <w:left w:w="108" w:type="dxa"/>
              <w:bottom w:w="0" w:type="dxa"/>
              <w:right w:w="108" w:type="dxa"/>
            </w:tcMar>
            <w:hideMark/>
          </w:tcPr>
          <w:p w:rsidR="00BA7B84" w:rsidRDefault="00BA7B84" w:rsidP="00A36757">
            <w:r w:rsidRPr="008055AA">
              <w:t>$10.59</w:t>
            </w:r>
          </w:p>
        </w:tc>
      </w:tr>
    </w:tbl>
    <w:p w:rsidR="001566E0" w:rsidRPr="001566E0" w:rsidRDefault="00BA7B84" w:rsidP="000D1286">
      <w:pPr>
        <w:spacing w:before="120"/>
        <w:rPr>
          <w:lang w:val="en-US"/>
        </w:rPr>
      </w:pPr>
      <w:r w:rsidRPr="00FE11CF">
        <w:rPr>
          <w:i/>
          <w:lang w:val="en-US"/>
        </w:rPr>
        <w:t>NB. These prices are subject to change</w:t>
      </w:r>
      <w:r>
        <w:rPr>
          <w:i/>
          <w:lang w:val="en-US"/>
        </w:rPr>
        <w:t xml:space="preserve"> as part of the NDIS annual price review. </w:t>
      </w:r>
    </w:p>
    <w:p w:rsidR="00BA7B84" w:rsidRPr="00EC053E" w:rsidRDefault="00BA7B84">
      <w:pPr>
        <w:pStyle w:val="Heading3"/>
      </w:pPr>
      <w:bookmarkStart w:id="32" w:name="_Toc23370968"/>
      <w:bookmarkStart w:id="33" w:name="_Toc23372521"/>
      <w:bookmarkStart w:id="34" w:name="_Toc25074423"/>
      <w:r w:rsidRPr="00EC053E">
        <w:t>Determining the right ratio of supports</w:t>
      </w:r>
      <w:bookmarkEnd w:id="32"/>
      <w:bookmarkEnd w:id="33"/>
      <w:bookmarkEnd w:id="34"/>
    </w:p>
    <w:p w:rsidR="00BA7B84" w:rsidRDefault="004D1627" w:rsidP="00BA7B84">
      <w:r>
        <w:t>The</w:t>
      </w:r>
      <w:r w:rsidRPr="00BA52E6">
        <w:t xml:space="preserve"> NDIA </w:t>
      </w:r>
      <w:r>
        <w:t xml:space="preserve">will not </w:t>
      </w:r>
      <w:r w:rsidRPr="00BA52E6">
        <w:t xml:space="preserve">stipulate </w:t>
      </w:r>
      <w:r>
        <w:t xml:space="preserve">or mandate </w:t>
      </w:r>
      <w:r w:rsidRPr="00BA52E6">
        <w:t xml:space="preserve">the ratio of support </w:t>
      </w:r>
      <w:r>
        <w:t xml:space="preserve">in a participant’s plan. </w:t>
      </w:r>
      <w:r w:rsidR="00BA7B84" w:rsidRPr="005A4EFB">
        <w:t xml:space="preserve">Providers need </w:t>
      </w:r>
      <w:r w:rsidR="00BA7B84">
        <w:t xml:space="preserve">to </w:t>
      </w:r>
      <w:r w:rsidR="00BA7B84" w:rsidRPr="005A4EFB">
        <w:t>claim against a participant’s plan at the actual</w:t>
      </w:r>
      <w:r w:rsidR="00BA7B84">
        <w:t xml:space="preserve"> staff-to-participant</w:t>
      </w:r>
      <w:r w:rsidR="00BA7B84" w:rsidRPr="005A4EFB">
        <w:t xml:space="preserve"> ratio of support they provide in the workplace. </w:t>
      </w:r>
    </w:p>
    <w:p w:rsidR="0096547B" w:rsidRPr="005A4EFB" w:rsidRDefault="0096547B" w:rsidP="0096547B">
      <w:r w:rsidRPr="005A4EFB">
        <w:t>When determining the ratio of support, providers should consider the</w:t>
      </w:r>
      <w:r w:rsidR="001D5DB3">
        <w:t xml:space="preserve"> supervision and support that are</w:t>
      </w:r>
      <w:r w:rsidRPr="005A4EFB">
        <w:t xml:space="preserve"> provided directly to the participant during their time at work. This could include supports provided</w:t>
      </w:r>
      <w:r>
        <w:t xml:space="preserve"> by:</w:t>
      </w:r>
    </w:p>
    <w:p w:rsidR="0096547B" w:rsidRDefault="0096547B" w:rsidP="0096547B">
      <w:pPr>
        <w:pStyle w:val="ListParagraph"/>
        <w:numPr>
          <w:ilvl w:val="0"/>
          <w:numId w:val="31"/>
        </w:numPr>
        <w:spacing w:after="120" w:line="276" w:lineRule="auto"/>
      </w:pPr>
      <w:r>
        <w:t>a direct supervisor</w:t>
      </w:r>
    </w:p>
    <w:p w:rsidR="0096547B" w:rsidRPr="005A4EFB" w:rsidRDefault="0096547B" w:rsidP="0096547B">
      <w:pPr>
        <w:pStyle w:val="ListParagraph"/>
        <w:numPr>
          <w:ilvl w:val="0"/>
          <w:numId w:val="31"/>
        </w:numPr>
        <w:spacing w:after="120" w:line="276" w:lineRule="auto"/>
      </w:pPr>
      <w:r w:rsidRPr="005A4EFB">
        <w:t>a designated disability support worker</w:t>
      </w:r>
    </w:p>
    <w:p w:rsidR="0096547B" w:rsidRDefault="0096547B" w:rsidP="0096547B">
      <w:pPr>
        <w:pStyle w:val="ListParagraph"/>
        <w:numPr>
          <w:ilvl w:val="0"/>
          <w:numId w:val="31"/>
        </w:numPr>
        <w:spacing w:after="120" w:line="276" w:lineRule="auto"/>
      </w:pPr>
      <w:r w:rsidRPr="005A4EFB">
        <w:t>co-workers</w:t>
      </w:r>
      <w:r>
        <w:t xml:space="preserve"> (e.g. </w:t>
      </w:r>
      <w:r w:rsidRPr="005A4EFB">
        <w:t>technical work tasks being overseen by a skilled co-worker</w:t>
      </w:r>
      <w:r>
        <w:t xml:space="preserve">) </w:t>
      </w:r>
    </w:p>
    <w:p w:rsidR="0096547B" w:rsidRDefault="0096547B" w:rsidP="0096547B">
      <w:pPr>
        <w:pStyle w:val="ListParagraph"/>
        <w:numPr>
          <w:ilvl w:val="0"/>
          <w:numId w:val="31"/>
        </w:numPr>
        <w:spacing w:after="120" w:line="276" w:lineRule="auto"/>
      </w:pPr>
      <w:r>
        <w:lastRenderedPageBreak/>
        <w:t>an on</w:t>
      </w:r>
      <w:r w:rsidR="001D5DB3">
        <w:t>-site trainer</w:t>
      </w:r>
    </w:p>
    <w:p w:rsidR="0096547B" w:rsidRDefault="001D5DB3" w:rsidP="0096547B">
      <w:pPr>
        <w:pStyle w:val="ListParagraph"/>
        <w:numPr>
          <w:ilvl w:val="0"/>
          <w:numId w:val="31"/>
        </w:numPr>
        <w:spacing w:after="120" w:line="276" w:lineRule="auto"/>
      </w:pPr>
      <w:r>
        <w:t xml:space="preserve">an </w:t>
      </w:r>
      <w:r w:rsidR="0096547B">
        <w:t>employment coach</w:t>
      </w:r>
    </w:p>
    <w:p w:rsidR="001566E0" w:rsidRDefault="001D5DB3" w:rsidP="0096547B">
      <w:pPr>
        <w:pStyle w:val="ListParagraph"/>
        <w:numPr>
          <w:ilvl w:val="0"/>
          <w:numId w:val="31"/>
        </w:numPr>
        <w:spacing w:after="120" w:line="276" w:lineRule="auto"/>
      </w:pPr>
      <w:r>
        <w:t xml:space="preserve">a </w:t>
      </w:r>
      <w:r w:rsidR="001566E0">
        <w:t>personal care worker</w:t>
      </w:r>
    </w:p>
    <w:p w:rsidR="001566E0" w:rsidRDefault="001D5DB3" w:rsidP="00BA7B84">
      <w:r>
        <w:t>Non-face-to-</w:t>
      </w:r>
      <w:r w:rsidR="0096547B">
        <w:t>face time is an important</w:t>
      </w:r>
      <w:r>
        <w:t xml:space="preserve"> component of service delivery and could include</w:t>
      </w:r>
      <w:r w:rsidR="00C53BD1">
        <w:t>, for example,</w:t>
      </w:r>
      <w:r w:rsidR="0096547B">
        <w:t xml:space="preserve"> </w:t>
      </w:r>
      <w:r w:rsidR="001566E0">
        <w:t>individualised p</w:t>
      </w:r>
      <w:r>
        <w:t xml:space="preserve">lanning, assessment, job design, </w:t>
      </w:r>
      <w:r w:rsidR="001566E0">
        <w:t xml:space="preserve">creation of task prompts, </w:t>
      </w:r>
      <w:r>
        <w:t>writing reports</w:t>
      </w:r>
      <w:r w:rsidR="00CA7A24">
        <w:t>,</w:t>
      </w:r>
      <w:r>
        <w:t xml:space="preserve"> and updating file notes. </w:t>
      </w:r>
      <w:r w:rsidR="004C68BB">
        <w:t xml:space="preserve">If this time relates to a single participant, it would be charged at the 1:1 hourly rate. </w:t>
      </w:r>
    </w:p>
    <w:p w:rsidR="00F9082A" w:rsidRDefault="00F9082A" w:rsidP="00BA7B84">
      <w:r>
        <w:t>It is important that ADEs undertake a detailed analysis of a participant</w:t>
      </w:r>
      <w:r w:rsidR="004C68BB">
        <w:t>’</w:t>
      </w:r>
      <w:r>
        <w:t xml:space="preserve">s typical supports in the workplace to accurately reflect the support provision. While it may seem </w:t>
      </w:r>
      <w:r w:rsidR="00046C10">
        <w:t>administratively</w:t>
      </w:r>
      <w:r>
        <w:t xml:space="preserve"> simple to </w:t>
      </w:r>
      <w:r w:rsidR="00C27F24">
        <w:t xml:space="preserve">divide total participants by total support </w:t>
      </w:r>
      <w:r>
        <w:t xml:space="preserve">staff to </w:t>
      </w:r>
      <w:r w:rsidR="00C27F24">
        <w:t>calculate a support ratio, this is not likely to result in</w:t>
      </w:r>
      <w:r>
        <w:t xml:space="preserve"> fair </w:t>
      </w:r>
      <w:r w:rsidR="00046C10">
        <w:t>remuneration</w:t>
      </w:r>
      <w:r>
        <w:t xml:space="preserve"> for th</w:t>
      </w:r>
      <w:r w:rsidR="00C27F24">
        <w:t>e range of supports delivered. Nor would it</w:t>
      </w:r>
      <w:r>
        <w:t xml:space="preserve"> provide equity for participants, as some with lower</w:t>
      </w:r>
      <w:r w:rsidR="00C27F24">
        <w:t xml:space="preserve"> support needs may end up cross-subsidising participants</w:t>
      </w:r>
      <w:r>
        <w:t xml:space="preserve"> with higher support needs. </w:t>
      </w:r>
    </w:p>
    <w:p w:rsidR="004D5157" w:rsidRDefault="00F9082A" w:rsidP="00BA7B84">
      <w:r>
        <w:t xml:space="preserve">For example, </w:t>
      </w:r>
      <w:r w:rsidR="0043758C">
        <w:t>“Bingly”</w:t>
      </w:r>
      <w:r>
        <w:t xml:space="preserve"> ADE</w:t>
      </w:r>
      <w:r w:rsidR="0043758C">
        <w:t xml:space="preserve"> empl</w:t>
      </w:r>
      <w:r w:rsidR="00C27F24">
        <w:t>oys 53 people and typically has</w:t>
      </w:r>
      <w:r w:rsidR="0043758C">
        <w:t xml:space="preserve"> 4 support staff on the floor per day. </w:t>
      </w:r>
      <w:r w:rsidR="00C27F24">
        <w:t>The majority of</w:t>
      </w:r>
      <w:r w:rsidR="004D5157">
        <w:t xml:space="preserve"> participants are DMI 4 and the annual CBF is $805,136. </w:t>
      </w:r>
      <w:r w:rsidR="00C27F24">
        <w:t>Participants work</w:t>
      </w:r>
      <w:r w:rsidR="004D5157">
        <w:t xml:space="preserve"> an average of </w:t>
      </w:r>
      <w:r w:rsidR="0096547B">
        <w:t>23</w:t>
      </w:r>
      <w:r w:rsidR="004D5157">
        <w:t xml:space="preserve"> hours per week</w:t>
      </w:r>
      <w:r w:rsidR="00C27F24">
        <w:t>. If Bingly assumed a blanket</w:t>
      </w:r>
      <w:r w:rsidR="00173439">
        <w:t xml:space="preserve"> </w:t>
      </w:r>
      <w:r w:rsidR="00C27F24">
        <w:t xml:space="preserve">support ratio of </w:t>
      </w:r>
      <w:r w:rsidR="003F7109">
        <w:t>1:</w:t>
      </w:r>
      <w:r w:rsidR="00C27F24">
        <w:t>7+, its</w:t>
      </w:r>
      <w:r w:rsidR="0096547B">
        <w:t xml:space="preserve"> base an</w:t>
      </w:r>
      <w:r w:rsidR="00C27F24">
        <w:t>nual claiming (over 48 weeks) would be</w:t>
      </w:r>
      <w:r w:rsidR="0096547B">
        <w:t xml:space="preserve"> </w:t>
      </w:r>
      <w:r w:rsidR="0096547B" w:rsidRPr="007871FA">
        <w:rPr>
          <w:b/>
        </w:rPr>
        <w:t>$564,640</w:t>
      </w:r>
      <w:r w:rsidR="0096547B">
        <w:t xml:space="preserve">. </w:t>
      </w:r>
    </w:p>
    <w:p w:rsidR="00BA7B84" w:rsidRDefault="00C27F24" w:rsidP="00980B90">
      <w:r>
        <w:t xml:space="preserve">However, </w:t>
      </w:r>
      <w:r w:rsidR="0096547B">
        <w:t xml:space="preserve">Bingly </w:t>
      </w:r>
      <w:r>
        <w:t>decided to undertake</w:t>
      </w:r>
      <w:r w:rsidR="0096547B">
        <w:t xml:space="preserve"> a </w:t>
      </w:r>
      <w:r w:rsidR="00046C10">
        <w:t>detailed</w:t>
      </w:r>
      <w:r w:rsidR="0096547B">
        <w:t xml:space="preserve"> evaluation of the </w:t>
      </w:r>
      <w:r>
        <w:t xml:space="preserve">actual </w:t>
      </w:r>
      <w:r w:rsidR="0096547B">
        <w:t xml:space="preserve">range of </w:t>
      </w:r>
      <w:r>
        <w:t>workplace supports</w:t>
      </w:r>
      <w:r w:rsidR="007871FA">
        <w:t xml:space="preserve"> it provides. It </w:t>
      </w:r>
      <w:r>
        <w:t>developed a typical</w:t>
      </w:r>
      <w:r w:rsidR="0096547B">
        <w:t xml:space="preserve"> support profile f</w:t>
      </w:r>
      <w:r w:rsidR="007871FA">
        <w:t>or each participant, which included</w:t>
      </w:r>
      <w:r w:rsidR="00173439">
        <w:t xml:space="preserve"> </w:t>
      </w:r>
      <w:r w:rsidR="007871FA">
        <w:t xml:space="preserve">small group training </w:t>
      </w:r>
      <w:r w:rsidR="00786C9C">
        <w:t xml:space="preserve">(1:4 support) </w:t>
      </w:r>
      <w:r w:rsidR="00173439">
        <w:t xml:space="preserve">and </w:t>
      </w:r>
      <w:r w:rsidR="0096547B">
        <w:t>1:1</w:t>
      </w:r>
      <w:r>
        <w:t xml:space="preserve"> support for</w:t>
      </w:r>
      <w:r w:rsidR="0096547B">
        <w:t xml:space="preserve"> individual coaching, personal care, report writing, individual job design, work</w:t>
      </w:r>
      <w:r w:rsidR="007871FA">
        <w:t xml:space="preserve">place assessments and </w:t>
      </w:r>
      <w:r w:rsidR="0096547B">
        <w:t>behav</w:t>
      </w:r>
      <w:r w:rsidR="00046C10">
        <w:t xml:space="preserve">iour </w:t>
      </w:r>
      <w:r w:rsidR="0096547B">
        <w:t>managem</w:t>
      </w:r>
      <w:r w:rsidR="007871FA">
        <w:t>ent. As a result, Bingly</w:t>
      </w:r>
      <w:r w:rsidR="0096547B">
        <w:t xml:space="preserve"> created </w:t>
      </w:r>
      <w:r w:rsidR="00173439">
        <w:t xml:space="preserve">annual </w:t>
      </w:r>
      <w:r w:rsidR="0096547B">
        <w:t>service bo</w:t>
      </w:r>
      <w:r w:rsidR="007871FA">
        <w:t>okings for their 53 workers, with expected</w:t>
      </w:r>
      <w:r w:rsidR="00173439">
        <w:t xml:space="preserve"> </w:t>
      </w:r>
      <w:r w:rsidR="007871FA">
        <w:t xml:space="preserve">support income of </w:t>
      </w:r>
      <w:r w:rsidR="0096547B" w:rsidRPr="007871FA">
        <w:rPr>
          <w:b/>
        </w:rPr>
        <w:t>$914,122</w:t>
      </w:r>
      <w:r w:rsidR="0096547B">
        <w:t xml:space="preserve">. </w:t>
      </w:r>
    </w:p>
    <w:tbl>
      <w:tblPr>
        <w:tblStyle w:val="TableGrid"/>
        <w:tblW w:w="0" w:type="auto"/>
        <w:tblLook w:val="04A0" w:firstRow="1" w:lastRow="0" w:firstColumn="1" w:lastColumn="0" w:noHBand="0" w:noVBand="1"/>
        <w:tblCaption w:val="Questions"/>
        <w:tblDescription w:val="3. What defines a support worker in the employment context?What roles within your organisation provide direct supports to an employee with disability? Would you include peer-to-peer supports?  &#10;4. Are there indirect support roles that could be considered in calculating support ratios? If so, what are those roles and what support do these roles provide?&#10;"/>
      </w:tblPr>
      <w:tblGrid>
        <w:gridCol w:w="9016"/>
      </w:tblGrid>
      <w:tr w:rsidR="007718DD" w:rsidTr="00632067">
        <w:trPr>
          <w:tblHeader/>
        </w:trPr>
        <w:tc>
          <w:tcPr>
            <w:tcW w:w="9016" w:type="dxa"/>
            <w:tcBorders>
              <w:bottom w:val="nil"/>
            </w:tcBorders>
            <w:shd w:val="clear" w:color="auto" w:fill="E5DFEC" w:themeFill="accent4" w:themeFillTint="33"/>
          </w:tcPr>
          <w:p w:rsidR="007718DD" w:rsidRPr="007718DD" w:rsidRDefault="007718DD" w:rsidP="007718DD">
            <w:pPr>
              <w:pStyle w:val="Heading4"/>
              <w:outlineLvl w:val="3"/>
            </w:pPr>
            <w:r w:rsidRPr="007718DD">
              <w:t>Questions</w:t>
            </w:r>
          </w:p>
        </w:tc>
      </w:tr>
      <w:tr w:rsidR="00236B20" w:rsidTr="00632067">
        <w:tc>
          <w:tcPr>
            <w:tcW w:w="9016" w:type="dxa"/>
            <w:tcBorders>
              <w:top w:val="nil"/>
            </w:tcBorders>
            <w:shd w:val="clear" w:color="auto" w:fill="E5DFEC" w:themeFill="accent4" w:themeFillTint="33"/>
          </w:tcPr>
          <w:p w:rsidR="00236B20" w:rsidRPr="00D26061" w:rsidRDefault="00236B20" w:rsidP="00236B20">
            <w:pPr>
              <w:pStyle w:val="ListParagraph"/>
              <w:numPr>
                <w:ilvl w:val="0"/>
                <w:numId w:val="42"/>
              </w:numPr>
              <w:rPr>
                <w:b/>
              </w:rPr>
            </w:pPr>
            <w:r>
              <w:t>What defines a support worker in the employment context? What roles within your organisation provide direct supports to an employee wi</w:t>
            </w:r>
            <w:r w:rsidR="004A6EBE">
              <w:t>th disability?</w:t>
            </w:r>
            <w:r>
              <w:t xml:space="preserve"> </w:t>
            </w:r>
            <w:r w:rsidR="004A6EBE">
              <w:t>Would you include peer-to-</w:t>
            </w:r>
            <w:r>
              <w:t xml:space="preserve">peer supports?  </w:t>
            </w:r>
          </w:p>
          <w:p w:rsidR="00236B20" w:rsidRPr="00D26061" w:rsidRDefault="00236B20" w:rsidP="00236B20">
            <w:pPr>
              <w:pStyle w:val="ListParagraph"/>
              <w:numPr>
                <w:ilvl w:val="0"/>
                <w:numId w:val="42"/>
              </w:numPr>
              <w:rPr>
                <w:b/>
              </w:rPr>
            </w:pPr>
            <w:r>
              <w:t>Are there indirect support roles</w:t>
            </w:r>
            <w:r w:rsidR="00A152B9">
              <w:t xml:space="preserve"> that could be considered in calculating</w:t>
            </w:r>
            <w:r>
              <w:t xml:space="preserve"> support ratio</w:t>
            </w:r>
            <w:r w:rsidR="00A152B9">
              <w:t>s? If so</w:t>
            </w:r>
            <w:r>
              <w:t xml:space="preserve">, what are those roles and what support </w:t>
            </w:r>
            <w:r w:rsidR="00A152B9">
              <w:t>do these roles provide</w:t>
            </w:r>
            <w:r>
              <w:t>?</w:t>
            </w:r>
          </w:p>
        </w:tc>
      </w:tr>
    </w:tbl>
    <w:p w:rsidR="00CD1CBE" w:rsidRDefault="00CD1CBE" w:rsidP="005136A2">
      <w:pPr>
        <w:pStyle w:val="ListParagraph"/>
        <w:spacing w:after="120" w:line="276" w:lineRule="auto"/>
      </w:pPr>
    </w:p>
    <w:p w:rsidR="00BA7B84" w:rsidRPr="00BA52E6" w:rsidRDefault="007F7E88" w:rsidP="00BA7B84">
      <w:r>
        <w:t>T</w:t>
      </w:r>
      <w:r w:rsidR="00BA7B84" w:rsidRPr="00BA52E6">
        <w:t>he level of support a partici</w:t>
      </w:r>
      <w:r w:rsidR="00BA7B84">
        <w:t>pant receives may vary from day-to-</w:t>
      </w:r>
      <w:r w:rsidR="00BA7B84" w:rsidRPr="00BA52E6">
        <w:t xml:space="preserve">day. </w:t>
      </w:r>
      <w:r w:rsidR="00BA7B84">
        <w:t xml:space="preserve">For example, a participant may have different jobs or tasks of varying complexity to complete across the week. This will </w:t>
      </w:r>
      <w:r w:rsidR="00BA7B84" w:rsidRPr="00BA52E6">
        <w:t xml:space="preserve">dictate changes in support ratios. </w:t>
      </w:r>
    </w:p>
    <w:p w:rsidR="001B066A" w:rsidRDefault="00BA7B84" w:rsidP="00BA7B84">
      <w:r w:rsidRPr="00BA52E6">
        <w:t>To manage this potential variation, we recommend taking a pragmatic approach that ensures fair remuneration for the services delivered while</w:t>
      </w:r>
      <w:r>
        <w:t xml:space="preserve"> minimising </w:t>
      </w:r>
      <w:r w:rsidRPr="00BA52E6">
        <w:t xml:space="preserve">the </w:t>
      </w:r>
      <w:r>
        <w:t>administrative burden of</w:t>
      </w:r>
      <w:r w:rsidRPr="00BA52E6">
        <w:t xml:space="preserve"> tracking hour-by-hour fluctuations in support. </w:t>
      </w:r>
      <w:r w:rsidR="004A4EB5">
        <w:t xml:space="preserve">This may involve identifying the pattern of support a participant requires during a typical week and charging on that basis. </w:t>
      </w:r>
    </w:p>
    <w:p w:rsidR="00C53BD1" w:rsidRDefault="00BA7B84" w:rsidP="00BA7B84">
      <w:r w:rsidRPr="00BA52E6">
        <w:t xml:space="preserve">The NDIA </w:t>
      </w:r>
      <w:r w:rsidR="004A4EB5">
        <w:t>will run face-to-</w:t>
      </w:r>
      <w:r w:rsidR="00F46901">
        <w:t>fa</w:t>
      </w:r>
      <w:r w:rsidR="004A4EB5">
        <w:t>ce information sessions and web-</w:t>
      </w:r>
      <w:r w:rsidR="00F46901">
        <w:t xml:space="preserve">based interactive sessions to assist </w:t>
      </w:r>
      <w:r w:rsidRPr="00BA52E6">
        <w:t>providers to understan</w:t>
      </w:r>
      <w:r>
        <w:t>d how</w:t>
      </w:r>
      <w:r w:rsidR="004A4EB5">
        <w:t xml:space="preserve"> they might approach this consistent with their </w:t>
      </w:r>
      <w:r>
        <w:t>business models.</w:t>
      </w:r>
    </w:p>
    <w:tbl>
      <w:tblPr>
        <w:tblStyle w:val="TableGrid"/>
        <w:tblW w:w="0" w:type="auto"/>
        <w:tblLook w:val="04A0" w:firstRow="1" w:lastRow="0" w:firstColumn="1" w:lastColumn="0" w:noHBand="0" w:noVBand="1"/>
        <w:tblCaption w:val="Questions"/>
        <w:tblDescription w:val="5. In tracking the intensity of supports they provide, what could supported employment providers learn from organisations that claim hours-based services for community participation? &#10;6. What practical steps could be taken to minimise any unreasonable administration burden associated with the pricing framework?  &#10;"/>
      </w:tblPr>
      <w:tblGrid>
        <w:gridCol w:w="9016"/>
      </w:tblGrid>
      <w:tr w:rsidR="001B066A" w:rsidTr="00632067">
        <w:trPr>
          <w:tblHeader/>
        </w:trPr>
        <w:tc>
          <w:tcPr>
            <w:tcW w:w="9016" w:type="dxa"/>
            <w:tcBorders>
              <w:bottom w:val="nil"/>
            </w:tcBorders>
            <w:shd w:val="clear" w:color="auto" w:fill="E5DFEC" w:themeFill="accent4" w:themeFillTint="33"/>
          </w:tcPr>
          <w:p w:rsidR="001B066A" w:rsidRPr="007718DD" w:rsidRDefault="001B066A" w:rsidP="007718DD">
            <w:pPr>
              <w:pStyle w:val="Heading4"/>
              <w:outlineLvl w:val="3"/>
            </w:pPr>
            <w:r w:rsidRPr="001205AC">
              <w:lastRenderedPageBreak/>
              <w:t>Question</w:t>
            </w:r>
            <w:r w:rsidR="007718DD">
              <w:t>s</w:t>
            </w:r>
          </w:p>
        </w:tc>
      </w:tr>
      <w:tr w:rsidR="007718DD" w:rsidTr="00632067">
        <w:tc>
          <w:tcPr>
            <w:tcW w:w="9016" w:type="dxa"/>
            <w:tcBorders>
              <w:top w:val="nil"/>
              <w:left w:val="single" w:sz="4" w:space="0" w:color="auto"/>
              <w:bottom w:val="single" w:sz="4" w:space="0" w:color="auto"/>
              <w:right w:val="single" w:sz="4" w:space="0" w:color="auto"/>
            </w:tcBorders>
            <w:shd w:val="clear" w:color="auto" w:fill="E5DFEC" w:themeFill="accent4" w:themeFillTint="33"/>
          </w:tcPr>
          <w:p w:rsidR="007718DD" w:rsidRPr="00C53BD1" w:rsidRDefault="007718DD" w:rsidP="007718DD">
            <w:pPr>
              <w:pStyle w:val="ListParagraph"/>
              <w:numPr>
                <w:ilvl w:val="0"/>
                <w:numId w:val="42"/>
              </w:numPr>
              <w:rPr>
                <w:b/>
              </w:rPr>
            </w:pPr>
            <w:r>
              <w:t xml:space="preserve">In tracking the intensity of supports they provide, what could supported employment providers learn from organisations that claim hours-based services for community participation? </w:t>
            </w:r>
          </w:p>
          <w:p w:rsidR="007718DD" w:rsidRPr="007718DD" w:rsidRDefault="007718DD" w:rsidP="007718DD">
            <w:pPr>
              <w:pStyle w:val="ListParagraph"/>
              <w:numPr>
                <w:ilvl w:val="0"/>
                <w:numId w:val="42"/>
              </w:numPr>
              <w:rPr>
                <w:b/>
              </w:rPr>
            </w:pPr>
            <w:r>
              <w:t xml:space="preserve">What practical steps could be taken to minimise any unreasonable administration burden associated with the pricing framework?  </w:t>
            </w:r>
          </w:p>
        </w:tc>
      </w:tr>
    </w:tbl>
    <w:p w:rsidR="00317711" w:rsidRDefault="00317711" w:rsidP="00317711">
      <w:bookmarkStart w:id="35" w:name="_Toc23370969"/>
      <w:bookmarkStart w:id="36" w:name="_Toc23372522"/>
    </w:p>
    <w:p w:rsidR="00BA7B84" w:rsidRPr="00EC053E" w:rsidRDefault="00BA7B84">
      <w:pPr>
        <w:pStyle w:val="Heading3"/>
      </w:pPr>
      <w:bookmarkStart w:id="37" w:name="_Toc25074424"/>
      <w:r w:rsidRPr="00EC053E">
        <w:t>Claiming supports</w:t>
      </w:r>
      <w:bookmarkEnd w:id="35"/>
      <w:bookmarkEnd w:id="36"/>
      <w:bookmarkEnd w:id="37"/>
      <w:r w:rsidRPr="00EC053E">
        <w:t xml:space="preserve"> </w:t>
      </w:r>
    </w:p>
    <w:p w:rsidR="00BA7B84" w:rsidRPr="00077051" w:rsidRDefault="004A4EB5">
      <w:r>
        <w:t>From July 2020, p</w:t>
      </w:r>
      <w:r w:rsidR="00BA7B84">
        <w:t xml:space="preserve">roviders will start claiming employment supports from a participant’s Core Supports budget. </w:t>
      </w:r>
      <w:r w:rsidR="00FC72B5">
        <w:t xml:space="preserve">The NDIA </w:t>
      </w:r>
      <w:r w:rsidR="00462DE4">
        <w:t>is</w:t>
      </w:r>
      <w:r w:rsidR="00FC72B5">
        <w:t xml:space="preserve"> </w:t>
      </w:r>
      <w:r w:rsidR="00BA7B84">
        <w:t>updat</w:t>
      </w:r>
      <w:r w:rsidR="00462DE4">
        <w:t>ing</w:t>
      </w:r>
      <w:r w:rsidR="00BA7B84">
        <w:t xml:space="preserve"> </w:t>
      </w:r>
      <w:r w:rsidR="003F4450">
        <w:t>the claiming system</w:t>
      </w:r>
      <w:r w:rsidR="00BA7B84">
        <w:t xml:space="preserve"> to ensure </w:t>
      </w:r>
      <w:r w:rsidR="00AC4F03">
        <w:t>this can happen</w:t>
      </w:r>
      <w:r w:rsidR="00F46901">
        <w:t xml:space="preserve">. </w:t>
      </w:r>
      <w:r w:rsidR="00BA7B84">
        <w:t xml:space="preserve"> </w:t>
      </w:r>
    </w:p>
    <w:p w:rsidR="00BA7B84" w:rsidRDefault="00BA7B84" w:rsidP="00BA7B84">
      <w:r>
        <w:t>If a participant needs a</w:t>
      </w:r>
      <w:r w:rsidR="00AC4F03">
        <w:t>dditional time-limited c</w:t>
      </w:r>
      <w:r w:rsidR="008179E2">
        <w:t>apacity-</w:t>
      </w:r>
      <w:r>
        <w:t>building supports to pursue their employment goals</w:t>
      </w:r>
      <w:r w:rsidR="00D12722">
        <w:t xml:space="preserve">, </w:t>
      </w:r>
      <w:r>
        <w:t>incl</w:t>
      </w:r>
      <w:r w:rsidR="00D12722">
        <w:t>uding</w:t>
      </w:r>
      <w:r>
        <w:t xml:space="preserve"> career progression, providers will be able to claim this </w:t>
      </w:r>
      <w:r w:rsidR="00D12722">
        <w:t>from</w:t>
      </w:r>
      <w:r>
        <w:t xml:space="preserve"> </w:t>
      </w:r>
      <w:r w:rsidR="00D12722">
        <w:t xml:space="preserve">the </w:t>
      </w:r>
      <w:r>
        <w:t xml:space="preserve">participant’s Capacity Building budget.  </w:t>
      </w:r>
    </w:p>
    <w:p w:rsidR="00BA7B84" w:rsidRDefault="00BA7B84" w:rsidP="00BA7B84">
      <w:pPr>
        <w:autoSpaceDE w:val="0"/>
        <w:autoSpaceDN w:val="0"/>
      </w:pPr>
      <w:r w:rsidRPr="00BA52E6">
        <w:t xml:space="preserve">While the funding in a participant’s plan </w:t>
      </w:r>
      <w:r w:rsidR="008179E2">
        <w:t>will be</w:t>
      </w:r>
      <w:r w:rsidRPr="00BA52E6">
        <w:t xml:space="preserve"> based on the best estimate of the support hours and support ratios </w:t>
      </w:r>
      <w:r w:rsidR="00AC4F03">
        <w:t>the participant</w:t>
      </w:r>
      <w:r>
        <w:t xml:space="preserve"> will require, </w:t>
      </w:r>
      <w:r w:rsidR="008179E2">
        <w:t xml:space="preserve">providers will </w:t>
      </w:r>
      <w:r w:rsidRPr="00BA52E6">
        <w:t xml:space="preserve">claim for the supports they actually deliver. </w:t>
      </w:r>
    </w:p>
    <w:p w:rsidR="000C7426" w:rsidRPr="008670FD" w:rsidRDefault="000C7426" w:rsidP="000C7426">
      <w:pPr>
        <w:autoSpaceDE w:val="0"/>
        <w:autoSpaceDN w:val="0"/>
      </w:pPr>
      <w:r>
        <w:t>S</w:t>
      </w:r>
      <w:r w:rsidRPr="008670FD">
        <w:t xml:space="preserve">upported employment </w:t>
      </w:r>
      <w:r>
        <w:t>providers will be able to</w:t>
      </w:r>
      <w:r w:rsidRPr="008670FD">
        <w:t xml:space="preserve"> charge for non-face-to-face time related to the disability support of the participant, even if the participant is not present in the workplace. The rules governing this are set out in the </w:t>
      </w:r>
      <w:hyperlink r:id="rId18" w:history="1">
        <w:r w:rsidRPr="00A70566">
          <w:rPr>
            <w:rStyle w:val="Hyperlink"/>
            <w:szCs w:val="22"/>
          </w:rPr>
          <w:t>NDIS Price Guide 2019-20</w:t>
        </w:r>
      </w:hyperlink>
      <w:r w:rsidR="000D1286" w:rsidRPr="000D1286">
        <w:t xml:space="preserve"> </w:t>
      </w:r>
      <w:r w:rsidR="000D1286">
        <w:t>(page 19).</w:t>
      </w:r>
    </w:p>
    <w:p w:rsidR="000C7426" w:rsidRPr="008670FD" w:rsidRDefault="000C7426" w:rsidP="000C7426">
      <w:pPr>
        <w:autoSpaceDE w:val="0"/>
        <w:autoSpaceDN w:val="0"/>
      </w:pPr>
      <w:r>
        <w:t>Providers will</w:t>
      </w:r>
      <w:r w:rsidRPr="008670FD">
        <w:t xml:space="preserve"> also</w:t>
      </w:r>
      <w:r>
        <w:t xml:space="preserve"> be able to</w:t>
      </w:r>
      <w:r w:rsidRPr="008670FD">
        <w:t xml:space="preserve"> claim for short-notice cancellations or ‘no shows’, according to the rules outlined </w:t>
      </w:r>
      <w:r w:rsidR="00B80FE8">
        <w:t>o</w:t>
      </w:r>
      <w:r w:rsidRPr="008670FD">
        <w:t xml:space="preserve">n </w:t>
      </w:r>
      <w:r w:rsidR="00B80FE8">
        <w:t xml:space="preserve">page 18 of </w:t>
      </w:r>
      <w:r w:rsidRPr="008670FD">
        <w:t xml:space="preserve">the Price Guide. </w:t>
      </w:r>
    </w:p>
    <w:p w:rsidR="00EA5626" w:rsidRDefault="00BA7B84" w:rsidP="00446D6C">
      <w:pPr>
        <w:autoSpaceDE w:val="0"/>
        <w:autoSpaceDN w:val="0"/>
      </w:pPr>
      <w:r>
        <w:t>When a participant’s plan is approved, service agreements between participants and providers should be updated to reflect what has been agreed to</w:t>
      </w:r>
      <w:r w:rsidR="00D12722">
        <w:t>,</w:t>
      </w:r>
      <w:r>
        <w:t xml:space="preserve"> and </w:t>
      </w:r>
      <w:r w:rsidRPr="00BA52E6">
        <w:t xml:space="preserve">all costs should be clear to both parties. Service agreements should </w:t>
      </w:r>
      <w:r>
        <w:t xml:space="preserve">also </w:t>
      </w:r>
      <w:r w:rsidRPr="00BA52E6">
        <w:t>be consistent with the corresponding service booking in the NDIS provider portal.</w:t>
      </w:r>
    </w:p>
    <w:p w:rsidR="00763422" w:rsidRDefault="00763422">
      <w:pPr>
        <w:spacing w:line="276" w:lineRule="auto"/>
      </w:pPr>
      <w:r>
        <w:br w:type="page"/>
      </w:r>
    </w:p>
    <w:p w:rsidR="00763422" w:rsidRPr="00696E86" w:rsidRDefault="00763422" w:rsidP="00696E86">
      <w:pPr>
        <w:pStyle w:val="Heading3"/>
      </w:pPr>
      <w:bookmarkStart w:id="38" w:name="_Toc25074425"/>
      <w:r w:rsidRPr="00696E86">
        <w:lastRenderedPageBreak/>
        <w:t>Case studies</w:t>
      </w:r>
      <w:bookmarkEnd w:id="38"/>
    </w:p>
    <w:p w:rsidR="00D1782E" w:rsidRDefault="00A36757" w:rsidP="00446D6C">
      <w:pPr>
        <w:rPr>
          <w:b/>
          <w:sz w:val="28"/>
          <w:szCs w:val="28"/>
        </w:rPr>
      </w:pPr>
      <w:r w:rsidRPr="00BA52E6">
        <w:t xml:space="preserve">The following case studies provide examples of how </w:t>
      </w:r>
      <w:r w:rsidR="00D062D5">
        <w:t>to claim,</w:t>
      </w:r>
      <w:r w:rsidRPr="00BA52E6">
        <w:t xml:space="preserve"> taking into account plan funding and the levels of support delivered.</w:t>
      </w:r>
    </w:p>
    <w:p w:rsidR="00D12722" w:rsidRPr="00446D6C" w:rsidRDefault="00D12722" w:rsidP="00446D6C">
      <w:pPr>
        <w:rPr>
          <w:b/>
          <w:sz w:val="28"/>
          <w:szCs w:val="28"/>
        </w:rPr>
      </w:pPr>
      <w:r w:rsidRPr="00446D6C">
        <w:rPr>
          <w:b/>
          <w:sz w:val="28"/>
          <w:szCs w:val="28"/>
        </w:rPr>
        <w:t>Case study: Joseph</w:t>
      </w:r>
    </w:p>
    <w:p w:rsidR="00D830B4" w:rsidRPr="008553DA" w:rsidRDefault="00D12722" w:rsidP="00D830B4">
      <w:pPr>
        <w:rPr>
          <w:szCs w:val="22"/>
        </w:rPr>
      </w:pPr>
      <w:r w:rsidRPr="00D830B4">
        <w:rPr>
          <w:szCs w:val="22"/>
        </w:rPr>
        <w:t>Joseph currently works an average of 22 hours per week in his local ADE. Pre-NDIS</w:t>
      </w:r>
      <w:r w:rsidR="008179E2" w:rsidRPr="00D830B4">
        <w:rPr>
          <w:szCs w:val="22"/>
        </w:rPr>
        <w:t>,</w:t>
      </w:r>
      <w:r w:rsidRPr="00D830B4">
        <w:rPr>
          <w:szCs w:val="22"/>
        </w:rPr>
        <w:t xml:space="preserve"> Joseph was assessed at DMI level 3. He works in the warehouse, assembling items for packing and distribution</w:t>
      </w:r>
      <w:r w:rsidR="008179E2" w:rsidRPr="00D830B4">
        <w:rPr>
          <w:szCs w:val="22"/>
        </w:rPr>
        <w:t xml:space="preserve">. </w:t>
      </w:r>
      <w:r w:rsidR="00D830B4" w:rsidRPr="00D830B4">
        <w:rPr>
          <w:szCs w:val="22"/>
        </w:rPr>
        <w:t>Joseph works in a group of five employees, directly supervised by one staff member.</w:t>
      </w:r>
      <w:r w:rsidR="00D830B4">
        <w:rPr>
          <w:szCs w:val="22"/>
        </w:rPr>
        <w:t xml:space="preserve"> Joseph also needs regular promp</w:t>
      </w:r>
      <w:r w:rsidR="005850B1">
        <w:rPr>
          <w:szCs w:val="22"/>
        </w:rPr>
        <w:t>ting, typically needing 1:1 support</w:t>
      </w:r>
      <w:r w:rsidR="00D830B4">
        <w:rPr>
          <w:szCs w:val="22"/>
        </w:rPr>
        <w:t xml:space="preserve"> at the beginning of the day and after lunch to remind him of the work ahead and his responsibilities. </w:t>
      </w:r>
    </w:p>
    <w:p w:rsidR="00D12722" w:rsidRDefault="008179E2" w:rsidP="00446D6C">
      <w:pPr>
        <w:rPr>
          <w:szCs w:val="22"/>
        </w:rPr>
      </w:pPr>
      <w:r>
        <w:rPr>
          <w:szCs w:val="22"/>
        </w:rPr>
        <w:t xml:space="preserve">Joseph would </w:t>
      </w:r>
      <w:r w:rsidR="00D830B4">
        <w:rPr>
          <w:szCs w:val="22"/>
        </w:rPr>
        <w:t xml:space="preserve">also </w:t>
      </w:r>
      <w:r>
        <w:rPr>
          <w:szCs w:val="22"/>
        </w:rPr>
        <w:t xml:space="preserve">like to try </w:t>
      </w:r>
      <w:r w:rsidR="00D12722" w:rsidRPr="008553DA">
        <w:rPr>
          <w:szCs w:val="22"/>
        </w:rPr>
        <w:t xml:space="preserve">different jobs in the ADE but to do that he needs to learn safety around machinery and receive 1:1 support for a period of time. </w:t>
      </w:r>
    </w:p>
    <w:p w:rsidR="00D12722" w:rsidRPr="008553DA" w:rsidRDefault="00D12722" w:rsidP="00446D6C">
      <w:pPr>
        <w:rPr>
          <w:szCs w:val="22"/>
        </w:rPr>
      </w:pPr>
      <w:r w:rsidRPr="008553DA">
        <w:rPr>
          <w:szCs w:val="22"/>
        </w:rPr>
        <w:t xml:space="preserve">Under the current claiming arrangements, the plan contains DMI level 3 funding of </w:t>
      </w:r>
      <w:r w:rsidRPr="008553DA">
        <w:rPr>
          <w:b/>
          <w:szCs w:val="22"/>
        </w:rPr>
        <w:t>$11,892</w:t>
      </w:r>
      <w:r w:rsidR="005850B1">
        <w:rPr>
          <w:szCs w:val="22"/>
        </w:rPr>
        <w:t xml:space="preserve"> per annum and Joseph’s</w:t>
      </w:r>
      <w:r w:rsidR="008179E2">
        <w:rPr>
          <w:szCs w:val="22"/>
        </w:rPr>
        <w:t xml:space="preserve"> employer i</w:t>
      </w:r>
      <w:r w:rsidRPr="008553DA">
        <w:rPr>
          <w:szCs w:val="22"/>
        </w:rPr>
        <w:t xml:space="preserve">s able, in most circumstances, to draw down the full amount for a year’s support provision. </w:t>
      </w:r>
    </w:p>
    <w:p w:rsidR="00D12722" w:rsidRPr="008553DA" w:rsidRDefault="008179E2" w:rsidP="00446D6C">
      <w:pPr>
        <w:rPr>
          <w:szCs w:val="22"/>
        </w:rPr>
      </w:pPr>
      <w:r>
        <w:rPr>
          <w:szCs w:val="22"/>
        </w:rPr>
        <w:t>Under the new pricing framework</w:t>
      </w:r>
      <w:r w:rsidR="00D12722" w:rsidRPr="008553DA">
        <w:rPr>
          <w:szCs w:val="22"/>
        </w:rPr>
        <w:t>, Joseph’s NDIS plan funding</w:t>
      </w:r>
      <w:r>
        <w:rPr>
          <w:szCs w:val="22"/>
        </w:rPr>
        <w:t xml:space="preserve"> will reflect the </w:t>
      </w:r>
      <w:r w:rsidR="00D12722" w:rsidRPr="008553DA">
        <w:rPr>
          <w:szCs w:val="22"/>
        </w:rPr>
        <w:t xml:space="preserve">support </w:t>
      </w:r>
      <w:r>
        <w:rPr>
          <w:szCs w:val="22"/>
        </w:rPr>
        <w:t xml:space="preserve">needed </w:t>
      </w:r>
      <w:r w:rsidR="00D12722" w:rsidRPr="008553DA">
        <w:rPr>
          <w:szCs w:val="22"/>
        </w:rPr>
        <w:t xml:space="preserve">to allow him to maintain his 22 hours per week </w:t>
      </w:r>
      <w:r>
        <w:rPr>
          <w:szCs w:val="22"/>
        </w:rPr>
        <w:t xml:space="preserve">of </w:t>
      </w:r>
      <w:r w:rsidR="00D12722" w:rsidRPr="008553DA">
        <w:rPr>
          <w:szCs w:val="22"/>
        </w:rPr>
        <w:t>work and begin t</w:t>
      </w:r>
      <w:r w:rsidR="00606908">
        <w:rPr>
          <w:szCs w:val="22"/>
        </w:rPr>
        <w:t>o explore alternative</w:t>
      </w:r>
      <w:r>
        <w:rPr>
          <w:szCs w:val="22"/>
        </w:rPr>
        <w:t xml:space="preserve"> jobs</w:t>
      </w:r>
      <w:r w:rsidR="00606908">
        <w:rPr>
          <w:szCs w:val="22"/>
        </w:rPr>
        <w:t xml:space="preserve">. </w:t>
      </w:r>
      <w:r w:rsidR="00D12722" w:rsidRPr="008553DA">
        <w:rPr>
          <w:szCs w:val="22"/>
        </w:rPr>
        <w:t xml:space="preserve">The </w:t>
      </w:r>
      <w:r w:rsidR="00462DE4">
        <w:rPr>
          <w:szCs w:val="22"/>
        </w:rPr>
        <w:t xml:space="preserve">NDIS </w:t>
      </w:r>
      <w:r w:rsidR="005850B1">
        <w:rPr>
          <w:szCs w:val="22"/>
        </w:rPr>
        <w:t xml:space="preserve">planner would </w:t>
      </w:r>
      <w:r w:rsidR="003444C2">
        <w:rPr>
          <w:szCs w:val="22"/>
        </w:rPr>
        <w:t>take into account</w:t>
      </w:r>
      <w:r w:rsidR="00D12722" w:rsidRPr="008553DA">
        <w:rPr>
          <w:szCs w:val="22"/>
        </w:rPr>
        <w:t xml:space="preserve">: </w:t>
      </w:r>
    </w:p>
    <w:p w:rsidR="00D12722" w:rsidRPr="008553DA" w:rsidRDefault="00606908" w:rsidP="00446D6C">
      <w:pPr>
        <w:pStyle w:val="ListParagraph"/>
        <w:numPr>
          <w:ilvl w:val="0"/>
          <w:numId w:val="39"/>
        </w:numPr>
        <w:rPr>
          <w:szCs w:val="22"/>
        </w:rPr>
      </w:pPr>
      <w:r>
        <w:rPr>
          <w:szCs w:val="22"/>
        </w:rPr>
        <w:t>Joseph works 22 hours per week</w:t>
      </w:r>
    </w:p>
    <w:p w:rsidR="00D12722" w:rsidRPr="008553DA" w:rsidRDefault="00D12722" w:rsidP="00446D6C">
      <w:pPr>
        <w:pStyle w:val="ListParagraph"/>
        <w:numPr>
          <w:ilvl w:val="0"/>
          <w:numId w:val="39"/>
        </w:numPr>
        <w:rPr>
          <w:szCs w:val="22"/>
        </w:rPr>
      </w:pPr>
      <w:r w:rsidRPr="008553DA">
        <w:rPr>
          <w:szCs w:val="22"/>
        </w:rPr>
        <w:t>He is likely to need a reasonably high level of support</w:t>
      </w:r>
      <w:r w:rsidR="00B61526">
        <w:rPr>
          <w:szCs w:val="22"/>
        </w:rPr>
        <w:t>,</w:t>
      </w:r>
      <w:r w:rsidRPr="008553DA">
        <w:rPr>
          <w:szCs w:val="22"/>
        </w:rPr>
        <w:t xml:space="preserve"> based o</w:t>
      </w:r>
      <w:r w:rsidR="00606908">
        <w:rPr>
          <w:szCs w:val="22"/>
        </w:rPr>
        <w:t>n his previous DMI 3 assessment</w:t>
      </w:r>
    </w:p>
    <w:p w:rsidR="00D12722" w:rsidRDefault="005850B1" w:rsidP="00446D6C">
      <w:pPr>
        <w:pStyle w:val="ListParagraph"/>
        <w:numPr>
          <w:ilvl w:val="0"/>
          <w:numId w:val="39"/>
        </w:numPr>
        <w:rPr>
          <w:szCs w:val="22"/>
        </w:rPr>
      </w:pPr>
      <w:r>
        <w:rPr>
          <w:szCs w:val="22"/>
        </w:rPr>
        <w:t>He wants</w:t>
      </w:r>
      <w:r w:rsidR="00D12722" w:rsidRPr="008553DA">
        <w:rPr>
          <w:szCs w:val="22"/>
        </w:rPr>
        <w:t xml:space="preserve"> to develop his skills and change jobs.  </w:t>
      </w:r>
    </w:p>
    <w:p w:rsidR="00D12722" w:rsidRPr="008553DA" w:rsidRDefault="00D12722" w:rsidP="00446D6C">
      <w:pPr>
        <w:rPr>
          <w:szCs w:val="22"/>
        </w:rPr>
      </w:pPr>
      <w:r w:rsidRPr="008553DA">
        <w:rPr>
          <w:szCs w:val="22"/>
        </w:rPr>
        <w:t>In order to diversify his work skills</w:t>
      </w:r>
      <w:r w:rsidR="00D830B4">
        <w:rPr>
          <w:szCs w:val="22"/>
        </w:rPr>
        <w:t xml:space="preserve"> and learn new tasks</w:t>
      </w:r>
      <w:r w:rsidRPr="008553DA">
        <w:rPr>
          <w:szCs w:val="22"/>
        </w:rPr>
        <w:t xml:space="preserve">, Joseph and his employer agree he will need 2-3 hours per week </w:t>
      </w:r>
      <w:r w:rsidR="005850B1">
        <w:rPr>
          <w:szCs w:val="22"/>
        </w:rPr>
        <w:t>capacity-</w:t>
      </w:r>
      <w:r w:rsidR="00B61526">
        <w:rPr>
          <w:szCs w:val="22"/>
        </w:rPr>
        <w:t xml:space="preserve">building </w:t>
      </w:r>
      <w:r w:rsidRPr="008553DA">
        <w:rPr>
          <w:szCs w:val="22"/>
        </w:rPr>
        <w:t xml:space="preserve">to </w:t>
      </w:r>
      <w:r w:rsidR="00B00DC4">
        <w:rPr>
          <w:szCs w:val="22"/>
        </w:rPr>
        <w:t>achieve</w:t>
      </w:r>
      <w:r w:rsidR="00B61526">
        <w:rPr>
          <w:szCs w:val="22"/>
        </w:rPr>
        <w:t xml:space="preserve"> his goal of l</w:t>
      </w:r>
      <w:r w:rsidR="005850B1">
        <w:rPr>
          <w:szCs w:val="22"/>
        </w:rPr>
        <w:t>earning safety around machinery</w:t>
      </w:r>
      <w:r w:rsidR="00606908">
        <w:rPr>
          <w:szCs w:val="22"/>
        </w:rPr>
        <w:t xml:space="preserve"> and new job tasks. </w:t>
      </w:r>
      <w:r w:rsidR="00B61526">
        <w:rPr>
          <w:szCs w:val="22"/>
        </w:rPr>
        <w:t xml:space="preserve">Joseph also needs </w:t>
      </w:r>
      <w:r w:rsidR="00D830B4">
        <w:rPr>
          <w:szCs w:val="22"/>
        </w:rPr>
        <w:t>regular</w:t>
      </w:r>
      <w:r w:rsidR="00B61526">
        <w:rPr>
          <w:szCs w:val="22"/>
        </w:rPr>
        <w:t xml:space="preserve"> 1:1 </w:t>
      </w:r>
      <w:r w:rsidR="005850B1">
        <w:rPr>
          <w:szCs w:val="22"/>
        </w:rPr>
        <w:t xml:space="preserve">support </w:t>
      </w:r>
      <w:r w:rsidR="00B61526">
        <w:rPr>
          <w:szCs w:val="22"/>
        </w:rPr>
        <w:t>for</w:t>
      </w:r>
      <w:r w:rsidR="00D830B4">
        <w:rPr>
          <w:szCs w:val="22"/>
        </w:rPr>
        <w:t xml:space="preserve"> short periods of time, typically twice a day, to keep him engaged </w:t>
      </w:r>
      <w:r w:rsidR="005850B1">
        <w:rPr>
          <w:szCs w:val="22"/>
        </w:rPr>
        <w:t>and on-</w:t>
      </w:r>
      <w:r w:rsidR="00B61526">
        <w:rPr>
          <w:szCs w:val="22"/>
        </w:rPr>
        <w:t xml:space="preserve">track </w:t>
      </w:r>
      <w:r w:rsidR="00D830B4">
        <w:rPr>
          <w:szCs w:val="22"/>
        </w:rPr>
        <w:t>at work.</w:t>
      </w:r>
      <w:r w:rsidRPr="008553DA">
        <w:rPr>
          <w:szCs w:val="22"/>
        </w:rPr>
        <w:t xml:space="preserve"> </w:t>
      </w:r>
    </w:p>
    <w:p w:rsidR="00D12722" w:rsidRPr="008553DA" w:rsidRDefault="00D12722" w:rsidP="00446D6C">
      <w:pPr>
        <w:rPr>
          <w:szCs w:val="22"/>
        </w:rPr>
      </w:pPr>
      <w:r w:rsidRPr="008553DA">
        <w:rPr>
          <w:szCs w:val="22"/>
        </w:rPr>
        <w:t xml:space="preserve">Joseph and his ADE employer agree to the following supports in the workplace: </w:t>
      </w:r>
    </w:p>
    <w:p w:rsidR="00D12722" w:rsidRPr="00446D6C" w:rsidRDefault="004D1627" w:rsidP="00446D6C">
      <w:pPr>
        <w:pStyle w:val="ListParagraph"/>
        <w:numPr>
          <w:ilvl w:val="0"/>
          <w:numId w:val="40"/>
        </w:numPr>
        <w:rPr>
          <w:szCs w:val="22"/>
        </w:rPr>
      </w:pPr>
      <w:r>
        <w:rPr>
          <w:szCs w:val="22"/>
        </w:rPr>
        <w:t>16</w:t>
      </w:r>
      <w:r w:rsidR="00317711">
        <w:rPr>
          <w:szCs w:val="22"/>
        </w:rPr>
        <w:t xml:space="preserve"> hours per week @ $12.67 </w:t>
      </w:r>
      <w:r w:rsidR="00D12722" w:rsidRPr="00446D6C">
        <w:rPr>
          <w:szCs w:val="22"/>
        </w:rPr>
        <w:t>(ratio 1:5) per week = $2</w:t>
      </w:r>
      <w:r w:rsidR="005B4ACA">
        <w:rPr>
          <w:szCs w:val="22"/>
        </w:rPr>
        <w:t>02.72</w:t>
      </w:r>
      <w:r w:rsidR="00D12722" w:rsidRPr="00446D6C">
        <w:rPr>
          <w:szCs w:val="22"/>
        </w:rPr>
        <w:t xml:space="preserve"> per week</w:t>
      </w:r>
    </w:p>
    <w:p w:rsidR="00AD71CC" w:rsidRDefault="00AD71CC" w:rsidP="00AD71CC">
      <w:pPr>
        <w:pStyle w:val="ListParagraph"/>
        <w:numPr>
          <w:ilvl w:val="0"/>
          <w:numId w:val="40"/>
        </w:numPr>
        <w:rPr>
          <w:szCs w:val="22"/>
        </w:rPr>
      </w:pPr>
      <w:r>
        <w:rPr>
          <w:szCs w:val="22"/>
        </w:rPr>
        <w:t xml:space="preserve">3 </w:t>
      </w:r>
      <w:r w:rsidR="00D12722" w:rsidRPr="00446D6C">
        <w:rPr>
          <w:szCs w:val="22"/>
        </w:rPr>
        <w:t xml:space="preserve">hours per week </w:t>
      </w:r>
      <w:r>
        <w:rPr>
          <w:szCs w:val="22"/>
        </w:rPr>
        <w:t xml:space="preserve">for skills development </w:t>
      </w:r>
      <w:r w:rsidR="00D12722" w:rsidRPr="00446D6C">
        <w:rPr>
          <w:szCs w:val="22"/>
        </w:rPr>
        <w:t>@ $5</w:t>
      </w:r>
      <w:r w:rsidR="00B61526">
        <w:rPr>
          <w:szCs w:val="22"/>
        </w:rPr>
        <w:t>9.03</w:t>
      </w:r>
      <w:r w:rsidR="00B00DC4">
        <w:rPr>
          <w:szCs w:val="22"/>
        </w:rPr>
        <w:t xml:space="preserve"> pe</w:t>
      </w:r>
      <w:r w:rsidR="005850B1">
        <w:rPr>
          <w:szCs w:val="22"/>
        </w:rPr>
        <w:t xml:space="preserve">r week (ratio 1:1 </w:t>
      </w:r>
      <w:r w:rsidR="00E56BA4">
        <w:rPr>
          <w:szCs w:val="22"/>
        </w:rPr>
        <w:t>–</w:t>
      </w:r>
      <w:r w:rsidR="005850B1">
        <w:rPr>
          <w:szCs w:val="22"/>
        </w:rPr>
        <w:t xml:space="preserve"> </w:t>
      </w:r>
      <w:r w:rsidR="00E56BA4">
        <w:rPr>
          <w:szCs w:val="22"/>
        </w:rPr>
        <w:t xml:space="preserve">Capacity Building </w:t>
      </w:r>
      <w:r w:rsidR="00B00DC4">
        <w:rPr>
          <w:szCs w:val="22"/>
        </w:rPr>
        <w:t>Finding and Keeping a Job)</w:t>
      </w:r>
      <w:r w:rsidR="00D12722" w:rsidRPr="00446D6C">
        <w:rPr>
          <w:szCs w:val="22"/>
        </w:rPr>
        <w:t xml:space="preserve"> = $</w:t>
      </w:r>
      <w:r>
        <w:rPr>
          <w:szCs w:val="22"/>
        </w:rPr>
        <w:t>1</w:t>
      </w:r>
      <w:r w:rsidR="00B00DC4">
        <w:rPr>
          <w:szCs w:val="22"/>
        </w:rPr>
        <w:t>77.09</w:t>
      </w:r>
      <w:r w:rsidR="00D12722" w:rsidRPr="00446D6C">
        <w:rPr>
          <w:szCs w:val="22"/>
        </w:rPr>
        <w:t xml:space="preserve"> per week</w:t>
      </w:r>
    </w:p>
    <w:p w:rsidR="00AD71CC" w:rsidRPr="00AD71CC" w:rsidRDefault="00AD71CC" w:rsidP="00AD71CC">
      <w:pPr>
        <w:pStyle w:val="ListParagraph"/>
        <w:numPr>
          <w:ilvl w:val="0"/>
          <w:numId w:val="40"/>
        </w:numPr>
        <w:rPr>
          <w:szCs w:val="22"/>
        </w:rPr>
      </w:pPr>
      <w:r>
        <w:rPr>
          <w:szCs w:val="22"/>
        </w:rPr>
        <w:t>3 hours per week for worksite prompting @ $54.95 (ratio1:1) = $164.85 per week</w:t>
      </w:r>
    </w:p>
    <w:p w:rsidR="00B00DC4" w:rsidRPr="00611BD4" w:rsidRDefault="00B00DC4" w:rsidP="00B00DC4">
      <w:pPr>
        <w:pStyle w:val="ListParagraph"/>
        <w:numPr>
          <w:ilvl w:val="0"/>
          <w:numId w:val="40"/>
        </w:numPr>
        <w:spacing w:line="276" w:lineRule="auto"/>
        <w:rPr>
          <w:szCs w:val="22"/>
        </w:rPr>
      </w:pPr>
      <w:r w:rsidRPr="00611BD4">
        <w:rPr>
          <w:szCs w:val="22"/>
        </w:rPr>
        <w:t xml:space="preserve">An average of </w:t>
      </w:r>
      <w:r w:rsidR="00366151">
        <w:rPr>
          <w:szCs w:val="22"/>
        </w:rPr>
        <w:t>1</w:t>
      </w:r>
      <w:r w:rsidR="005850B1">
        <w:rPr>
          <w:szCs w:val="22"/>
        </w:rPr>
        <w:t xml:space="preserve"> hour non-face-to-</w:t>
      </w:r>
      <w:r w:rsidRPr="00611BD4">
        <w:rPr>
          <w:szCs w:val="22"/>
        </w:rPr>
        <w:t xml:space="preserve">face </w:t>
      </w:r>
      <w:r w:rsidR="005850B1">
        <w:rPr>
          <w:szCs w:val="22"/>
        </w:rPr>
        <w:t xml:space="preserve">time </w:t>
      </w:r>
      <w:r w:rsidR="00366151">
        <w:rPr>
          <w:szCs w:val="22"/>
        </w:rPr>
        <w:t>@ $54.95 = $</w:t>
      </w:r>
      <w:r w:rsidR="00425A18">
        <w:rPr>
          <w:szCs w:val="22"/>
        </w:rPr>
        <w:t>54.95</w:t>
      </w:r>
      <w:r w:rsidR="005850B1">
        <w:rPr>
          <w:szCs w:val="22"/>
        </w:rPr>
        <w:t xml:space="preserve"> per week  - t</w:t>
      </w:r>
      <w:r w:rsidRPr="00611BD4">
        <w:rPr>
          <w:szCs w:val="22"/>
        </w:rPr>
        <w:t xml:space="preserve">o document </w:t>
      </w:r>
      <w:r w:rsidR="00366151">
        <w:rPr>
          <w:szCs w:val="22"/>
        </w:rPr>
        <w:t>J</w:t>
      </w:r>
      <w:r w:rsidRPr="00611BD4">
        <w:rPr>
          <w:szCs w:val="22"/>
        </w:rPr>
        <w:t>oseph</w:t>
      </w:r>
      <w:r w:rsidR="005850B1">
        <w:rPr>
          <w:szCs w:val="22"/>
        </w:rPr>
        <w:t>’</w:t>
      </w:r>
      <w:r w:rsidRPr="00611BD4">
        <w:rPr>
          <w:szCs w:val="22"/>
        </w:rPr>
        <w:t xml:space="preserve">s employment goal and pathway, measure and </w:t>
      </w:r>
      <w:r w:rsidR="00425A18" w:rsidRPr="00611BD4">
        <w:rPr>
          <w:szCs w:val="22"/>
        </w:rPr>
        <w:t>monitor</w:t>
      </w:r>
      <w:r w:rsidRPr="00611BD4">
        <w:rPr>
          <w:szCs w:val="22"/>
        </w:rPr>
        <w:t xml:space="preserve"> his progress and plan</w:t>
      </w:r>
      <w:r w:rsidR="005850B1">
        <w:rPr>
          <w:szCs w:val="22"/>
        </w:rPr>
        <w:t xml:space="preserve"> and design workplace supports (visual prompts, easy-</w:t>
      </w:r>
      <w:r w:rsidRPr="00611BD4">
        <w:rPr>
          <w:szCs w:val="22"/>
        </w:rPr>
        <w:t xml:space="preserve">read </w:t>
      </w:r>
      <w:r w:rsidR="00425A18" w:rsidRPr="00611BD4">
        <w:rPr>
          <w:szCs w:val="22"/>
        </w:rPr>
        <w:t>instr</w:t>
      </w:r>
      <w:r w:rsidR="00425A18">
        <w:rPr>
          <w:szCs w:val="22"/>
        </w:rPr>
        <w:t>uctions</w:t>
      </w:r>
      <w:r w:rsidR="00366151">
        <w:rPr>
          <w:szCs w:val="22"/>
        </w:rPr>
        <w:t xml:space="preserve"> </w:t>
      </w:r>
      <w:r w:rsidR="00425A18">
        <w:rPr>
          <w:szCs w:val="22"/>
        </w:rPr>
        <w:t>etc.</w:t>
      </w:r>
      <w:r w:rsidR="00606908">
        <w:rPr>
          <w:szCs w:val="22"/>
        </w:rPr>
        <w:t>) for his new role</w:t>
      </w:r>
    </w:p>
    <w:p w:rsidR="00425A18" w:rsidRPr="00E831A7" w:rsidRDefault="00D12722" w:rsidP="00E831A7">
      <w:pPr>
        <w:pStyle w:val="ListParagraph"/>
        <w:numPr>
          <w:ilvl w:val="0"/>
          <w:numId w:val="40"/>
        </w:numPr>
        <w:spacing w:line="276" w:lineRule="auto"/>
        <w:rPr>
          <w:szCs w:val="22"/>
        </w:rPr>
      </w:pPr>
      <w:r w:rsidRPr="00446D6C">
        <w:rPr>
          <w:szCs w:val="22"/>
        </w:rPr>
        <w:t xml:space="preserve">Joseph’s committed funds for 48 weeks work = </w:t>
      </w:r>
      <w:r w:rsidRPr="008179E2">
        <w:rPr>
          <w:b/>
          <w:szCs w:val="22"/>
        </w:rPr>
        <w:t>$2</w:t>
      </w:r>
      <w:r w:rsidR="00425A18">
        <w:rPr>
          <w:b/>
          <w:szCs w:val="22"/>
        </w:rPr>
        <w:t>8,781.28</w:t>
      </w:r>
      <w:r w:rsidR="00606908">
        <w:rPr>
          <w:szCs w:val="22"/>
        </w:rPr>
        <w:t>.</w:t>
      </w:r>
      <w:r w:rsidR="00B00DC4">
        <w:rPr>
          <w:b/>
          <w:szCs w:val="22"/>
        </w:rPr>
        <w:t xml:space="preserve"> </w:t>
      </w:r>
    </w:p>
    <w:p w:rsidR="000A66F6" w:rsidRDefault="000A66F6">
      <w:pPr>
        <w:spacing w:line="276" w:lineRule="auto"/>
        <w:rPr>
          <w:b/>
          <w:sz w:val="28"/>
          <w:szCs w:val="28"/>
        </w:rPr>
      </w:pPr>
      <w:r>
        <w:rPr>
          <w:b/>
          <w:sz w:val="28"/>
          <w:szCs w:val="28"/>
        </w:rPr>
        <w:br w:type="page"/>
      </w:r>
    </w:p>
    <w:p w:rsidR="00A36757" w:rsidRDefault="00A36757" w:rsidP="00446D6C">
      <w:pPr>
        <w:spacing w:line="276" w:lineRule="auto"/>
        <w:rPr>
          <w:b/>
          <w:sz w:val="28"/>
          <w:szCs w:val="28"/>
        </w:rPr>
      </w:pPr>
      <w:r w:rsidRPr="00446D6C">
        <w:rPr>
          <w:b/>
          <w:sz w:val="28"/>
          <w:szCs w:val="28"/>
        </w:rPr>
        <w:lastRenderedPageBreak/>
        <w:t xml:space="preserve">Case </w:t>
      </w:r>
      <w:r w:rsidR="00ED5378" w:rsidRPr="00446D6C">
        <w:rPr>
          <w:b/>
          <w:sz w:val="28"/>
          <w:szCs w:val="28"/>
        </w:rPr>
        <w:t>study:</w:t>
      </w:r>
      <w:r w:rsidRPr="00446D6C">
        <w:rPr>
          <w:b/>
          <w:sz w:val="28"/>
          <w:szCs w:val="28"/>
        </w:rPr>
        <w:t xml:space="preserve"> Vanessa</w:t>
      </w:r>
    </w:p>
    <w:p w:rsidR="00D12722" w:rsidRPr="00446D6C" w:rsidRDefault="00D12722" w:rsidP="00D12722">
      <w:pPr>
        <w:spacing w:line="276" w:lineRule="auto"/>
        <w:rPr>
          <w:szCs w:val="22"/>
        </w:rPr>
      </w:pPr>
      <w:r w:rsidRPr="00446D6C">
        <w:rPr>
          <w:szCs w:val="22"/>
        </w:rPr>
        <w:t>Vanessa currently works an average of 16 hours per week in her local ADE</w:t>
      </w:r>
      <w:r w:rsidR="00446D6C">
        <w:rPr>
          <w:szCs w:val="22"/>
        </w:rPr>
        <w:t xml:space="preserve">. Before entering the </w:t>
      </w:r>
      <w:r w:rsidRPr="00446D6C">
        <w:rPr>
          <w:szCs w:val="22"/>
        </w:rPr>
        <w:t xml:space="preserve">NDIS, </w:t>
      </w:r>
      <w:r w:rsidR="00446D6C">
        <w:rPr>
          <w:szCs w:val="22"/>
        </w:rPr>
        <w:t xml:space="preserve">Vanessa </w:t>
      </w:r>
      <w:r w:rsidRPr="00446D6C">
        <w:rPr>
          <w:szCs w:val="22"/>
        </w:rPr>
        <w:t>was assessed at DMI level 4. She works t</w:t>
      </w:r>
      <w:r w:rsidR="003444C2">
        <w:rPr>
          <w:szCs w:val="22"/>
        </w:rPr>
        <w:t>hree days</w:t>
      </w:r>
      <w:r w:rsidRPr="00446D6C">
        <w:rPr>
          <w:szCs w:val="22"/>
        </w:rPr>
        <w:t xml:space="preserve"> (12 hours per week) in </w:t>
      </w:r>
      <w:r w:rsidR="00446D6C">
        <w:rPr>
          <w:szCs w:val="22"/>
        </w:rPr>
        <w:t xml:space="preserve">a </w:t>
      </w:r>
      <w:r w:rsidRPr="00446D6C">
        <w:rPr>
          <w:szCs w:val="22"/>
        </w:rPr>
        <w:t>commerc</w:t>
      </w:r>
      <w:r w:rsidR="003444C2">
        <w:rPr>
          <w:szCs w:val="22"/>
        </w:rPr>
        <w:t>ial kitchen and one day</w:t>
      </w:r>
      <w:r w:rsidRPr="00446D6C">
        <w:rPr>
          <w:szCs w:val="22"/>
        </w:rPr>
        <w:t xml:space="preserve"> (4 hours per week) in </w:t>
      </w:r>
      <w:r w:rsidR="00446D6C">
        <w:rPr>
          <w:szCs w:val="22"/>
        </w:rPr>
        <w:t xml:space="preserve">a </w:t>
      </w:r>
      <w:r w:rsidRPr="00446D6C">
        <w:rPr>
          <w:szCs w:val="22"/>
        </w:rPr>
        <w:t>work crew that caters a</w:t>
      </w:r>
      <w:r w:rsidR="008179E2">
        <w:rPr>
          <w:szCs w:val="22"/>
        </w:rPr>
        <w:t>t a</w:t>
      </w:r>
      <w:r w:rsidRPr="00446D6C">
        <w:rPr>
          <w:szCs w:val="22"/>
        </w:rPr>
        <w:t xml:space="preserve"> local school canteen.</w:t>
      </w:r>
      <w:r w:rsidR="00D31D63">
        <w:rPr>
          <w:szCs w:val="22"/>
        </w:rPr>
        <w:t xml:space="preserve"> Vanessa is transport</w:t>
      </w:r>
      <w:r w:rsidR="00606908">
        <w:rPr>
          <w:szCs w:val="22"/>
        </w:rPr>
        <w:t>ed to her jobs by her employer.</w:t>
      </w:r>
      <w:r w:rsidR="00425A18">
        <w:rPr>
          <w:szCs w:val="22"/>
        </w:rPr>
        <w:t xml:space="preserve"> Vanessa is happy in her work and has a very settled work routine. </w:t>
      </w:r>
    </w:p>
    <w:p w:rsidR="00D12722" w:rsidRPr="00446D6C" w:rsidRDefault="00D12722" w:rsidP="00D12722">
      <w:pPr>
        <w:spacing w:line="276" w:lineRule="auto"/>
        <w:rPr>
          <w:szCs w:val="22"/>
        </w:rPr>
      </w:pPr>
      <w:r w:rsidRPr="00446D6C">
        <w:rPr>
          <w:szCs w:val="22"/>
        </w:rPr>
        <w:t>Under the cu</w:t>
      </w:r>
      <w:r w:rsidR="003444C2">
        <w:rPr>
          <w:szCs w:val="22"/>
        </w:rPr>
        <w:t>rrent claiming arrangements, Vanessa’s</w:t>
      </w:r>
      <w:r w:rsidRPr="00446D6C">
        <w:rPr>
          <w:szCs w:val="22"/>
        </w:rPr>
        <w:t xml:space="preserve"> plan contains DMI level 4 funding of </w:t>
      </w:r>
      <w:r w:rsidRPr="008179E2">
        <w:rPr>
          <w:b/>
          <w:szCs w:val="22"/>
        </w:rPr>
        <w:t>$15,780</w:t>
      </w:r>
      <w:r w:rsidRPr="00446D6C">
        <w:rPr>
          <w:szCs w:val="22"/>
        </w:rPr>
        <w:t xml:space="preserve"> per annum and her employer </w:t>
      </w:r>
      <w:r w:rsidR="008179E2">
        <w:rPr>
          <w:szCs w:val="22"/>
        </w:rPr>
        <w:t>i</w:t>
      </w:r>
      <w:r w:rsidRPr="00446D6C">
        <w:rPr>
          <w:szCs w:val="22"/>
        </w:rPr>
        <w:t xml:space="preserve">s able, in most circumstances, to draw down the full amount for a year’s support provision. </w:t>
      </w:r>
    </w:p>
    <w:p w:rsidR="00D12722" w:rsidRPr="00446D6C" w:rsidRDefault="008179E2" w:rsidP="00D12722">
      <w:pPr>
        <w:spacing w:line="276" w:lineRule="auto"/>
        <w:rPr>
          <w:szCs w:val="22"/>
        </w:rPr>
      </w:pPr>
      <w:r>
        <w:rPr>
          <w:szCs w:val="22"/>
        </w:rPr>
        <w:t>Under the new pricing framework</w:t>
      </w:r>
      <w:r w:rsidR="00D12722" w:rsidRPr="00446D6C">
        <w:rPr>
          <w:szCs w:val="22"/>
        </w:rPr>
        <w:t>, Vanessa’s NDIS plan fund</w:t>
      </w:r>
      <w:r>
        <w:rPr>
          <w:szCs w:val="22"/>
        </w:rPr>
        <w:t xml:space="preserve">ing will allow her </w:t>
      </w:r>
      <w:r w:rsidR="00D12722" w:rsidRPr="00446D6C">
        <w:rPr>
          <w:szCs w:val="22"/>
        </w:rPr>
        <w:t>to mai</w:t>
      </w:r>
      <w:r w:rsidR="003444C2">
        <w:rPr>
          <w:szCs w:val="22"/>
        </w:rPr>
        <w:t xml:space="preserve">ntain her 16 hours per week work. </w:t>
      </w:r>
      <w:r w:rsidR="00D12722" w:rsidRPr="00446D6C">
        <w:rPr>
          <w:szCs w:val="22"/>
        </w:rPr>
        <w:t xml:space="preserve">The </w:t>
      </w:r>
      <w:r w:rsidR="003444C2">
        <w:rPr>
          <w:szCs w:val="22"/>
        </w:rPr>
        <w:t>planner would take into account</w:t>
      </w:r>
      <w:r w:rsidR="00D12722" w:rsidRPr="00446D6C">
        <w:rPr>
          <w:szCs w:val="22"/>
        </w:rPr>
        <w:t xml:space="preserve">: </w:t>
      </w:r>
    </w:p>
    <w:p w:rsidR="00D12722" w:rsidRPr="00446D6C" w:rsidRDefault="00D12722" w:rsidP="00446D6C">
      <w:pPr>
        <w:pStyle w:val="ListParagraph"/>
        <w:numPr>
          <w:ilvl w:val="0"/>
          <w:numId w:val="39"/>
        </w:numPr>
        <w:rPr>
          <w:szCs w:val="22"/>
        </w:rPr>
      </w:pPr>
      <w:r w:rsidRPr="00446D6C">
        <w:rPr>
          <w:szCs w:val="22"/>
        </w:rPr>
        <w:t xml:space="preserve">Vanessa works 16 hours </w:t>
      </w:r>
      <w:r w:rsidR="00606908">
        <w:rPr>
          <w:szCs w:val="22"/>
        </w:rPr>
        <w:t>per week, in two different jobs</w:t>
      </w:r>
    </w:p>
    <w:p w:rsidR="00D12722" w:rsidRPr="00446D6C" w:rsidRDefault="00D12722" w:rsidP="00446D6C">
      <w:pPr>
        <w:pStyle w:val="ListParagraph"/>
        <w:numPr>
          <w:ilvl w:val="0"/>
          <w:numId w:val="39"/>
        </w:numPr>
        <w:rPr>
          <w:szCs w:val="22"/>
        </w:rPr>
      </w:pPr>
      <w:r w:rsidRPr="00446D6C">
        <w:rPr>
          <w:szCs w:val="22"/>
        </w:rPr>
        <w:t xml:space="preserve">She is likely to need a high level of support based on her previous DMI 4 assessment.  </w:t>
      </w:r>
    </w:p>
    <w:p w:rsidR="00D12722" w:rsidRPr="00446D6C" w:rsidRDefault="00D12722" w:rsidP="00D12722">
      <w:pPr>
        <w:spacing w:line="276" w:lineRule="auto"/>
        <w:rPr>
          <w:szCs w:val="22"/>
        </w:rPr>
      </w:pPr>
      <w:r w:rsidRPr="00446D6C">
        <w:rPr>
          <w:szCs w:val="22"/>
        </w:rPr>
        <w:t>Vanessa and her ADE employer agree to the following supports in the workplace:</w:t>
      </w:r>
    </w:p>
    <w:p w:rsidR="00D12722" w:rsidRPr="00446D6C" w:rsidRDefault="00D12722" w:rsidP="00446D6C">
      <w:pPr>
        <w:pStyle w:val="ListParagraph"/>
        <w:numPr>
          <w:ilvl w:val="0"/>
          <w:numId w:val="39"/>
        </w:numPr>
        <w:rPr>
          <w:szCs w:val="22"/>
        </w:rPr>
      </w:pPr>
      <w:r w:rsidRPr="00446D6C">
        <w:rPr>
          <w:szCs w:val="22"/>
        </w:rPr>
        <w:t>12 hours per week @ $15.31 (1:4 ratio) per week = $183.72 per week</w:t>
      </w:r>
    </w:p>
    <w:p w:rsidR="00D12722" w:rsidRDefault="00D12722" w:rsidP="00446D6C">
      <w:pPr>
        <w:pStyle w:val="ListParagraph"/>
        <w:numPr>
          <w:ilvl w:val="0"/>
          <w:numId w:val="39"/>
        </w:numPr>
        <w:rPr>
          <w:szCs w:val="22"/>
        </w:rPr>
      </w:pPr>
      <w:r w:rsidRPr="00446D6C">
        <w:rPr>
          <w:szCs w:val="22"/>
        </w:rPr>
        <w:t>4 hours per week @ $19.72 per week (1:3 ratio) = $78.88 per week</w:t>
      </w:r>
    </w:p>
    <w:p w:rsidR="00425A18" w:rsidRPr="00446D6C" w:rsidRDefault="00425A18" w:rsidP="00425A18">
      <w:pPr>
        <w:pStyle w:val="ListParagraph"/>
        <w:numPr>
          <w:ilvl w:val="0"/>
          <w:numId w:val="39"/>
        </w:numPr>
        <w:rPr>
          <w:szCs w:val="22"/>
        </w:rPr>
      </w:pPr>
      <w:r w:rsidRPr="00425A18">
        <w:rPr>
          <w:szCs w:val="22"/>
        </w:rPr>
        <w:t xml:space="preserve">An average </w:t>
      </w:r>
      <w:r>
        <w:rPr>
          <w:szCs w:val="22"/>
        </w:rPr>
        <w:t xml:space="preserve">30 minutes per week </w:t>
      </w:r>
      <w:r w:rsidR="003444C2">
        <w:rPr>
          <w:szCs w:val="22"/>
        </w:rPr>
        <w:t>non-face-to-</w:t>
      </w:r>
      <w:r w:rsidRPr="00425A18">
        <w:rPr>
          <w:szCs w:val="22"/>
        </w:rPr>
        <w:t xml:space="preserve">face </w:t>
      </w:r>
      <w:r w:rsidR="003444C2">
        <w:rPr>
          <w:szCs w:val="22"/>
        </w:rPr>
        <w:t>time</w:t>
      </w:r>
      <w:r>
        <w:rPr>
          <w:szCs w:val="22"/>
        </w:rPr>
        <w:t xml:space="preserve"> @ 54.95 per hour = $27.47 per week</w:t>
      </w:r>
      <w:r w:rsidR="00F835A9">
        <w:rPr>
          <w:szCs w:val="22"/>
        </w:rPr>
        <w:t xml:space="preserve"> - t</w:t>
      </w:r>
      <w:r>
        <w:rPr>
          <w:szCs w:val="22"/>
        </w:rPr>
        <w:t xml:space="preserve">o undertake periodic reviews of her work role and support requirements and offer opportunities for </w:t>
      </w:r>
      <w:r w:rsidR="00F835A9">
        <w:rPr>
          <w:szCs w:val="22"/>
        </w:rPr>
        <w:t xml:space="preserve">her to </w:t>
      </w:r>
      <w:r w:rsidR="00686266">
        <w:rPr>
          <w:szCs w:val="22"/>
        </w:rPr>
        <w:t>develop new goals at work</w:t>
      </w:r>
      <w:r>
        <w:rPr>
          <w:szCs w:val="22"/>
        </w:rPr>
        <w:t xml:space="preserve"> </w:t>
      </w:r>
    </w:p>
    <w:p w:rsidR="00D12722" w:rsidRDefault="00D12722" w:rsidP="00446D6C">
      <w:pPr>
        <w:pStyle w:val="ListParagraph"/>
        <w:numPr>
          <w:ilvl w:val="0"/>
          <w:numId w:val="39"/>
        </w:numPr>
        <w:rPr>
          <w:szCs w:val="22"/>
        </w:rPr>
      </w:pPr>
      <w:r w:rsidRPr="00446D6C">
        <w:rPr>
          <w:szCs w:val="22"/>
        </w:rPr>
        <w:t xml:space="preserve">Vanessa’s committed funds for 48 weeks work = </w:t>
      </w:r>
      <w:r w:rsidRPr="008179E2">
        <w:rPr>
          <w:b/>
          <w:szCs w:val="22"/>
        </w:rPr>
        <w:t>$</w:t>
      </w:r>
      <w:r w:rsidR="00425A18">
        <w:rPr>
          <w:b/>
          <w:szCs w:val="22"/>
        </w:rPr>
        <w:t>13,923.</w:t>
      </w:r>
      <w:r w:rsidR="00317711">
        <w:rPr>
          <w:b/>
          <w:szCs w:val="22"/>
        </w:rPr>
        <w:t>3</w:t>
      </w:r>
      <w:r w:rsidR="00425A18">
        <w:rPr>
          <w:b/>
          <w:szCs w:val="22"/>
        </w:rPr>
        <w:t>6</w:t>
      </w:r>
      <w:r w:rsidRPr="00446D6C">
        <w:rPr>
          <w:szCs w:val="22"/>
        </w:rPr>
        <w:t xml:space="preserve">  </w:t>
      </w:r>
    </w:p>
    <w:p w:rsidR="00D31D63" w:rsidRPr="00446D6C" w:rsidRDefault="00D31D63" w:rsidP="00446D6C">
      <w:pPr>
        <w:pStyle w:val="ListParagraph"/>
        <w:numPr>
          <w:ilvl w:val="0"/>
          <w:numId w:val="39"/>
        </w:numPr>
        <w:rPr>
          <w:szCs w:val="22"/>
        </w:rPr>
      </w:pPr>
      <w:r>
        <w:rPr>
          <w:szCs w:val="22"/>
        </w:rPr>
        <w:t xml:space="preserve">Vanessa and </w:t>
      </w:r>
      <w:r w:rsidR="00A952C2">
        <w:rPr>
          <w:szCs w:val="22"/>
        </w:rPr>
        <w:t xml:space="preserve">her employer may also agree on payment for travel, as per the NDIS Price Guide information on travel. </w:t>
      </w:r>
    </w:p>
    <w:p w:rsidR="004802D4" w:rsidRPr="00446D6C" w:rsidRDefault="00D12722" w:rsidP="00446D6C">
      <w:pPr>
        <w:spacing w:line="276" w:lineRule="auto"/>
        <w:rPr>
          <w:szCs w:val="22"/>
        </w:rPr>
      </w:pPr>
      <w:r w:rsidRPr="00446D6C">
        <w:rPr>
          <w:b/>
          <w:szCs w:val="22"/>
        </w:rPr>
        <w:t>Note:</w:t>
      </w:r>
      <w:r w:rsidRPr="00446D6C">
        <w:rPr>
          <w:szCs w:val="22"/>
        </w:rPr>
        <w:t xml:space="preserve"> While the amount claimed is less than previous fundin</w:t>
      </w:r>
      <w:r w:rsidR="000A0EBB">
        <w:rPr>
          <w:szCs w:val="22"/>
        </w:rPr>
        <w:t>g</w:t>
      </w:r>
      <w:r w:rsidRPr="00446D6C">
        <w:rPr>
          <w:szCs w:val="22"/>
        </w:rPr>
        <w:t>, it reflects the actual supports provided to Vanessa in the workplace. If Vanessa’s circumstances change or she would benefit from increased supports in the workplace</w:t>
      </w:r>
      <w:r w:rsidR="000A0EBB">
        <w:rPr>
          <w:szCs w:val="22"/>
        </w:rPr>
        <w:t xml:space="preserve">, </w:t>
      </w:r>
      <w:r w:rsidRPr="00446D6C">
        <w:rPr>
          <w:szCs w:val="22"/>
        </w:rPr>
        <w:t>there is scope within the plan funding to accommodate this</w:t>
      </w:r>
      <w:r>
        <w:rPr>
          <w:szCs w:val="22"/>
        </w:rPr>
        <w:t xml:space="preserve">. </w:t>
      </w:r>
    </w:p>
    <w:p w:rsidR="00763422" w:rsidRDefault="00763422">
      <w:pPr>
        <w:spacing w:line="276" w:lineRule="auto"/>
        <w:rPr>
          <w:b/>
          <w:sz w:val="28"/>
          <w:szCs w:val="28"/>
        </w:rPr>
      </w:pPr>
      <w:r>
        <w:rPr>
          <w:b/>
          <w:sz w:val="28"/>
          <w:szCs w:val="28"/>
        </w:rPr>
        <w:br w:type="page"/>
      </w:r>
    </w:p>
    <w:p w:rsidR="00446D6C" w:rsidRPr="00446D6C" w:rsidRDefault="00446D6C" w:rsidP="00446D6C">
      <w:pPr>
        <w:spacing w:line="276" w:lineRule="auto"/>
        <w:rPr>
          <w:b/>
          <w:sz w:val="28"/>
          <w:szCs w:val="28"/>
        </w:rPr>
      </w:pPr>
      <w:r w:rsidRPr="00446D6C">
        <w:rPr>
          <w:b/>
          <w:sz w:val="28"/>
          <w:szCs w:val="28"/>
        </w:rPr>
        <w:lastRenderedPageBreak/>
        <w:t>Case study: Sam</w:t>
      </w:r>
    </w:p>
    <w:p w:rsidR="00446D6C" w:rsidRPr="00446D6C" w:rsidRDefault="00446D6C" w:rsidP="005B4ACA">
      <w:pPr>
        <w:rPr>
          <w:szCs w:val="22"/>
        </w:rPr>
      </w:pPr>
      <w:r w:rsidRPr="005B4ACA">
        <w:rPr>
          <w:szCs w:val="22"/>
        </w:rPr>
        <w:t>Sam currently works an average of 15 hours per week over three days for his local ADE. Before entering the NDIS, Sam was assessed at DMI level 4. He works in transfer station recycling</w:t>
      </w:r>
      <w:r w:rsidR="004802D4">
        <w:rPr>
          <w:szCs w:val="22"/>
        </w:rPr>
        <w:t>,</w:t>
      </w:r>
      <w:r w:rsidRPr="005B4ACA">
        <w:rPr>
          <w:szCs w:val="22"/>
        </w:rPr>
        <w:t xml:space="preserve"> sorting goods for sale and providing customer service. </w:t>
      </w:r>
      <w:r w:rsidR="00E90617" w:rsidRPr="005B4ACA">
        <w:rPr>
          <w:szCs w:val="22"/>
        </w:rPr>
        <w:t>Sam would like to</w:t>
      </w:r>
      <w:r w:rsidR="004802D4">
        <w:rPr>
          <w:szCs w:val="22"/>
        </w:rPr>
        <w:t xml:space="preserve"> increase his work hours </w:t>
      </w:r>
      <w:r w:rsidR="005B4C95" w:rsidRPr="005B4ACA">
        <w:rPr>
          <w:szCs w:val="22"/>
        </w:rPr>
        <w:t xml:space="preserve">and </w:t>
      </w:r>
      <w:r w:rsidR="004802D4">
        <w:rPr>
          <w:szCs w:val="22"/>
        </w:rPr>
        <w:t>is</w:t>
      </w:r>
      <w:r w:rsidR="005B4C95" w:rsidRPr="005B4ACA">
        <w:rPr>
          <w:szCs w:val="22"/>
        </w:rPr>
        <w:t xml:space="preserve"> interest</w:t>
      </w:r>
      <w:r w:rsidR="004802D4">
        <w:rPr>
          <w:szCs w:val="22"/>
        </w:rPr>
        <w:t>ed</w:t>
      </w:r>
      <w:r w:rsidR="00E90617" w:rsidRPr="005B4ACA">
        <w:rPr>
          <w:szCs w:val="22"/>
        </w:rPr>
        <w:t xml:space="preserve"> in building his customer service skills. </w:t>
      </w:r>
      <w:r w:rsidR="005B4ACA" w:rsidRPr="005B4ACA">
        <w:rPr>
          <w:szCs w:val="22"/>
        </w:rPr>
        <w:t>Sam works with a group of 17 employees in the recycling market, directly supervised by one staff member</w:t>
      </w:r>
      <w:r w:rsidR="004802D4">
        <w:rPr>
          <w:szCs w:val="22"/>
        </w:rPr>
        <w:t>. He</w:t>
      </w:r>
      <w:r w:rsidR="005B4ACA" w:rsidRPr="005B4ACA">
        <w:rPr>
          <w:szCs w:val="22"/>
        </w:rPr>
        <w:t xml:space="preserve"> is relatively independent in his role</w:t>
      </w:r>
      <w:r w:rsidR="004802D4">
        <w:rPr>
          <w:szCs w:val="22"/>
        </w:rPr>
        <w:t xml:space="preserve">; however, he </w:t>
      </w:r>
      <w:r w:rsidR="00425A18">
        <w:rPr>
          <w:szCs w:val="22"/>
        </w:rPr>
        <w:t xml:space="preserve">requires personal care in the workplace </w:t>
      </w:r>
      <w:r w:rsidR="004802D4">
        <w:rPr>
          <w:szCs w:val="22"/>
        </w:rPr>
        <w:t>at</w:t>
      </w:r>
      <w:r w:rsidR="00425A18">
        <w:rPr>
          <w:szCs w:val="22"/>
        </w:rPr>
        <w:t xml:space="preserve"> meal time and </w:t>
      </w:r>
      <w:r w:rsidR="004802D4">
        <w:rPr>
          <w:szCs w:val="22"/>
        </w:rPr>
        <w:t xml:space="preserve">to manage his </w:t>
      </w:r>
      <w:r w:rsidR="00425A18">
        <w:rPr>
          <w:szCs w:val="22"/>
        </w:rPr>
        <w:t xml:space="preserve">personal care needs. </w:t>
      </w:r>
    </w:p>
    <w:p w:rsidR="00446D6C" w:rsidRPr="00446D6C" w:rsidRDefault="00446D6C" w:rsidP="00446D6C">
      <w:pPr>
        <w:spacing w:line="276" w:lineRule="auto"/>
        <w:rPr>
          <w:szCs w:val="22"/>
        </w:rPr>
      </w:pPr>
      <w:r w:rsidRPr="00446D6C">
        <w:rPr>
          <w:szCs w:val="22"/>
        </w:rPr>
        <w:t>Under the current clai</w:t>
      </w:r>
      <w:r w:rsidR="001F45D6">
        <w:rPr>
          <w:szCs w:val="22"/>
        </w:rPr>
        <w:t>ming arrangements, Sam’s plan contains</w:t>
      </w:r>
      <w:r w:rsidRPr="00446D6C">
        <w:rPr>
          <w:szCs w:val="22"/>
        </w:rPr>
        <w:t xml:space="preserve"> DMI level 4 funding of </w:t>
      </w:r>
      <w:r w:rsidRPr="005B4C95">
        <w:rPr>
          <w:b/>
          <w:szCs w:val="22"/>
        </w:rPr>
        <w:t>$15,7</w:t>
      </w:r>
      <w:r w:rsidR="001F45D6" w:rsidRPr="005B4C95">
        <w:rPr>
          <w:b/>
          <w:szCs w:val="22"/>
        </w:rPr>
        <w:t>80</w:t>
      </w:r>
      <w:r w:rsidR="001F45D6">
        <w:rPr>
          <w:szCs w:val="22"/>
        </w:rPr>
        <w:t xml:space="preserve"> per annum and his employer i</w:t>
      </w:r>
      <w:r w:rsidRPr="00446D6C">
        <w:rPr>
          <w:szCs w:val="22"/>
        </w:rPr>
        <w:t xml:space="preserve">s able, in most circumstances, to draw down the full amount for a year’s support provision. </w:t>
      </w:r>
    </w:p>
    <w:p w:rsidR="00446D6C" w:rsidRPr="00446D6C" w:rsidRDefault="001F45D6" w:rsidP="00446D6C">
      <w:pPr>
        <w:spacing w:line="276" w:lineRule="auto"/>
        <w:rPr>
          <w:szCs w:val="22"/>
        </w:rPr>
      </w:pPr>
      <w:r>
        <w:rPr>
          <w:szCs w:val="22"/>
        </w:rPr>
        <w:t>Under the new pricing framework</w:t>
      </w:r>
      <w:r w:rsidR="00446D6C" w:rsidRPr="00446D6C">
        <w:rPr>
          <w:szCs w:val="22"/>
        </w:rPr>
        <w:t>, Sam’s NDIS plan funding will allow</w:t>
      </w:r>
      <w:r>
        <w:rPr>
          <w:szCs w:val="22"/>
        </w:rPr>
        <w:t xml:space="preserve"> him </w:t>
      </w:r>
      <w:r w:rsidR="00446D6C" w:rsidRPr="00446D6C">
        <w:rPr>
          <w:szCs w:val="22"/>
        </w:rPr>
        <w:t>to maintain his 15 hours per week work</w:t>
      </w:r>
      <w:r>
        <w:rPr>
          <w:szCs w:val="22"/>
        </w:rPr>
        <w:t>, with provision to</w:t>
      </w:r>
      <w:r w:rsidR="00E90617">
        <w:rPr>
          <w:szCs w:val="22"/>
        </w:rPr>
        <w:t xml:space="preserve"> increase his hours of work and learn new skills</w:t>
      </w:r>
      <w:r w:rsidR="00446D6C" w:rsidRPr="00446D6C">
        <w:rPr>
          <w:szCs w:val="22"/>
        </w:rPr>
        <w:t xml:space="preserve">. The </w:t>
      </w:r>
      <w:r w:rsidR="004802D4">
        <w:rPr>
          <w:szCs w:val="22"/>
        </w:rPr>
        <w:t>planner would take into account</w:t>
      </w:r>
      <w:r w:rsidR="00446D6C" w:rsidRPr="00446D6C">
        <w:rPr>
          <w:szCs w:val="22"/>
        </w:rPr>
        <w:t xml:space="preserve">: </w:t>
      </w:r>
    </w:p>
    <w:p w:rsidR="00446D6C" w:rsidRDefault="00446D6C" w:rsidP="00E90617">
      <w:pPr>
        <w:pStyle w:val="ListParagraph"/>
        <w:numPr>
          <w:ilvl w:val="0"/>
          <w:numId w:val="39"/>
        </w:numPr>
        <w:rPr>
          <w:szCs w:val="22"/>
        </w:rPr>
      </w:pPr>
      <w:r w:rsidRPr="00446D6C">
        <w:rPr>
          <w:szCs w:val="22"/>
        </w:rPr>
        <w:t>Sam works 15 hours per week</w:t>
      </w:r>
    </w:p>
    <w:p w:rsidR="00E90617" w:rsidRDefault="00E90617" w:rsidP="00E90617">
      <w:pPr>
        <w:pStyle w:val="ListParagraph"/>
        <w:numPr>
          <w:ilvl w:val="0"/>
          <w:numId w:val="39"/>
        </w:numPr>
        <w:rPr>
          <w:szCs w:val="22"/>
        </w:rPr>
      </w:pPr>
      <w:r>
        <w:rPr>
          <w:szCs w:val="22"/>
        </w:rPr>
        <w:t xml:space="preserve">He would like to </w:t>
      </w:r>
      <w:r w:rsidR="004802D4">
        <w:rPr>
          <w:szCs w:val="22"/>
        </w:rPr>
        <w:t xml:space="preserve">work </w:t>
      </w:r>
      <w:r>
        <w:rPr>
          <w:szCs w:val="22"/>
        </w:rPr>
        <w:t>22 hours per week</w:t>
      </w:r>
    </w:p>
    <w:p w:rsidR="00E90617" w:rsidRPr="00E90617" w:rsidRDefault="00E90617" w:rsidP="00E90617">
      <w:pPr>
        <w:pStyle w:val="ListParagraph"/>
        <w:numPr>
          <w:ilvl w:val="0"/>
          <w:numId w:val="39"/>
        </w:numPr>
        <w:rPr>
          <w:szCs w:val="22"/>
        </w:rPr>
      </w:pPr>
      <w:r>
        <w:rPr>
          <w:szCs w:val="22"/>
        </w:rPr>
        <w:t>He would like to explore different work options, enjoying the custo</w:t>
      </w:r>
      <w:r w:rsidR="001F45D6">
        <w:rPr>
          <w:szCs w:val="22"/>
        </w:rPr>
        <w:t>mer contact in his current role</w:t>
      </w:r>
    </w:p>
    <w:p w:rsidR="00446D6C" w:rsidRPr="00446D6C" w:rsidRDefault="00446D6C" w:rsidP="00E90617">
      <w:pPr>
        <w:pStyle w:val="ListParagraph"/>
        <w:numPr>
          <w:ilvl w:val="0"/>
          <w:numId w:val="39"/>
        </w:numPr>
        <w:rPr>
          <w:szCs w:val="22"/>
        </w:rPr>
      </w:pPr>
      <w:r w:rsidRPr="00446D6C">
        <w:rPr>
          <w:szCs w:val="22"/>
        </w:rPr>
        <w:t>He is likely to need a high level of support based on his previous DMI 4 assessment</w:t>
      </w:r>
      <w:r w:rsidR="008D61CB">
        <w:rPr>
          <w:szCs w:val="22"/>
        </w:rPr>
        <w:t>.</w:t>
      </w:r>
      <w:r w:rsidRPr="00446D6C">
        <w:rPr>
          <w:szCs w:val="22"/>
        </w:rPr>
        <w:t xml:space="preserve">  </w:t>
      </w:r>
    </w:p>
    <w:p w:rsidR="00446D6C" w:rsidRPr="00446D6C" w:rsidRDefault="00446D6C" w:rsidP="00446D6C">
      <w:pPr>
        <w:spacing w:line="276" w:lineRule="auto"/>
        <w:rPr>
          <w:szCs w:val="22"/>
        </w:rPr>
      </w:pPr>
      <w:r w:rsidRPr="00446D6C">
        <w:rPr>
          <w:szCs w:val="22"/>
        </w:rPr>
        <w:t>Sam and his ADE employer agree to the following supports in the workplace:</w:t>
      </w:r>
    </w:p>
    <w:p w:rsidR="00446D6C" w:rsidRDefault="00446D6C" w:rsidP="00E90617">
      <w:pPr>
        <w:pStyle w:val="ListParagraph"/>
        <w:numPr>
          <w:ilvl w:val="0"/>
          <w:numId w:val="39"/>
        </w:numPr>
        <w:rPr>
          <w:szCs w:val="22"/>
        </w:rPr>
      </w:pPr>
      <w:r w:rsidRPr="00446D6C">
        <w:rPr>
          <w:szCs w:val="22"/>
        </w:rPr>
        <w:t>15 hours per week @ $9.65 per week = $144.75 per week</w:t>
      </w:r>
    </w:p>
    <w:p w:rsidR="00E90617" w:rsidRDefault="00E90617" w:rsidP="00E90617">
      <w:pPr>
        <w:pStyle w:val="ListParagraph"/>
        <w:numPr>
          <w:ilvl w:val="0"/>
          <w:numId w:val="39"/>
        </w:numPr>
        <w:rPr>
          <w:szCs w:val="22"/>
        </w:rPr>
      </w:pPr>
      <w:r>
        <w:rPr>
          <w:szCs w:val="22"/>
        </w:rPr>
        <w:t>An additional 7 hours per week</w:t>
      </w:r>
      <w:r w:rsidR="00721E61">
        <w:rPr>
          <w:szCs w:val="22"/>
        </w:rPr>
        <w:t xml:space="preserve"> @ $19.72</w:t>
      </w:r>
      <w:r>
        <w:rPr>
          <w:szCs w:val="22"/>
        </w:rPr>
        <w:t xml:space="preserve"> for 6 months, assuming he is able to increase his hours. Higher supports a</w:t>
      </w:r>
      <w:r w:rsidR="001F45D6">
        <w:rPr>
          <w:szCs w:val="22"/>
        </w:rPr>
        <w:t>r</w:t>
      </w:r>
      <w:r>
        <w:rPr>
          <w:szCs w:val="22"/>
        </w:rPr>
        <w:t xml:space="preserve">e likely </w:t>
      </w:r>
      <w:r w:rsidR="005B4ACA">
        <w:rPr>
          <w:szCs w:val="22"/>
        </w:rPr>
        <w:t xml:space="preserve">when commencing </w:t>
      </w:r>
      <w:r>
        <w:rPr>
          <w:szCs w:val="22"/>
        </w:rPr>
        <w:t>a new job so 1:3 support</w:t>
      </w:r>
      <w:r w:rsidR="004802D4">
        <w:rPr>
          <w:szCs w:val="22"/>
        </w:rPr>
        <w:t xml:space="preserve"> is agreed</w:t>
      </w:r>
      <w:r>
        <w:rPr>
          <w:szCs w:val="22"/>
        </w:rPr>
        <w:t xml:space="preserve"> = </w:t>
      </w:r>
      <w:r w:rsidR="00721E61">
        <w:rPr>
          <w:szCs w:val="22"/>
        </w:rPr>
        <w:t>$138.04 (for 24 weeks)</w:t>
      </w:r>
    </w:p>
    <w:p w:rsidR="00136CBC" w:rsidRDefault="00E90617" w:rsidP="00136CBC">
      <w:pPr>
        <w:pStyle w:val="ListParagraph"/>
        <w:numPr>
          <w:ilvl w:val="0"/>
          <w:numId w:val="39"/>
        </w:numPr>
        <w:rPr>
          <w:szCs w:val="22"/>
        </w:rPr>
      </w:pPr>
      <w:r w:rsidRPr="00136CBC">
        <w:rPr>
          <w:szCs w:val="22"/>
        </w:rPr>
        <w:t xml:space="preserve">2 </w:t>
      </w:r>
      <w:r w:rsidR="00136CBC">
        <w:rPr>
          <w:szCs w:val="22"/>
        </w:rPr>
        <w:t xml:space="preserve">hours per week </w:t>
      </w:r>
      <w:r w:rsidR="00136CBC" w:rsidRPr="00136CBC">
        <w:rPr>
          <w:szCs w:val="22"/>
        </w:rPr>
        <w:t>for skills development @ $59.03 per week (ratio 1:1</w:t>
      </w:r>
      <w:r w:rsidR="004802D4">
        <w:rPr>
          <w:szCs w:val="22"/>
        </w:rPr>
        <w:t xml:space="preserve"> </w:t>
      </w:r>
      <w:r w:rsidR="00E56BA4">
        <w:rPr>
          <w:szCs w:val="22"/>
        </w:rPr>
        <w:t>–</w:t>
      </w:r>
      <w:r w:rsidR="004802D4">
        <w:rPr>
          <w:szCs w:val="22"/>
        </w:rPr>
        <w:t xml:space="preserve"> </w:t>
      </w:r>
      <w:r w:rsidR="00E56BA4">
        <w:rPr>
          <w:szCs w:val="22"/>
        </w:rPr>
        <w:t xml:space="preserve">Capacity Building </w:t>
      </w:r>
      <w:r w:rsidR="00136CBC" w:rsidRPr="00136CBC">
        <w:rPr>
          <w:szCs w:val="22"/>
        </w:rPr>
        <w:t>Finding and Keeping a Job) = $</w:t>
      </w:r>
      <w:r w:rsidR="00136CBC">
        <w:rPr>
          <w:szCs w:val="22"/>
        </w:rPr>
        <w:t>118.06</w:t>
      </w:r>
      <w:r w:rsidR="00136CBC" w:rsidRPr="00136CBC">
        <w:rPr>
          <w:szCs w:val="22"/>
        </w:rPr>
        <w:t xml:space="preserve"> per week</w:t>
      </w:r>
    </w:p>
    <w:p w:rsidR="00136CBC" w:rsidRPr="00136CBC" w:rsidRDefault="00136CBC" w:rsidP="00136CBC">
      <w:pPr>
        <w:pStyle w:val="ListParagraph"/>
        <w:numPr>
          <w:ilvl w:val="0"/>
          <w:numId w:val="39"/>
        </w:numPr>
        <w:rPr>
          <w:szCs w:val="22"/>
        </w:rPr>
      </w:pPr>
      <w:r>
        <w:rPr>
          <w:szCs w:val="22"/>
        </w:rPr>
        <w:t xml:space="preserve">3 hours per week @ $54.95 for personal assistance in the workplace = $164.85 per week </w:t>
      </w:r>
    </w:p>
    <w:p w:rsidR="00E56BA4" w:rsidRPr="00317711" w:rsidRDefault="00446D6C" w:rsidP="008553DA">
      <w:pPr>
        <w:pStyle w:val="ListParagraph"/>
        <w:numPr>
          <w:ilvl w:val="0"/>
          <w:numId w:val="39"/>
        </w:numPr>
        <w:rPr>
          <w:szCs w:val="22"/>
        </w:rPr>
      </w:pPr>
      <w:r w:rsidRPr="00446D6C">
        <w:rPr>
          <w:szCs w:val="22"/>
        </w:rPr>
        <w:t>Sam’s committed funds f</w:t>
      </w:r>
      <w:r w:rsidR="00686266">
        <w:rPr>
          <w:szCs w:val="22"/>
        </w:rPr>
        <w:t>or 48 weeks</w:t>
      </w:r>
      <w:r w:rsidRPr="00446D6C">
        <w:rPr>
          <w:szCs w:val="22"/>
        </w:rPr>
        <w:t xml:space="preserve"> = </w:t>
      </w:r>
      <w:r w:rsidR="00A25ECF">
        <w:rPr>
          <w:szCs w:val="22"/>
        </w:rPr>
        <w:t>$</w:t>
      </w:r>
      <w:r w:rsidR="00A25ECF">
        <w:rPr>
          <w:b/>
          <w:szCs w:val="22"/>
        </w:rPr>
        <w:t>23,</w:t>
      </w:r>
      <w:bookmarkStart w:id="39" w:name="_Toc23370970"/>
      <w:bookmarkStart w:id="40" w:name="_Toc23372523"/>
      <w:r w:rsidR="00EB624F">
        <w:rPr>
          <w:b/>
          <w:szCs w:val="22"/>
        </w:rPr>
        <w:t>840.64</w:t>
      </w:r>
      <w:r w:rsidR="00686266">
        <w:rPr>
          <w:szCs w:val="22"/>
        </w:rPr>
        <w:t>.</w:t>
      </w:r>
    </w:p>
    <w:p w:rsidR="00686266" w:rsidRDefault="00686266">
      <w:pPr>
        <w:spacing w:line="276" w:lineRule="auto"/>
        <w:rPr>
          <w:rFonts w:eastAsiaTheme="majorEastAsia" w:cstheme="majorBidi"/>
          <w:b/>
          <w:bCs/>
          <w:color w:val="6A2875"/>
          <w:sz w:val="44"/>
          <w:szCs w:val="26"/>
        </w:rPr>
      </w:pPr>
      <w:r>
        <w:br w:type="page"/>
      </w:r>
    </w:p>
    <w:p w:rsidR="00BA7B84" w:rsidRDefault="00A36757" w:rsidP="008553DA">
      <w:pPr>
        <w:pStyle w:val="Heading2"/>
      </w:pPr>
      <w:bookmarkStart w:id="41" w:name="_Toc25074426"/>
      <w:r>
        <w:lastRenderedPageBreak/>
        <w:t>Supporting ADEs through the</w:t>
      </w:r>
      <w:r w:rsidR="00D52C24">
        <w:t xml:space="preserve"> transition</w:t>
      </w:r>
      <w:bookmarkEnd w:id="39"/>
      <w:bookmarkEnd w:id="40"/>
      <w:bookmarkEnd w:id="41"/>
    </w:p>
    <w:p w:rsidR="00C2307F" w:rsidRPr="001E0663" w:rsidRDefault="00C2307F" w:rsidP="00C2307F">
      <w:r w:rsidRPr="001E0663">
        <w:t>The new supported employment pricing framework represents a significant adjustment for ADEs. The NDIA recognises that some ADEs are well-prepared to move to the new framework, while others may need extended time to make changes to their business and support models.</w:t>
      </w:r>
    </w:p>
    <w:p w:rsidR="00C2307F" w:rsidRPr="001E0663" w:rsidRDefault="00C2307F" w:rsidP="00C2307F">
      <w:r w:rsidRPr="001E0663">
        <w:t>To help facilitate a smooth introduction, the new pricing framework will be implemented in stages.</w:t>
      </w:r>
    </w:p>
    <w:p w:rsidR="00C2307F" w:rsidRPr="001E0663" w:rsidRDefault="00C2307F" w:rsidP="00C2307F">
      <w:r w:rsidRPr="001E0663">
        <w:t xml:space="preserve">The new support items and price limits will come into effect from 1 July 2020, commencing as the new financial year begins. This will give all ADEs time to understand the implications of the new pricing for their organisation and systems before implementing it. </w:t>
      </w:r>
    </w:p>
    <w:p w:rsidR="00C2307F" w:rsidRPr="001E0663" w:rsidRDefault="00C2307F" w:rsidP="00C2307F">
      <w:r w:rsidRPr="001E0663">
        <w:t>The new arrangements will be reflected in participa</w:t>
      </w:r>
      <w:r w:rsidR="00342CF9">
        <w:t>nts’ plans as they are reviewed:</w:t>
      </w:r>
      <w:r w:rsidRPr="001E0663">
        <w:t xml:space="preserve"> that is, the funding amounts put in plans under the new approach will occur as participants reach their scheduled plan review date. </w:t>
      </w:r>
    </w:p>
    <w:p w:rsidR="00C2307F" w:rsidRPr="001E0663" w:rsidRDefault="00C2307F" w:rsidP="00C2307F">
      <w:r w:rsidRPr="001E0663">
        <w:t xml:space="preserve">In recognition of differences in NDIS readiness across the sector, </w:t>
      </w:r>
      <w:r w:rsidRPr="002F37AD">
        <w:rPr>
          <w:b/>
        </w:rPr>
        <w:t>ADEs will have c</w:t>
      </w:r>
      <w:r w:rsidR="00196FBD" w:rsidRPr="002F37AD">
        <w:rPr>
          <w:b/>
        </w:rPr>
        <w:t>hoice</w:t>
      </w:r>
      <w:r w:rsidR="00196FBD">
        <w:t xml:space="preserve"> about when they </w:t>
      </w:r>
      <w:r w:rsidRPr="001E0663">
        <w:t>start to use the new su</w:t>
      </w:r>
      <w:r w:rsidR="00196FBD">
        <w:t xml:space="preserve">pport items and </w:t>
      </w:r>
      <w:r w:rsidRPr="001E0663">
        <w:t>are subject to the new price limits. They can adopt the new pricing framework on 1 July 2020</w:t>
      </w:r>
      <w:r w:rsidR="002F37AD">
        <w:t>,</w:t>
      </w:r>
      <w:r w:rsidRPr="001E0663">
        <w:t xml:space="preserve"> or continue with the existing NDIS arrangements that mirror Case Based Funding (</w:t>
      </w:r>
      <w:r w:rsidR="00196FBD">
        <w:t>CBF) for a period up to</w:t>
      </w:r>
      <w:r w:rsidRPr="001E0663">
        <w:t xml:space="preserve"> 18 months.</w:t>
      </w:r>
    </w:p>
    <w:p w:rsidR="00C2307F" w:rsidRDefault="00C2307F" w:rsidP="00C2307F">
      <w:r w:rsidRPr="001E0663">
        <w:t>ADEs that opt to continue with the exis</w:t>
      </w:r>
      <w:r>
        <w:t>ting NDIS CBF arrangements</w:t>
      </w:r>
      <w:r w:rsidR="00196FBD">
        <w:t xml:space="preserve"> will</w:t>
      </w:r>
      <w:r>
        <w:t>:</w:t>
      </w:r>
    </w:p>
    <w:p w:rsidR="00C2307F" w:rsidRPr="001E0663" w:rsidRDefault="00C2307F" w:rsidP="00C2307F">
      <w:pPr>
        <w:pStyle w:val="ListParagraph"/>
        <w:numPr>
          <w:ilvl w:val="0"/>
          <w:numId w:val="44"/>
        </w:numPr>
        <w:spacing w:after="160" w:line="259" w:lineRule="auto"/>
      </w:pPr>
      <w:r>
        <w:t>c</w:t>
      </w:r>
      <w:r w:rsidRPr="001E0663">
        <w:t>ontinue to claim using the existing ADE support items (not the new items</w:t>
      </w:r>
      <w:r>
        <w:t>)</w:t>
      </w:r>
      <w:r w:rsidRPr="001E0663">
        <w:t xml:space="preserve"> – and hence will not be </w:t>
      </w:r>
      <w:r w:rsidR="002F37AD">
        <w:t>subject to the new pricing</w:t>
      </w:r>
    </w:p>
    <w:p w:rsidR="00C2307F" w:rsidRPr="001E0663" w:rsidRDefault="00C2307F" w:rsidP="00C2307F">
      <w:pPr>
        <w:pStyle w:val="ListParagraph"/>
        <w:numPr>
          <w:ilvl w:val="0"/>
          <w:numId w:val="44"/>
        </w:numPr>
        <w:spacing w:after="160" w:line="259" w:lineRule="auto"/>
      </w:pPr>
      <w:r>
        <w:t>be expected to develop a plan outlining</w:t>
      </w:r>
      <w:r w:rsidRPr="001E0663">
        <w:t xml:space="preserve"> how they will make the transition to the new pricing framework</w:t>
      </w:r>
      <w:r w:rsidR="001C443E">
        <w:t>.</w:t>
      </w:r>
    </w:p>
    <w:p w:rsidR="005136A2" w:rsidRDefault="00C2307F" w:rsidP="00E56BA4">
      <w:r w:rsidRPr="001E0663">
        <w:t>Further information to assist ADEs’ decision-making will be available over coming months. The NDIA is keen for ADEs to make well-informed decisio</w:t>
      </w:r>
      <w:r w:rsidR="00196FBD">
        <w:t>ns about when and how they transition</w:t>
      </w:r>
      <w:r w:rsidRPr="001E0663">
        <w:t xml:space="preserve"> </w:t>
      </w:r>
      <w:r w:rsidR="00196FBD">
        <w:t xml:space="preserve">to </w:t>
      </w:r>
      <w:r w:rsidRPr="001E0663">
        <w:t>the new pricing framework and will work wit</w:t>
      </w:r>
      <w:r w:rsidR="00610A48">
        <w:t>h them to support this process.</w:t>
      </w:r>
    </w:p>
    <w:tbl>
      <w:tblPr>
        <w:tblStyle w:val="TableGrid"/>
        <w:tblW w:w="0" w:type="auto"/>
        <w:tblLook w:val="04A0" w:firstRow="1" w:lastRow="0" w:firstColumn="1" w:lastColumn="0" w:noHBand="0" w:noVBand="1"/>
        <w:tblCaption w:val="Questions"/>
        <w:tblDescription w:val="7. The extended implementation period is designed to support ADEs that need additional time to make the transition to the new pricing framework. What would assist your organisation to prepare for transition?"/>
      </w:tblPr>
      <w:tblGrid>
        <w:gridCol w:w="9016"/>
      </w:tblGrid>
      <w:tr w:rsidR="00236B20" w:rsidTr="00632067">
        <w:trPr>
          <w:tblHeader/>
        </w:trPr>
        <w:tc>
          <w:tcPr>
            <w:tcW w:w="9016" w:type="dxa"/>
            <w:tcBorders>
              <w:bottom w:val="nil"/>
            </w:tcBorders>
            <w:shd w:val="clear" w:color="auto" w:fill="E5DFEC" w:themeFill="accent4" w:themeFillTint="33"/>
          </w:tcPr>
          <w:p w:rsidR="00236B20" w:rsidRPr="007718DD" w:rsidRDefault="00236B20" w:rsidP="007718DD">
            <w:pPr>
              <w:pStyle w:val="Heading4"/>
              <w:outlineLvl w:val="3"/>
            </w:pPr>
            <w:r w:rsidRPr="001205AC">
              <w:t>Question</w:t>
            </w:r>
            <w:r>
              <w:t xml:space="preserve">s </w:t>
            </w:r>
          </w:p>
        </w:tc>
      </w:tr>
      <w:tr w:rsidR="007718DD" w:rsidTr="00632067">
        <w:tc>
          <w:tcPr>
            <w:tcW w:w="9016" w:type="dxa"/>
            <w:tcBorders>
              <w:top w:val="nil"/>
            </w:tcBorders>
            <w:shd w:val="clear" w:color="auto" w:fill="E5DFEC" w:themeFill="accent4" w:themeFillTint="33"/>
          </w:tcPr>
          <w:p w:rsidR="007718DD" w:rsidRPr="007718DD" w:rsidRDefault="007718DD" w:rsidP="00236B20">
            <w:pPr>
              <w:pStyle w:val="ListParagraph"/>
              <w:numPr>
                <w:ilvl w:val="0"/>
                <w:numId w:val="45"/>
              </w:numPr>
              <w:rPr>
                <w:b/>
              </w:rPr>
            </w:pPr>
            <w:r>
              <w:t>The extended implementation period is designed to support ADEs that need additional time to make the transition to the new pricing framework. What would assist your organisation to prepare for transition?</w:t>
            </w:r>
          </w:p>
        </w:tc>
      </w:tr>
    </w:tbl>
    <w:p w:rsidR="003216A7" w:rsidRDefault="003216A7" w:rsidP="00A70566">
      <w:pPr>
        <w:pStyle w:val="Heading3"/>
      </w:pPr>
    </w:p>
    <w:p w:rsidR="003216A7" w:rsidRDefault="003216A7" w:rsidP="00696E86">
      <w:pPr>
        <w:rPr>
          <w:color w:val="6A2875"/>
          <w:sz w:val="30"/>
          <w:szCs w:val="30"/>
        </w:rPr>
      </w:pPr>
      <w:r>
        <w:br w:type="page"/>
      </w:r>
    </w:p>
    <w:p w:rsidR="00502D3E" w:rsidRPr="00EC053E" w:rsidRDefault="003E7C46">
      <w:pPr>
        <w:pStyle w:val="Heading3"/>
      </w:pPr>
      <w:bookmarkStart w:id="42" w:name="_Toc25074427"/>
      <w:r w:rsidRPr="00EC053E">
        <w:lastRenderedPageBreak/>
        <w:t>Looking to the future</w:t>
      </w:r>
      <w:bookmarkEnd w:id="42"/>
    </w:p>
    <w:p w:rsidR="00BD6A34" w:rsidRDefault="008E2026" w:rsidP="00BD6A34">
      <w:r>
        <w:t xml:space="preserve">Over time </w:t>
      </w:r>
      <w:r w:rsidR="007F6ED7">
        <w:t>the ne</w:t>
      </w:r>
      <w:r>
        <w:t>w pricing framework should assist</w:t>
      </w:r>
      <w:r w:rsidR="007F6ED7">
        <w:t xml:space="preserve"> businesses </w:t>
      </w:r>
      <w:r w:rsidR="007F6ED7" w:rsidRPr="008553DA">
        <w:t xml:space="preserve">to </w:t>
      </w:r>
      <w:r w:rsidR="007F6ED7">
        <w:t xml:space="preserve">expand and diversify the </w:t>
      </w:r>
      <w:r w:rsidR="007F6ED7" w:rsidRPr="008553DA">
        <w:t xml:space="preserve">supported employment opportunities </w:t>
      </w:r>
      <w:r w:rsidR="007F6ED7">
        <w:t xml:space="preserve">available to </w:t>
      </w:r>
      <w:r w:rsidR="007F6ED7" w:rsidRPr="008553DA">
        <w:t>NDIS participants.</w:t>
      </w:r>
      <w:r w:rsidR="007F6ED7">
        <w:t xml:space="preserve"> </w:t>
      </w:r>
    </w:p>
    <w:p w:rsidR="003E7C46" w:rsidRDefault="003E7C46" w:rsidP="00BD6A34">
      <w:r>
        <w:t>While there are currently around 20,000 NDIS</w:t>
      </w:r>
      <w:r w:rsidR="00AD3107">
        <w:t>-</w:t>
      </w:r>
      <w:r>
        <w:t xml:space="preserve">funded supported employees, we expect that more than 100,000 NDIS participants </w:t>
      </w:r>
      <w:r w:rsidR="001C443E">
        <w:t xml:space="preserve">may </w:t>
      </w:r>
      <w:r>
        <w:t xml:space="preserve">need supported employment supports to enable them to participate in work. </w:t>
      </w:r>
    </w:p>
    <w:p w:rsidR="007F6ED7" w:rsidRPr="007F6ED7" w:rsidRDefault="007F6ED7" w:rsidP="007F6ED7">
      <w:r w:rsidRPr="007F6ED7">
        <w:t xml:space="preserve">Under the new pricing framework, the provider of employment supports no longer needs to be the employer of a participant. This means that support can be used in any employment setting including ADEs, social enterprises, self-employment and other regular workplaces. </w:t>
      </w:r>
    </w:p>
    <w:p w:rsidR="007F6ED7" w:rsidRDefault="007F6ED7" w:rsidP="007F6ED7">
      <w:r w:rsidRPr="007F6ED7">
        <w:t>As disability</w:t>
      </w:r>
      <w:r w:rsidR="00AD3107">
        <w:t>-</w:t>
      </w:r>
      <w:r w:rsidRPr="007F6ED7">
        <w:t xml:space="preserve">confident employers and experienced providers of on-the-job employment supports, ADEs are uniquely positioned to transform their business models </w:t>
      </w:r>
      <w:r w:rsidR="00193A52">
        <w:t xml:space="preserve">and continue as employers of choice. They are also well-positioned to apply their experience and expertise to </w:t>
      </w:r>
      <w:r w:rsidRPr="007F6ED7">
        <w:t xml:space="preserve">support participants in </w:t>
      </w:r>
      <w:r w:rsidR="00793EF0">
        <w:t>an expanded range of</w:t>
      </w:r>
      <w:r w:rsidRPr="007F6ED7">
        <w:t xml:space="preserve"> employment settings.  </w:t>
      </w:r>
    </w:p>
    <w:p w:rsidR="003216A7" w:rsidRDefault="003216A7">
      <w:pPr>
        <w:spacing w:line="276" w:lineRule="auto"/>
        <w:rPr>
          <w:b/>
          <w:color w:val="6A2875"/>
          <w:sz w:val="30"/>
          <w:szCs w:val="30"/>
        </w:rPr>
      </w:pPr>
      <w:r>
        <w:br w:type="page"/>
      </w:r>
    </w:p>
    <w:p w:rsidR="003E7C46" w:rsidRPr="00696E86" w:rsidRDefault="003E7C46" w:rsidP="00696E86">
      <w:pPr>
        <w:pStyle w:val="Heading2"/>
      </w:pPr>
      <w:bookmarkStart w:id="43" w:name="_Toc25074428"/>
      <w:r w:rsidRPr="00696E86">
        <w:lastRenderedPageBreak/>
        <w:t>Next steps</w:t>
      </w:r>
      <w:bookmarkEnd w:id="43"/>
    </w:p>
    <w:p w:rsidR="007F6ED7" w:rsidRPr="007F6ED7" w:rsidRDefault="00793EF0" w:rsidP="007F6ED7">
      <w:r>
        <w:t>T</w:t>
      </w:r>
      <w:r w:rsidR="005D5931">
        <w:t xml:space="preserve">he </w:t>
      </w:r>
      <w:r w:rsidR="003E7C46">
        <w:t>NDIA</w:t>
      </w:r>
      <w:r w:rsidR="008E2026">
        <w:t xml:space="preserve"> recognise</w:t>
      </w:r>
      <w:r w:rsidR="003E7C46">
        <w:t>s</w:t>
      </w:r>
      <w:r w:rsidR="008E2026">
        <w:t xml:space="preserve"> the importance of the </w:t>
      </w:r>
      <w:r w:rsidR="007F6ED7" w:rsidRPr="007F6ED7">
        <w:t>new pricing framework</w:t>
      </w:r>
      <w:r w:rsidR="008E2026">
        <w:t xml:space="preserve"> </w:t>
      </w:r>
      <w:r w:rsidR="007F6ED7" w:rsidRPr="007F6ED7">
        <w:t>be</w:t>
      </w:r>
      <w:r w:rsidR="008E2026">
        <w:t>ing</w:t>
      </w:r>
      <w:r w:rsidR="007F6ED7" w:rsidRPr="007F6ED7">
        <w:t xml:space="preserve"> administratively simple and workable for providers</w:t>
      </w:r>
      <w:r w:rsidR="008E2026">
        <w:t xml:space="preserve"> and will work with the sector to achieve this</w:t>
      </w:r>
      <w:r w:rsidR="007F6ED7" w:rsidRPr="007F6ED7">
        <w:t xml:space="preserve">. </w:t>
      </w:r>
    </w:p>
    <w:p w:rsidR="00103DDA" w:rsidRDefault="00103DDA" w:rsidP="00103DDA">
      <w:r>
        <w:t xml:space="preserve">We also understand </w:t>
      </w:r>
      <w:r w:rsidR="00793EF0">
        <w:t xml:space="preserve">that </w:t>
      </w:r>
      <w:r>
        <w:t xml:space="preserve">employment supports within an ADE work setting are not as easily defined as supports in other disability services. For example, supervisors </w:t>
      </w:r>
      <w:r w:rsidRPr="00BA52E6">
        <w:t xml:space="preserve">often combine a production role with a support role. </w:t>
      </w:r>
    </w:p>
    <w:p w:rsidR="00F41BD1" w:rsidRDefault="003E7C46" w:rsidP="00EA5626">
      <w:r>
        <w:t>W</w:t>
      </w:r>
      <w:r w:rsidR="005D5931">
        <w:t>ith the support of DSS, we</w:t>
      </w:r>
      <w:r w:rsidR="00413B8D">
        <w:t xml:space="preserve"> </w:t>
      </w:r>
      <w:r w:rsidR="003216A7">
        <w:t xml:space="preserve">have </w:t>
      </w:r>
      <w:r w:rsidR="00A23302">
        <w:t xml:space="preserve">consulted </w:t>
      </w:r>
      <w:r w:rsidR="00413B8D">
        <w:t>with ADEs and pe</w:t>
      </w:r>
      <w:r w:rsidR="008E2026">
        <w:t>ak bodies in the lead up to the pricing</w:t>
      </w:r>
      <w:r w:rsidR="00413B8D">
        <w:t xml:space="preserve"> announcement</w:t>
      </w:r>
      <w:r w:rsidR="00413B8D" w:rsidRPr="008670FD">
        <w:t xml:space="preserve">. </w:t>
      </w:r>
      <w:r w:rsidR="00A14E01">
        <w:t>T</w:t>
      </w:r>
      <w:r w:rsidR="007616C8">
        <w:t>his included</w:t>
      </w:r>
      <w:r>
        <w:t xml:space="preserve"> working with </w:t>
      </w:r>
      <w:r w:rsidR="00A75E6A">
        <w:t>13</w:t>
      </w:r>
      <w:r w:rsidR="00A14E01">
        <w:t xml:space="preserve"> </w:t>
      </w:r>
      <w:r w:rsidR="00413B8D" w:rsidRPr="008670FD">
        <w:t xml:space="preserve">ADEs </w:t>
      </w:r>
      <w:r>
        <w:t>to undertake</w:t>
      </w:r>
      <w:r w:rsidR="00413B8D" w:rsidRPr="008670FD">
        <w:t xml:space="preserve"> preliminary modelling and consultation</w:t>
      </w:r>
      <w:r w:rsidR="008E2026">
        <w:t xml:space="preserve">, </w:t>
      </w:r>
      <w:r>
        <w:t>supported by</w:t>
      </w:r>
      <w:r w:rsidR="00A23302">
        <w:t xml:space="preserve"> </w:t>
      </w:r>
      <w:r w:rsidR="00A23302" w:rsidRPr="008670FD">
        <w:t>Nati</w:t>
      </w:r>
      <w:r w:rsidR="00A23302">
        <w:t xml:space="preserve">onal Disability Services (NDS) </w:t>
      </w:r>
      <w:r w:rsidR="008E2026">
        <w:t xml:space="preserve">as the </w:t>
      </w:r>
      <w:r w:rsidR="00A23302" w:rsidRPr="008670FD">
        <w:t>peak body for the ADE sector</w:t>
      </w:r>
      <w:r w:rsidR="008E2026">
        <w:t>. The</w:t>
      </w:r>
      <w:r w:rsidR="00413B8D" w:rsidRPr="008670FD">
        <w:t xml:space="preserve"> group </w:t>
      </w:r>
      <w:r w:rsidR="00A23302">
        <w:t xml:space="preserve">of ADEs </w:t>
      </w:r>
      <w:r w:rsidR="00413B8D" w:rsidRPr="008670FD">
        <w:t>included small, medium and large enterprises across all states and territ</w:t>
      </w:r>
      <w:r w:rsidR="00103DDA">
        <w:t>ories. In total, these ADEs support</w:t>
      </w:r>
      <w:r w:rsidR="00413B8D" w:rsidRPr="008670FD">
        <w:t xml:space="preserve"> more than 25% of the supported empl</w:t>
      </w:r>
      <w:r w:rsidR="00103DDA">
        <w:t>oyees currently employed</w:t>
      </w:r>
      <w:r w:rsidR="00413B8D" w:rsidRPr="008670FD">
        <w:t xml:space="preserve">. </w:t>
      </w:r>
    </w:p>
    <w:p w:rsidR="005D5931" w:rsidRDefault="005D5931" w:rsidP="00EA5626">
      <w:r>
        <w:t xml:space="preserve">This information paper and the questions </w:t>
      </w:r>
      <w:r w:rsidR="00A75E6A">
        <w:t>it asks</w:t>
      </w:r>
      <w:r>
        <w:t xml:space="preserve"> continue this important consultation work.</w:t>
      </w:r>
    </w:p>
    <w:p w:rsidR="00EA5626" w:rsidRPr="008553DA" w:rsidRDefault="005D5931" w:rsidP="00EA5626">
      <w:pPr>
        <w:rPr>
          <w:szCs w:val="22"/>
        </w:rPr>
      </w:pPr>
      <w:r>
        <w:t xml:space="preserve">In addition to this paper, </w:t>
      </w:r>
      <w:r w:rsidR="007408A3">
        <w:t>the NDIA</w:t>
      </w:r>
      <w:r w:rsidR="003216A7">
        <w:t>,</w:t>
      </w:r>
      <w:r w:rsidR="007408A3">
        <w:t xml:space="preserve"> in partnership with DSS, </w:t>
      </w:r>
      <w:r w:rsidR="003E7C46">
        <w:t>are committed</w:t>
      </w:r>
      <w:r w:rsidR="00D830B4">
        <w:rPr>
          <w:szCs w:val="22"/>
        </w:rPr>
        <w:t xml:space="preserve"> to </w:t>
      </w:r>
      <w:r w:rsidR="003E7C46" w:rsidRPr="00502D3E">
        <w:rPr>
          <w:szCs w:val="22"/>
        </w:rPr>
        <w:t>work</w:t>
      </w:r>
      <w:r w:rsidR="00D830B4">
        <w:rPr>
          <w:szCs w:val="22"/>
        </w:rPr>
        <w:t>ing</w:t>
      </w:r>
      <w:r w:rsidR="003E7C46" w:rsidRPr="00502D3E">
        <w:rPr>
          <w:szCs w:val="22"/>
        </w:rPr>
        <w:t xml:space="preserve"> with </w:t>
      </w:r>
      <w:r w:rsidR="003E7C46">
        <w:rPr>
          <w:szCs w:val="22"/>
        </w:rPr>
        <w:t>the sector</w:t>
      </w:r>
      <w:r w:rsidR="003E7C46" w:rsidRPr="00502D3E">
        <w:rPr>
          <w:szCs w:val="22"/>
        </w:rPr>
        <w:t xml:space="preserve"> to understand the implications of the new pricing </w:t>
      </w:r>
      <w:r w:rsidR="003E7C46">
        <w:rPr>
          <w:szCs w:val="22"/>
        </w:rPr>
        <w:t>framework and resolve</w:t>
      </w:r>
      <w:r w:rsidR="003E7C46" w:rsidRPr="00502D3E">
        <w:rPr>
          <w:szCs w:val="22"/>
        </w:rPr>
        <w:t xml:space="preserve"> issues that might </w:t>
      </w:r>
      <w:r w:rsidR="003E7C46">
        <w:rPr>
          <w:szCs w:val="22"/>
        </w:rPr>
        <w:t xml:space="preserve">arise through the transition. This will </w:t>
      </w:r>
      <w:r w:rsidR="00EA5626" w:rsidRPr="008553DA">
        <w:rPr>
          <w:szCs w:val="22"/>
        </w:rPr>
        <w:t>includ</w:t>
      </w:r>
      <w:r w:rsidR="003E7C46">
        <w:rPr>
          <w:szCs w:val="22"/>
        </w:rPr>
        <w:t>e</w:t>
      </w:r>
      <w:r w:rsidR="00EA5626" w:rsidRPr="008553DA">
        <w:rPr>
          <w:szCs w:val="22"/>
        </w:rPr>
        <w:t>:</w:t>
      </w:r>
    </w:p>
    <w:p w:rsidR="00EA5626" w:rsidRPr="008553DA" w:rsidRDefault="00EA5626" w:rsidP="008553DA">
      <w:pPr>
        <w:pStyle w:val="ListParagraph"/>
        <w:numPr>
          <w:ilvl w:val="0"/>
          <w:numId w:val="32"/>
        </w:numPr>
        <w:rPr>
          <w:szCs w:val="22"/>
        </w:rPr>
      </w:pPr>
      <w:r w:rsidRPr="008146A3">
        <w:rPr>
          <w:szCs w:val="22"/>
        </w:rPr>
        <w:t xml:space="preserve">individual and small </w:t>
      </w:r>
      <w:r w:rsidRPr="008553DA">
        <w:rPr>
          <w:szCs w:val="22"/>
        </w:rPr>
        <w:t>group conversations</w:t>
      </w:r>
    </w:p>
    <w:p w:rsidR="00EA5626" w:rsidRPr="008553DA" w:rsidRDefault="00EA5626" w:rsidP="008553DA">
      <w:pPr>
        <w:pStyle w:val="ListParagraph"/>
        <w:numPr>
          <w:ilvl w:val="0"/>
          <w:numId w:val="32"/>
        </w:numPr>
        <w:rPr>
          <w:szCs w:val="22"/>
        </w:rPr>
      </w:pPr>
      <w:r w:rsidRPr="008553DA">
        <w:rPr>
          <w:szCs w:val="22"/>
        </w:rPr>
        <w:t xml:space="preserve">forums, </w:t>
      </w:r>
      <w:r w:rsidR="000C7426" w:rsidRPr="008146A3">
        <w:rPr>
          <w:szCs w:val="22"/>
        </w:rPr>
        <w:t>workshops and online webinars</w:t>
      </w:r>
      <w:r w:rsidRPr="008146A3">
        <w:rPr>
          <w:szCs w:val="22"/>
        </w:rPr>
        <w:t xml:space="preserve"> and</w:t>
      </w:r>
    </w:p>
    <w:p w:rsidR="00EA5626" w:rsidRPr="008553DA" w:rsidRDefault="00EA5626" w:rsidP="008553DA">
      <w:pPr>
        <w:pStyle w:val="ListParagraph"/>
        <w:numPr>
          <w:ilvl w:val="0"/>
          <w:numId w:val="32"/>
        </w:numPr>
        <w:rPr>
          <w:szCs w:val="22"/>
        </w:rPr>
      </w:pPr>
      <w:r w:rsidRPr="008553DA">
        <w:rPr>
          <w:szCs w:val="22"/>
        </w:rPr>
        <w:t>engagement</w:t>
      </w:r>
      <w:r w:rsidRPr="008146A3">
        <w:rPr>
          <w:szCs w:val="22"/>
        </w:rPr>
        <w:t xml:space="preserve"> with peak bodies.</w:t>
      </w:r>
    </w:p>
    <w:p w:rsidR="000C7426" w:rsidRPr="002F37AD" w:rsidRDefault="000C7426" w:rsidP="008553DA">
      <w:pPr>
        <w:spacing w:line="276" w:lineRule="auto"/>
        <w:rPr>
          <w:szCs w:val="22"/>
        </w:rPr>
      </w:pPr>
      <w:r w:rsidRPr="008670FD">
        <w:rPr>
          <w:szCs w:val="22"/>
        </w:rPr>
        <w:t>Information about upcoming events will b</w:t>
      </w:r>
      <w:r w:rsidR="008553DA">
        <w:rPr>
          <w:szCs w:val="22"/>
        </w:rPr>
        <w:t>e</w:t>
      </w:r>
      <w:r w:rsidR="003216A7">
        <w:rPr>
          <w:szCs w:val="22"/>
        </w:rPr>
        <w:t xml:space="preserve"> emailed directly to ADEs. </w:t>
      </w:r>
      <w:r w:rsidRPr="008670FD">
        <w:rPr>
          <w:szCs w:val="22"/>
        </w:rPr>
        <w:t xml:space="preserve">We will also continue to share information via the Supported employment webpage on the </w:t>
      </w:r>
      <w:hyperlink r:id="rId19" w:history="1">
        <w:r w:rsidRPr="008670FD">
          <w:rPr>
            <w:rStyle w:val="Hyperlink"/>
            <w:szCs w:val="22"/>
          </w:rPr>
          <w:t>NDIS website</w:t>
        </w:r>
      </w:hyperlink>
      <w:r w:rsidRPr="008670FD">
        <w:rPr>
          <w:szCs w:val="22"/>
        </w:rPr>
        <w:t xml:space="preserve"> and the </w:t>
      </w:r>
      <w:hyperlink r:id="rId20" w:history="1">
        <w:r w:rsidRPr="008553DA">
          <w:rPr>
            <w:rStyle w:val="Hyperlink"/>
            <w:szCs w:val="22"/>
          </w:rPr>
          <w:t>NDIS Provider eNewsletter</w:t>
        </w:r>
      </w:hyperlink>
      <w:r w:rsidR="008553DA">
        <w:rPr>
          <w:szCs w:val="22"/>
        </w:rPr>
        <w:t xml:space="preserve">. </w:t>
      </w:r>
    </w:p>
    <w:p w:rsidR="00A36757" w:rsidRDefault="005D5931" w:rsidP="00A70566">
      <w:pPr>
        <w:rPr>
          <w:lang w:val="en-US"/>
        </w:rPr>
      </w:pPr>
      <w:r>
        <w:rPr>
          <w:lang w:val="en-US"/>
        </w:rPr>
        <w:t>Submissions and additional q</w:t>
      </w:r>
      <w:r w:rsidR="00413B8D">
        <w:rPr>
          <w:lang w:val="en-US"/>
        </w:rPr>
        <w:t xml:space="preserve">uestions about supported employment pricing are also welcome via email at </w:t>
      </w:r>
      <w:hyperlink r:id="rId21" w:history="1">
        <w:r w:rsidR="00413B8D" w:rsidRPr="00932F24">
          <w:rPr>
            <w:rStyle w:val="Hyperlink"/>
            <w:lang w:val="en-US"/>
          </w:rPr>
          <w:t>participant.employment@ndis.gov.au</w:t>
        </w:r>
      </w:hyperlink>
      <w:r w:rsidR="00413B8D" w:rsidRPr="002212D1">
        <w:rPr>
          <w:lang w:val="en-US"/>
        </w:rPr>
        <w:t>.</w:t>
      </w:r>
    </w:p>
    <w:p w:rsidR="002F37AD" w:rsidRDefault="00A75E6A" w:rsidP="002F37AD">
      <w:pPr>
        <w:rPr>
          <w:rFonts w:eastAsiaTheme="majorEastAsia" w:cstheme="majorBidi"/>
          <w:b/>
          <w:bCs/>
          <w:color w:val="6A2875"/>
          <w:sz w:val="44"/>
          <w:szCs w:val="26"/>
        </w:rPr>
      </w:pPr>
      <w:r>
        <w:rPr>
          <w:lang w:val="en-US"/>
        </w:rPr>
        <w:t>We plan to release the next level of guidance and information in early 2020, o</w:t>
      </w:r>
      <w:r w:rsidR="005D5931">
        <w:rPr>
          <w:lang w:val="en-US"/>
        </w:rPr>
        <w:t xml:space="preserve">nce we have an opportunity to review and absorb the feedback and responses </w:t>
      </w:r>
      <w:r>
        <w:rPr>
          <w:lang w:val="en-US"/>
        </w:rPr>
        <w:t>we receive.</w:t>
      </w:r>
      <w:r w:rsidR="005D5931">
        <w:rPr>
          <w:lang w:val="en-US"/>
        </w:rPr>
        <w:t xml:space="preserve"> </w:t>
      </w:r>
      <w:bookmarkStart w:id="44" w:name="_Toc23370971"/>
      <w:bookmarkStart w:id="45" w:name="_Toc23372524"/>
      <w:r w:rsidR="002F37AD">
        <w:br w:type="page"/>
      </w:r>
    </w:p>
    <w:p w:rsidR="00382A98" w:rsidRPr="008146A3" w:rsidRDefault="00BD23B7" w:rsidP="008146A3">
      <w:pPr>
        <w:pStyle w:val="Heading2"/>
      </w:pPr>
      <w:bookmarkStart w:id="46" w:name="_Toc25074429"/>
      <w:r w:rsidRPr="0050028E">
        <w:lastRenderedPageBreak/>
        <w:t xml:space="preserve">Frequently </w:t>
      </w:r>
      <w:r w:rsidR="000C7426">
        <w:t>a</w:t>
      </w:r>
      <w:r w:rsidRPr="0050028E">
        <w:t xml:space="preserve">sked </w:t>
      </w:r>
      <w:r w:rsidR="000C7426">
        <w:t>q</w:t>
      </w:r>
      <w:r w:rsidRPr="0050028E">
        <w:t>uestions</w:t>
      </w:r>
      <w:bookmarkEnd w:id="44"/>
      <w:bookmarkEnd w:id="45"/>
      <w:bookmarkEnd w:id="46"/>
      <w:r w:rsidRPr="0050028E">
        <w:t xml:space="preserve"> </w:t>
      </w:r>
    </w:p>
    <w:p w:rsidR="00413B8D" w:rsidRPr="0050028E" w:rsidRDefault="00413B8D" w:rsidP="00413B8D">
      <w:pPr>
        <w:pStyle w:val="Heading3"/>
        <w:rPr>
          <w:lang w:eastAsia="en-AU"/>
        </w:rPr>
      </w:pPr>
      <w:bookmarkStart w:id="47" w:name="_Toc23370972"/>
      <w:bookmarkStart w:id="48" w:name="_Toc23372525"/>
      <w:bookmarkStart w:id="49" w:name="_Toc25074430"/>
      <w:r w:rsidRPr="0050028E">
        <w:rPr>
          <w:lang w:eastAsia="en-AU"/>
        </w:rPr>
        <w:t xml:space="preserve">How was the </w:t>
      </w:r>
      <w:r w:rsidR="0099611E">
        <w:rPr>
          <w:lang w:eastAsia="en-AU"/>
        </w:rPr>
        <w:t>pricing</w:t>
      </w:r>
      <w:r w:rsidR="004B6432">
        <w:rPr>
          <w:lang w:eastAsia="en-AU"/>
        </w:rPr>
        <w:t xml:space="preserve"> framework</w:t>
      </w:r>
      <w:r>
        <w:rPr>
          <w:lang w:eastAsia="en-AU"/>
        </w:rPr>
        <w:t xml:space="preserve"> </w:t>
      </w:r>
      <w:r w:rsidRPr="0050028E">
        <w:rPr>
          <w:lang w:eastAsia="en-AU"/>
        </w:rPr>
        <w:t>developed?</w:t>
      </w:r>
      <w:bookmarkEnd w:id="47"/>
      <w:bookmarkEnd w:id="48"/>
      <w:bookmarkEnd w:id="49"/>
    </w:p>
    <w:p w:rsidR="00413B8D" w:rsidRPr="008553DA" w:rsidRDefault="00413B8D" w:rsidP="00413B8D">
      <w:pPr>
        <w:rPr>
          <w:rFonts w:cs="Arial"/>
          <w:color w:val="222222"/>
          <w:szCs w:val="22"/>
        </w:rPr>
      </w:pPr>
      <w:r w:rsidRPr="008553DA">
        <w:rPr>
          <w:szCs w:val="22"/>
        </w:rPr>
        <w:t xml:space="preserve">The NDIA has responsibility for administering the NDIS, and with the NDIS Quality and Safeguards Commission, regulating the markets for disability goods and services. </w:t>
      </w:r>
    </w:p>
    <w:p w:rsidR="00413B8D" w:rsidRPr="008553DA" w:rsidRDefault="00413B8D" w:rsidP="00413B8D">
      <w:pPr>
        <w:rPr>
          <w:rFonts w:cs="Arial"/>
          <w:color w:val="222222"/>
          <w:szCs w:val="22"/>
        </w:rPr>
      </w:pPr>
      <w:r w:rsidRPr="008553DA">
        <w:rPr>
          <w:rFonts w:cs="Arial"/>
          <w:color w:val="222222"/>
          <w:szCs w:val="22"/>
        </w:rPr>
        <w:t xml:space="preserve">As part of its market stewardship role, the NDIA sets the maximum price limits for some supports that can be charged by registered providers. </w:t>
      </w:r>
      <w:r w:rsidR="008146A3" w:rsidRPr="008553DA">
        <w:rPr>
          <w:rFonts w:cs="Arial"/>
          <w:color w:val="222222"/>
          <w:szCs w:val="22"/>
        </w:rPr>
        <w:t>Price setting</w:t>
      </w:r>
      <w:r w:rsidRPr="008553DA">
        <w:rPr>
          <w:rFonts w:cs="Arial"/>
          <w:color w:val="222222"/>
          <w:szCs w:val="22"/>
        </w:rPr>
        <w:t xml:space="preserve"> i</w:t>
      </w:r>
      <w:r w:rsidR="008146A3" w:rsidRPr="008553DA">
        <w:rPr>
          <w:rFonts w:cs="Arial"/>
          <w:color w:val="222222"/>
          <w:szCs w:val="22"/>
        </w:rPr>
        <w:t>s routine business for the NDIA</w:t>
      </w:r>
      <w:r w:rsidRPr="008553DA">
        <w:rPr>
          <w:rFonts w:cs="Arial"/>
          <w:color w:val="222222"/>
          <w:szCs w:val="22"/>
        </w:rPr>
        <w:t xml:space="preserve"> and price regulation activities and decisions are guided by the </w:t>
      </w:r>
      <w:hyperlink r:id="rId22" w:tooltip="Pricing Reference Group" w:history="1">
        <w:r w:rsidRPr="008553DA">
          <w:rPr>
            <w:rStyle w:val="Hyperlink"/>
            <w:rFonts w:cs="Arial"/>
            <w:szCs w:val="22"/>
          </w:rPr>
          <w:t>Pricing Reference Group</w:t>
        </w:r>
      </w:hyperlink>
      <w:r w:rsidRPr="008553DA">
        <w:rPr>
          <w:rFonts w:cs="Arial"/>
          <w:color w:val="222222"/>
          <w:szCs w:val="22"/>
        </w:rPr>
        <w:t xml:space="preserve"> (PRG). </w:t>
      </w:r>
    </w:p>
    <w:p w:rsidR="008146A3" w:rsidRPr="008553DA" w:rsidRDefault="00413B8D" w:rsidP="00413B8D">
      <w:pPr>
        <w:rPr>
          <w:rFonts w:cs="Arial"/>
          <w:color w:val="222222"/>
          <w:szCs w:val="22"/>
        </w:rPr>
      </w:pPr>
      <w:r w:rsidRPr="008553DA">
        <w:rPr>
          <w:rFonts w:cs="Arial"/>
          <w:color w:val="222222"/>
          <w:szCs w:val="22"/>
        </w:rPr>
        <w:t xml:space="preserve">The </w:t>
      </w:r>
      <w:r w:rsidR="008146A3" w:rsidRPr="008553DA">
        <w:rPr>
          <w:rFonts w:cs="Arial"/>
          <w:color w:val="222222"/>
          <w:szCs w:val="22"/>
        </w:rPr>
        <w:t xml:space="preserve">new </w:t>
      </w:r>
      <w:r w:rsidRPr="008553DA">
        <w:rPr>
          <w:rFonts w:cs="Arial"/>
          <w:color w:val="222222"/>
          <w:szCs w:val="22"/>
        </w:rPr>
        <w:t xml:space="preserve">supported employment </w:t>
      </w:r>
      <w:r w:rsidR="0099611E">
        <w:rPr>
          <w:rFonts w:cs="Arial"/>
          <w:color w:val="222222"/>
          <w:szCs w:val="22"/>
        </w:rPr>
        <w:t>pricing</w:t>
      </w:r>
      <w:r w:rsidR="004B6432" w:rsidRPr="008553DA">
        <w:rPr>
          <w:rFonts w:cs="Arial"/>
          <w:color w:val="222222"/>
          <w:szCs w:val="22"/>
        </w:rPr>
        <w:t xml:space="preserve"> framework</w:t>
      </w:r>
      <w:r w:rsidR="008146A3" w:rsidRPr="008553DA">
        <w:rPr>
          <w:rFonts w:cs="Arial"/>
          <w:color w:val="222222"/>
          <w:szCs w:val="22"/>
        </w:rPr>
        <w:t xml:space="preserve"> </w:t>
      </w:r>
      <w:r w:rsidRPr="008553DA">
        <w:rPr>
          <w:rFonts w:cs="Arial"/>
          <w:color w:val="222222"/>
          <w:szCs w:val="22"/>
        </w:rPr>
        <w:t>has been broadly aligned with pricing for social and community participation</w:t>
      </w:r>
      <w:r w:rsidR="008146A3" w:rsidRPr="008553DA">
        <w:rPr>
          <w:rFonts w:cs="Arial"/>
          <w:color w:val="222222"/>
          <w:szCs w:val="22"/>
        </w:rPr>
        <w:t xml:space="preserve"> supports</w:t>
      </w:r>
      <w:r w:rsidR="00E412DA">
        <w:rPr>
          <w:rFonts w:cs="Arial"/>
          <w:color w:val="222222"/>
          <w:szCs w:val="22"/>
        </w:rPr>
        <w:t xml:space="preserve"> in that is reflective of hours and intensity of support and </w:t>
      </w:r>
      <w:r w:rsidRPr="008553DA">
        <w:rPr>
          <w:rFonts w:cs="Arial"/>
          <w:color w:val="222222"/>
          <w:szCs w:val="22"/>
        </w:rPr>
        <w:t xml:space="preserve">is based on the cost model for supports delivered by Disability Support Workers. </w:t>
      </w:r>
    </w:p>
    <w:p w:rsidR="008146A3" w:rsidRPr="008553DA" w:rsidRDefault="00413B8D" w:rsidP="00413B8D">
      <w:pPr>
        <w:rPr>
          <w:szCs w:val="22"/>
        </w:rPr>
      </w:pPr>
      <w:r w:rsidRPr="008553DA">
        <w:rPr>
          <w:rFonts w:cs="Arial"/>
          <w:color w:val="222222"/>
          <w:szCs w:val="22"/>
        </w:rPr>
        <w:t xml:space="preserve">This model considers the </w:t>
      </w:r>
      <w:r w:rsidRPr="008553DA">
        <w:rPr>
          <w:szCs w:val="22"/>
        </w:rPr>
        <w:t>cost of delivering a billable hour of support taking into account all of the costs asso</w:t>
      </w:r>
      <w:r w:rsidR="008146A3" w:rsidRPr="008553DA">
        <w:rPr>
          <w:szCs w:val="22"/>
        </w:rPr>
        <w:t>ciated with every billable hour</w:t>
      </w:r>
      <w:r w:rsidRPr="008553DA">
        <w:rPr>
          <w:szCs w:val="22"/>
        </w:rPr>
        <w:t xml:space="preserve"> including:</w:t>
      </w:r>
    </w:p>
    <w:p w:rsidR="008146A3" w:rsidRPr="008553DA" w:rsidRDefault="008146A3" w:rsidP="008553DA">
      <w:pPr>
        <w:pStyle w:val="ListParagraph"/>
        <w:numPr>
          <w:ilvl w:val="0"/>
          <w:numId w:val="35"/>
        </w:numPr>
        <w:rPr>
          <w:rFonts w:cs="Arial"/>
          <w:color w:val="222222"/>
          <w:szCs w:val="22"/>
        </w:rPr>
      </w:pPr>
      <w:r w:rsidRPr="008553DA">
        <w:rPr>
          <w:szCs w:val="22"/>
        </w:rPr>
        <w:t>base pay, shift loadings, holiday pay and salary on costs</w:t>
      </w:r>
    </w:p>
    <w:p w:rsidR="008146A3" w:rsidRPr="008553DA" w:rsidRDefault="008146A3" w:rsidP="008553DA">
      <w:pPr>
        <w:pStyle w:val="ListParagraph"/>
        <w:numPr>
          <w:ilvl w:val="0"/>
          <w:numId w:val="35"/>
        </w:numPr>
        <w:rPr>
          <w:rFonts w:cs="Arial"/>
          <w:color w:val="222222"/>
          <w:szCs w:val="22"/>
        </w:rPr>
      </w:pPr>
      <w:r w:rsidRPr="008553DA">
        <w:rPr>
          <w:szCs w:val="22"/>
        </w:rPr>
        <w:t>supervision costs</w:t>
      </w:r>
    </w:p>
    <w:p w:rsidR="008146A3" w:rsidRPr="008553DA" w:rsidRDefault="00413B8D" w:rsidP="008553DA">
      <w:pPr>
        <w:pStyle w:val="ListParagraph"/>
        <w:numPr>
          <w:ilvl w:val="0"/>
          <w:numId w:val="35"/>
        </w:numPr>
        <w:rPr>
          <w:rFonts w:cs="Arial"/>
          <w:color w:val="222222"/>
          <w:szCs w:val="22"/>
        </w:rPr>
      </w:pPr>
      <w:r w:rsidRPr="0052284E">
        <w:rPr>
          <w:szCs w:val="22"/>
        </w:rPr>
        <w:t>utilisation (non-billable act</w:t>
      </w:r>
      <w:r w:rsidR="008146A3" w:rsidRPr="008553DA">
        <w:rPr>
          <w:szCs w:val="22"/>
        </w:rPr>
        <w:t>ivities)</w:t>
      </w:r>
    </w:p>
    <w:p w:rsidR="008146A3" w:rsidRPr="008553DA" w:rsidRDefault="00413B8D" w:rsidP="008553DA">
      <w:pPr>
        <w:pStyle w:val="ListParagraph"/>
        <w:numPr>
          <w:ilvl w:val="0"/>
          <w:numId w:val="35"/>
        </w:numPr>
        <w:rPr>
          <w:rFonts w:cs="Arial"/>
          <w:color w:val="222222"/>
          <w:szCs w:val="22"/>
        </w:rPr>
      </w:pPr>
      <w:r w:rsidRPr="0052284E">
        <w:rPr>
          <w:szCs w:val="22"/>
        </w:rPr>
        <w:t xml:space="preserve">corporate overheads and </w:t>
      </w:r>
    </w:p>
    <w:p w:rsidR="00413B8D" w:rsidRPr="0052284E" w:rsidRDefault="00413B8D" w:rsidP="008553DA">
      <w:pPr>
        <w:pStyle w:val="ListParagraph"/>
        <w:numPr>
          <w:ilvl w:val="0"/>
          <w:numId w:val="35"/>
        </w:numPr>
        <w:rPr>
          <w:rFonts w:cs="Arial"/>
          <w:color w:val="222222"/>
          <w:szCs w:val="22"/>
        </w:rPr>
      </w:pPr>
      <w:r w:rsidRPr="0052284E">
        <w:rPr>
          <w:szCs w:val="22"/>
        </w:rPr>
        <w:t xml:space="preserve">margin associated with being a support provider. </w:t>
      </w:r>
    </w:p>
    <w:p w:rsidR="00413B8D" w:rsidRPr="008553DA" w:rsidRDefault="00413B8D" w:rsidP="00413B8D">
      <w:pPr>
        <w:autoSpaceDE w:val="0"/>
        <w:autoSpaceDN w:val="0"/>
        <w:rPr>
          <w:rFonts w:cs="Arial"/>
          <w:szCs w:val="22"/>
          <w:lang w:eastAsia="en-AU"/>
        </w:rPr>
      </w:pPr>
      <w:r w:rsidRPr="008553DA">
        <w:rPr>
          <w:rFonts w:cs="Arial"/>
          <w:szCs w:val="22"/>
          <w:lang w:eastAsia="en-AU"/>
        </w:rPr>
        <w:t xml:space="preserve">Further information about NDIS pricing, including the broader pricing strategy and cost model can be found on the </w:t>
      </w:r>
      <w:hyperlink r:id="rId23" w:history="1">
        <w:r w:rsidRPr="008553DA">
          <w:rPr>
            <w:rStyle w:val="Hyperlink"/>
            <w:rFonts w:cs="Arial"/>
            <w:szCs w:val="22"/>
            <w:lang w:eastAsia="en-AU"/>
          </w:rPr>
          <w:t>NDIS website</w:t>
        </w:r>
      </w:hyperlink>
      <w:r w:rsidRPr="008553DA">
        <w:rPr>
          <w:rFonts w:cs="Arial"/>
          <w:szCs w:val="22"/>
          <w:lang w:eastAsia="en-AU"/>
        </w:rPr>
        <w:t xml:space="preserve">. </w:t>
      </w:r>
    </w:p>
    <w:p w:rsidR="00413B8D" w:rsidRPr="00327487" w:rsidRDefault="00413B8D" w:rsidP="00327487">
      <w:pPr>
        <w:pStyle w:val="Heading3"/>
      </w:pPr>
      <w:bookmarkStart w:id="50" w:name="_Toc23370973"/>
      <w:bookmarkStart w:id="51" w:name="_Toc23372526"/>
      <w:bookmarkStart w:id="52" w:name="_Toc25074431"/>
      <w:r w:rsidRPr="00327487">
        <w:t xml:space="preserve">Does the revised </w:t>
      </w:r>
      <w:r w:rsidR="0099611E" w:rsidRPr="00327487">
        <w:t>pricing</w:t>
      </w:r>
      <w:r w:rsidR="004B6432" w:rsidRPr="00327487">
        <w:t xml:space="preserve"> framework</w:t>
      </w:r>
      <w:r w:rsidRPr="00327487">
        <w:t xml:space="preserve"> include other subsidies and supplements previously provided by DSS?</w:t>
      </w:r>
      <w:bookmarkEnd w:id="50"/>
      <w:bookmarkEnd w:id="51"/>
      <w:bookmarkEnd w:id="52"/>
    </w:p>
    <w:p w:rsidR="00413B8D" w:rsidRPr="008553DA" w:rsidRDefault="00413B8D" w:rsidP="00413B8D">
      <w:pPr>
        <w:spacing w:line="276" w:lineRule="auto"/>
        <w:rPr>
          <w:szCs w:val="22"/>
        </w:rPr>
      </w:pPr>
      <w:r w:rsidRPr="008553DA">
        <w:rPr>
          <w:szCs w:val="22"/>
        </w:rPr>
        <w:t xml:space="preserve">NDIS pricing is designed to fund the cost of support provision. While the NDIS does not fund subsidies and grants previously paid by DSS (e.g. Existing High Cost Worker’s Payment, SACs Supplement or Temporary Viability Grants) it does pay a remote loading for services that are delivered in remote or very remote areas. </w:t>
      </w:r>
      <w:r w:rsidRPr="008553DA">
        <w:rPr>
          <w:szCs w:val="22"/>
        </w:rPr>
        <w:br/>
      </w:r>
      <w:r w:rsidRPr="008553DA">
        <w:rPr>
          <w:szCs w:val="22"/>
        </w:rPr>
        <w:br/>
        <w:t xml:space="preserve">Under DSS, the Rural and Remote Supplement was based on the Accessibility/Remoteness Index of Australia (ARIA) Classification and paid as a monthly supplement amount. </w:t>
      </w:r>
    </w:p>
    <w:p w:rsidR="00413B8D" w:rsidRPr="008553DA" w:rsidRDefault="00413B8D" w:rsidP="00413B8D">
      <w:pPr>
        <w:spacing w:line="276" w:lineRule="auto"/>
        <w:rPr>
          <w:szCs w:val="22"/>
        </w:rPr>
      </w:pPr>
      <w:r w:rsidRPr="008553DA">
        <w:rPr>
          <w:szCs w:val="22"/>
        </w:rPr>
        <w:t xml:space="preserve">Under the NDIS, pricing for services and supports delivered in remote or very remote areas are based on the Modified Monash Model (MMM) and enable claiming of a higher hourly rate depending on the location of service provision. </w:t>
      </w:r>
    </w:p>
    <w:p w:rsidR="008146A3" w:rsidRPr="007616C8" w:rsidRDefault="00413B8D" w:rsidP="00413B8D">
      <w:pPr>
        <w:spacing w:line="276" w:lineRule="auto"/>
        <w:rPr>
          <w:szCs w:val="22"/>
        </w:rPr>
      </w:pPr>
      <w:r w:rsidRPr="008553DA">
        <w:rPr>
          <w:szCs w:val="22"/>
        </w:rPr>
        <w:t xml:space="preserve">Further information on regional, remote and very remote areas can be located in the </w:t>
      </w:r>
      <w:hyperlink r:id="rId24" w:history="1">
        <w:r w:rsidRPr="008553DA">
          <w:rPr>
            <w:rStyle w:val="Hyperlink"/>
            <w:szCs w:val="22"/>
          </w:rPr>
          <w:t>NDIS Price Guide</w:t>
        </w:r>
      </w:hyperlink>
      <w:r w:rsidRPr="008553DA">
        <w:rPr>
          <w:szCs w:val="22"/>
        </w:rPr>
        <w:t xml:space="preserve"> (pages 10-11). </w:t>
      </w:r>
    </w:p>
    <w:p w:rsidR="00696E86" w:rsidRDefault="00696E86">
      <w:pPr>
        <w:spacing w:line="276" w:lineRule="auto"/>
        <w:rPr>
          <w:b/>
          <w:color w:val="6A2875"/>
          <w:sz w:val="30"/>
          <w:szCs w:val="30"/>
        </w:rPr>
      </w:pPr>
      <w:bookmarkStart w:id="53" w:name="_Toc23370974"/>
      <w:bookmarkStart w:id="54" w:name="_Toc23372527"/>
      <w:r>
        <w:br w:type="page"/>
      </w:r>
    </w:p>
    <w:p w:rsidR="000C7426" w:rsidRPr="0050028E" w:rsidRDefault="000C7426" w:rsidP="008553DA">
      <w:pPr>
        <w:pStyle w:val="Heading3"/>
      </w:pPr>
      <w:bookmarkStart w:id="55" w:name="_Toc25074432"/>
      <w:r w:rsidRPr="0050028E">
        <w:lastRenderedPageBreak/>
        <w:t>How</w:t>
      </w:r>
      <w:r w:rsidR="00413B8D">
        <w:t xml:space="preserve"> is p</w:t>
      </w:r>
      <w:r w:rsidRPr="0050028E">
        <w:t>lan funding determined?</w:t>
      </w:r>
      <w:bookmarkEnd w:id="53"/>
      <w:bookmarkEnd w:id="54"/>
      <w:bookmarkEnd w:id="55"/>
      <w:r w:rsidRPr="0050028E">
        <w:t xml:space="preserve"> </w:t>
      </w:r>
    </w:p>
    <w:p w:rsidR="000C7426" w:rsidRPr="008553DA" w:rsidRDefault="000C7426" w:rsidP="000C7426">
      <w:pPr>
        <w:rPr>
          <w:szCs w:val="22"/>
        </w:rPr>
      </w:pPr>
      <w:r w:rsidRPr="008553DA">
        <w:rPr>
          <w:szCs w:val="22"/>
        </w:rPr>
        <w:t>NDIS plan funding is based on the principle of reasonable and necessary decision making</w:t>
      </w:r>
      <w:r w:rsidR="00A23302">
        <w:rPr>
          <w:szCs w:val="22"/>
        </w:rPr>
        <w:t xml:space="preserve"> under the NDIS Act</w:t>
      </w:r>
      <w:r w:rsidRPr="008553DA">
        <w:rPr>
          <w:szCs w:val="22"/>
        </w:rPr>
        <w:t xml:space="preserve">. In determining the reasonable and necessary plan funding for employment, the planner will take into account factors including the participant’s current and future employment goals, the number of hours the participant is working (or would like to work), the impact of their disability and the level of support or supervision required to engage meaningfully and complete their work tasks. </w:t>
      </w:r>
    </w:p>
    <w:p w:rsidR="00413B8D" w:rsidRDefault="000C7426" w:rsidP="000C7426">
      <w:pPr>
        <w:rPr>
          <w:szCs w:val="22"/>
        </w:rPr>
      </w:pPr>
      <w:r w:rsidRPr="008553DA">
        <w:rPr>
          <w:szCs w:val="22"/>
        </w:rPr>
        <w:t xml:space="preserve">Plan funding is informed by an estimate of the person’s on-the-job support requirements. </w:t>
      </w:r>
      <w:r w:rsidR="00413B8D">
        <w:rPr>
          <w:szCs w:val="22"/>
        </w:rPr>
        <w:t>DSS</w:t>
      </w:r>
      <w:r w:rsidRPr="008553DA">
        <w:rPr>
          <w:szCs w:val="22"/>
        </w:rPr>
        <w:t xml:space="preserve"> </w:t>
      </w:r>
      <w:r w:rsidR="00413B8D">
        <w:rPr>
          <w:szCs w:val="22"/>
        </w:rPr>
        <w:t>previously</w:t>
      </w:r>
      <w:r w:rsidRPr="008553DA">
        <w:rPr>
          <w:szCs w:val="22"/>
        </w:rPr>
        <w:t xml:space="preserve"> </w:t>
      </w:r>
      <w:r w:rsidR="00413B8D">
        <w:rPr>
          <w:szCs w:val="22"/>
        </w:rPr>
        <w:t>used</w:t>
      </w:r>
      <w:r w:rsidRPr="008553DA">
        <w:rPr>
          <w:szCs w:val="22"/>
        </w:rPr>
        <w:t xml:space="preserve"> the Disability Maintenance Instrument (DMI)</w:t>
      </w:r>
      <w:r w:rsidR="00413B8D">
        <w:rPr>
          <w:szCs w:val="22"/>
        </w:rPr>
        <w:t xml:space="preserve">, however the DMI has not been </w:t>
      </w:r>
      <w:r w:rsidRPr="008553DA">
        <w:rPr>
          <w:szCs w:val="22"/>
        </w:rPr>
        <w:t>actively used for transitioned NDIS participants</w:t>
      </w:r>
      <w:r w:rsidR="00413B8D">
        <w:rPr>
          <w:szCs w:val="22"/>
        </w:rPr>
        <w:t>.</w:t>
      </w:r>
      <w:r w:rsidRPr="008553DA">
        <w:rPr>
          <w:szCs w:val="22"/>
        </w:rPr>
        <w:t xml:space="preserve"> </w:t>
      </w:r>
    </w:p>
    <w:p w:rsidR="000C7426" w:rsidRPr="008553DA" w:rsidRDefault="00413B8D" w:rsidP="000C7426">
      <w:pPr>
        <w:rPr>
          <w:szCs w:val="22"/>
        </w:rPr>
      </w:pPr>
      <w:r>
        <w:rPr>
          <w:szCs w:val="22"/>
        </w:rPr>
        <w:t>T</w:t>
      </w:r>
      <w:r w:rsidR="000C7426" w:rsidRPr="008553DA">
        <w:rPr>
          <w:szCs w:val="22"/>
        </w:rPr>
        <w:t>he NDIA will develop a replacement method over the coming 12 months. In the interim we’ll continue to use the most relevant information available to assess a person’s support requirements including the DMI</w:t>
      </w:r>
      <w:r>
        <w:rPr>
          <w:szCs w:val="22"/>
        </w:rPr>
        <w:t>.</w:t>
      </w:r>
    </w:p>
    <w:p w:rsidR="000C7426" w:rsidRPr="0050028E" w:rsidRDefault="000C7426" w:rsidP="008553DA">
      <w:pPr>
        <w:pStyle w:val="Heading3"/>
      </w:pPr>
      <w:bookmarkStart w:id="56" w:name="_Toc23370975"/>
      <w:bookmarkStart w:id="57" w:name="_Toc23372528"/>
      <w:bookmarkStart w:id="58" w:name="_Toc25074433"/>
      <w:r w:rsidRPr="0050028E">
        <w:t>What is a reasonable and necessary support?</w:t>
      </w:r>
      <w:bookmarkEnd w:id="56"/>
      <w:bookmarkEnd w:id="57"/>
      <w:bookmarkEnd w:id="58"/>
    </w:p>
    <w:p w:rsidR="000C7426" w:rsidRPr="008553DA" w:rsidRDefault="000C7426" w:rsidP="000C7426">
      <w:pPr>
        <w:rPr>
          <w:szCs w:val="22"/>
        </w:rPr>
      </w:pPr>
      <w:r w:rsidRPr="008553DA">
        <w:rPr>
          <w:szCs w:val="22"/>
        </w:rPr>
        <w:t>The NDIS funds a range of supports and services. In order to be considered reasonable and necessary, a support or service:</w:t>
      </w:r>
    </w:p>
    <w:p w:rsidR="000C7426" w:rsidRPr="008553DA" w:rsidRDefault="000C7426" w:rsidP="000C7426">
      <w:pPr>
        <w:pStyle w:val="Bullet2"/>
        <w:numPr>
          <w:ilvl w:val="0"/>
          <w:numId w:val="20"/>
        </w:numPr>
      </w:pPr>
      <w:r w:rsidRPr="008553DA">
        <w:t xml:space="preserve">must be related to a participant’s disability </w:t>
      </w:r>
    </w:p>
    <w:p w:rsidR="000C7426" w:rsidRPr="008553DA" w:rsidRDefault="000C7426" w:rsidP="000C7426">
      <w:pPr>
        <w:pStyle w:val="Bullet2"/>
        <w:numPr>
          <w:ilvl w:val="0"/>
          <w:numId w:val="20"/>
        </w:numPr>
      </w:pPr>
      <w:r w:rsidRPr="008553DA">
        <w:t>must not include day-to-day living costs not related to a participant’s disability support needs</w:t>
      </w:r>
    </w:p>
    <w:p w:rsidR="000C7426" w:rsidRPr="008553DA" w:rsidRDefault="000C7426" w:rsidP="000C7426">
      <w:pPr>
        <w:pStyle w:val="Bullet2"/>
        <w:numPr>
          <w:ilvl w:val="0"/>
          <w:numId w:val="20"/>
        </w:numPr>
      </w:pPr>
      <w:r w:rsidRPr="008553DA">
        <w:t>should represent value for money</w:t>
      </w:r>
    </w:p>
    <w:p w:rsidR="000C7426" w:rsidRPr="008553DA" w:rsidRDefault="000C7426" w:rsidP="000C7426">
      <w:pPr>
        <w:pStyle w:val="Bullet2"/>
        <w:numPr>
          <w:ilvl w:val="0"/>
          <w:numId w:val="20"/>
        </w:numPr>
      </w:pPr>
      <w:r w:rsidRPr="008553DA">
        <w:t>must be likely to be effective and work for the participant</w:t>
      </w:r>
    </w:p>
    <w:p w:rsidR="000C7426" w:rsidRPr="008553DA" w:rsidRDefault="000C7426" w:rsidP="000C7426">
      <w:pPr>
        <w:pStyle w:val="Bullet2"/>
        <w:numPr>
          <w:ilvl w:val="0"/>
          <w:numId w:val="20"/>
        </w:numPr>
      </w:pPr>
      <w:r w:rsidRPr="008553DA">
        <w:t>should take into account support given to a participant by other government services, family, carers, networks</w:t>
      </w:r>
      <w:r w:rsidR="007616C8">
        <w:t>,</w:t>
      </w:r>
      <w:r w:rsidRPr="008553DA">
        <w:t xml:space="preserve"> and the community</w:t>
      </w:r>
    </w:p>
    <w:p w:rsidR="000C7426" w:rsidRPr="008553DA" w:rsidRDefault="000C7426" w:rsidP="000C7426">
      <w:pPr>
        <w:pStyle w:val="Bullet2"/>
        <w:numPr>
          <w:ilvl w:val="0"/>
          <w:numId w:val="20"/>
        </w:numPr>
      </w:pPr>
      <w:r w:rsidRPr="008553DA">
        <w:t>most appropriately funded by the NDIS.</w:t>
      </w:r>
    </w:p>
    <w:p w:rsidR="000C7426" w:rsidRPr="008553DA" w:rsidRDefault="000C7426" w:rsidP="000C7426">
      <w:pPr>
        <w:pStyle w:val="Bullet2"/>
        <w:numPr>
          <w:ilvl w:val="0"/>
          <w:numId w:val="0"/>
        </w:numPr>
        <w:ind w:left="568" w:hanging="284"/>
      </w:pPr>
    </w:p>
    <w:p w:rsidR="000C7426" w:rsidRPr="008553DA" w:rsidRDefault="000C7426" w:rsidP="000C7426">
      <w:pPr>
        <w:rPr>
          <w:szCs w:val="22"/>
        </w:rPr>
      </w:pPr>
      <w:r w:rsidRPr="008553DA">
        <w:rPr>
          <w:szCs w:val="22"/>
        </w:rPr>
        <w:t xml:space="preserve">A participant’s reasonable and necessary supports take into account any informal supports already available (informal arrangements that are part of family life or natural connections with friends and community services), as well as other formal supports, such as health. </w:t>
      </w:r>
    </w:p>
    <w:p w:rsidR="000C7426" w:rsidRPr="008553DA" w:rsidRDefault="000C7426" w:rsidP="000C7426">
      <w:pPr>
        <w:rPr>
          <w:szCs w:val="22"/>
        </w:rPr>
      </w:pPr>
      <w:r w:rsidRPr="008553DA">
        <w:rPr>
          <w:szCs w:val="22"/>
        </w:rPr>
        <w:t>These supports help participants to:</w:t>
      </w:r>
    </w:p>
    <w:p w:rsidR="000C7426" w:rsidRPr="008553DA" w:rsidRDefault="000C7426" w:rsidP="000C7426">
      <w:pPr>
        <w:pStyle w:val="ListParagraph"/>
        <w:numPr>
          <w:ilvl w:val="0"/>
          <w:numId w:val="19"/>
        </w:numPr>
        <w:suppressAutoHyphens/>
        <w:spacing w:before="120" w:after="60" w:line="276" w:lineRule="auto"/>
        <w:rPr>
          <w:szCs w:val="22"/>
        </w:rPr>
      </w:pPr>
      <w:r w:rsidRPr="008553DA">
        <w:rPr>
          <w:szCs w:val="22"/>
        </w:rPr>
        <w:t>pursue their goals, objectives and aspirations</w:t>
      </w:r>
    </w:p>
    <w:p w:rsidR="000C7426" w:rsidRPr="008553DA" w:rsidRDefault="000C7426" w:rsidP="000C7426">
      <w:pPr>
        <w:pStyle w:val="ListParagraph"/>
        <w:numPr>
          <w:ilvl w:val="0"/>
          <w:numId w:val="19"/>
        </w:numPr>
        <w:suppressAutoHyphens/>
        <w:spacing w:before="120" w:after="60" w:line="276" w:lineRule="auto"/>
        <w:rPr>
          <w:szCs w:val="22"/>
        </w:rPr>
      </w:pPr>
      <w:r w:rsidRPr="008553DA">
        <w:rPr>
          <w:szCs w:val="22"/>
        </w:rPr>
        <w:t>increase their independence</w:t>
      </w:r>
    </w:p>
    <w:p w:rsidR="000C7426" w:rsidRPr="008553DA" w:rsidRDefault="000C7426" w:rsidP="000C7426">
      <w:pPr>
        <w:pStyle w:val="ListParagraph"/>
        <w:numPr>
          <w:ilvl w:val="0"/>
          <w:numId w:val="19"/>
        </w:numPr>
        <w:suppressAutoHyphens/>
        <w:spacing w:before="120" w:after="60" w:line="276" w:lineRule="auto"/>
        <w:rPr>
          <w:szCs w:val="22"/>
        </w:rPr>
      </w:pPr>
      <w:r w:rsidRPr="008553DA">
        <w:rPr>
          <w:szCs w:val="22"/>
        </w:rPr>
        <w:t>increase community and workplace participation</w:t>
      </w:r>
      <w:r w:rsidR="00413B8D">
        <w:rPr>
          <w:szCs w:val="22"/>
        </w:rPr>
        <w:t xml:space="preserve">, </w:t>
      </w:r>
      <w:r w:rsidRPr="008553DA">
        <w:rPr>
          <w:szCs w:val="22"/>
        </w:rPr>
        <w:t xml:space="preserve">and </w:t>
      </w:r>
    </w:p>
    <w:p w:rsidR="00B23F25" w:rsidRPr="007C2B5F" w:rsidRDefault="000C7426" w:rsidP="00EE5646">
      <w:pPr>
        <w:pStyle w:val="ListParagraph"/>
        <w:numPr>
          <w:ilvl w:val="0"/>
          <w:numId w:val="19"/>
        </w:numPr>
        <w:suppressAutoHyphens/>
        <w:spacing w:before="120" w:after="100" w:afterAutospacing="1" w:line="276" w:lineRule="auto"/>
        <w:rPr>
          <w:rFonts w:cs="Arial"/>
          <w:sz w:val="24"/>
        </w:rPr>
      </w:pPr>
      <w:r w:rsidRPr="007C2B5F">
        <w:rPr>
          <w:szCs w:val="22"/>
        </w:rPr>
        <w:t>develop their capacity to actively take part in the community.</w:t>
      </w:r>
      <w:bookmarkStart w:id="59" w:name="ColumnTitle_1"/>
      <w:bookmarkEnd w:id="59"/>
    </w:p>
    <w:sectPr w:rsidR="00B23F25" w:rsidRPr="007C2B5F" w:rsidSect="00446D6C">
      <w:footerReference w:type="default" r:id="rId25"/>
      <w:footerReference w:type="first" r:id="rId26"/>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EF1" w:rsidRDefault="00025EF1" w:rsidP="007219F1">
      <w:pPr>
        <w:spacing w:after="0" w:line="240" w:lineRule="auto"/>
      </w:pPr>
      <w:r>
        <w:separator/>
      </w:r>
    </w:p>
    <w:p w:rsidR="00025EF1" w:rsidRDefault="00025EF1"/>
  </w:endnote>
  <w:endnote w:type="continuationSeparator" w:id="0">
    <w:p w:rsidR="00025EF1" w:rsidRDefault="00025EF1" w:rsidP="007219F1">
      <w:pPr>
        <w:spacing w:after="0" w:line="240" w:lineRule="auto"/>
      </w:pPr>
      <w:r>
        <w:continuationSeparator/>
      </w:r>
    </w:p>
    <w:p w:rsidR="00025EF1" w:rsidRDefault="00025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S Me Light">
    <w:altName w:val="Franklin Gothic Medium Cond"/>
    <w:charset w:val="00"/>
    <w:family w:val="auto"/>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DE4" w:rsidRPr="00FB5514" w:rsidRDefault="00462DE4" w:rsidP="00FB5514">
    <w:pPr>
      <w:rPr>
        <w:rFonts w:ascii="FS Me Light" w:hAnsi="FS Me Light"/>
        <w:color w:val="5E2D73"/>
        <w:sz w:val="32"/>
        <w:szCs w:val="32"/>
      </w:rPr>
    </w:pPr>
    <w:r w:rsidRPr="00323BB7">
      <w:rPr>
        <w:rFonts w:cs="Arial"/>
        <w:b/>
        <w:color w:val="5E2D73"/>
        <w:sz w:val="32"/>
        <w:szCs w:val="32"/>
      </w:rPr>
      <w:t>ndis.gov.au</w:t>
    </w:r>
    <w:r w:rsidRPr="00323BB7">
      <w:rPr>
        <w:rFonts w:cs="Arial"/>
        <w:b/>
        <w:color w:val="5E2D73"/>
        <w:sz w:val="32"/>
        <w:szCs w:val="32"/>
      </w:rPr>
      <w:tab/>
    </w:r>
    <w:r w:rsidR="00EC053E">
      <w:rPr>
        <w:rFonts w:cs="Arial"/>
        <w:b/>
        <w:color w:val="5E2D73"/>
        <w:sz w:val="32"/>
        <w:szCs w:val="32"/>
      </w:rPr>
      <w:tab/>
    </w:r>
    <w:r w:rsidR="00EC053E">
      <w:rPr>
        <w:rFonts w:cs="Arial"/>
        <w:b/>
        <w:color w:val="5E2D73"/>
        <w:sz w:val="32"/>
        <w:szCs w:val="32"/>
      </w:rPr>
      <w:tab/>
    </w:r>
    <w:r w:rsidR="00EC053E">
      <w:rPr>
        <w:rFonts w:cs="Arial"/>
        <w:b/>
        <w:color w:val="5E2D73"/>
        <w:sz w:val="32"/>
        <w:szCs w:val="32"/>
      </w:rPr>
      <w:tab/>
    </w:r>
    <w:r w:rsidR="00EC053E">
      <w:rPr>
        <w:rFonts w:cs="Arial"/>
        <w:b/>
        <w:color w:val="5E2D73"/>
        <w:sz w:val="32"/>
        <w:szCs w:val="32"/>
      </w:rPr>
      <w:tab/>
    </w:r>
    <w:r w:rsidR="00EC053E">
      <w:rPr>
        <w:rFonts w:cs="Arial"/>
        <w:b/>
        <w:color w:val="5E2D73"/>
        <w:sz w:val="32"/>
        <w:szCs w:val="32"/>
      </w:rPr>
      <w:tab/>
    </w:r>
    <w:r w:rsidR="00EC053E">
      <w:rPr>
        <w:rFonts w:cs="Arial"/>
        <w:b/>
        <w:color w:val="5E2D73"/>
        <w:sz w:val="32"/>
        <w:szCs w:val="32"/>
      </w:rPr>
      <w:tab/>
    </w:r>
    <w:r w:rsidR="00EC053E">
      <w:rPr>
        <w:rFonts w:cs="Arial"/>
        <w:b/>
        <w:color w:val="5E2D73"/>
        <w:sz w:val="32"/>
        <w:szCs w:val="32"/>
      </w:rPr>
      <w:tab/>
    </w:r>
    <w:r w:rsidR="00EC053E">
      <w:rPr>
        <w:rFonts w:cs="Arial"/>
        <w:b/>
        <w:color w:val="5E2D73"/>
        <w:sz w:val="32"/>
        <w:szCs w:val="32"/>
      </w:rPr>
      <w:tab/>
    </w:r>
    <w:r w:rsidR="00EC053E">
      <w:rPr>
        <w:rFonts w:cs="Arial"/>
        <w:b/>
        <w:color w:val="5E2D73"/>
        <w:sz w:val="32"/>
        <w:szCs w:val="32"/>
      </w:rPr>
      <w:tab/>
    </w:r>
    <w:sdt>
      <w:sdtPr>
        <w:id w:val="-6196131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6E86">
          <w:rPr>
            <w:noProof/>
          </w:rPr>
          <w:t>4</w:t>
        </w:r>
        <w:r>
          <w:rPr>
            <w:noProof/>
          </w:rPr>
          <w:fldChar w:fldCharType="end"/>
        </w:r>
      </w:sdtContent>
    </w:sdt>
  </w:p>
  <w:p w:rsidR="00462DE4" w:rsidRDefault="00462DE4" w:rsidP="007219F1">
    <w:pPr>
      <w:pStyle w:val="Footer"/>
      <w:jc w:val="center"/>
    </w:pPr>
  </w:p>
  <w:p w:rsidR="00462DE4" w:rsidRDefault="00462DE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DE4" w:rsidRPr="007219F1" w:rsidRDefault="00462DE4" w:rsidP="00FB5514">
    <w:pPr>
      <w:spacing w:after="600"/>
      <w:rPr>
        <w:rFonts w:ascii="FS Me Light" w:hAnsi="FS Me Light"/>
        <w:color w:val="5E2D73"/>
        <w:sz w:val="32"/>
        <w:szCs w:val="32"/>
      </w:rPr>
    </w:pPr>
    <w:r w:rsidRPr="00FB5514">
      <w:rPr>
        <w:rFonts w:cs="Arial"/>
        <w:b/>
        <w:noProof/>
        <w:lang w:eastAsia="en-AU"/>
      </w:rPr>
      <w:drawing>
        <wp:anchor distT="0" distB="0" distL="114300" distR="114300" simplePos="0" relativeHeight="251665408" behindDoc="1" locked="0" layoutInCell="1" allowOverlap="1" wp14:anchorId="2C766F95" wp14:editId="56A3828A">
          <wp:simplePos x="0" y="0"/>
          <wp:positionH relativeFrom="page">
            <wp:posOffset>5587799</wp:posOffset>
          </wp:positionH>
          <wp:positionV relativeFrom="bottomMargin">
            <wp:align>top</wp:align>
          </wp:positionV>
          <wp:extent cx="1536065" cy="798195"/>
          <wp:effectExtent l="0" t="0" r="6985" b="1905"/>
          <wp:wrapNone/>
          <wp:docPr id="7" name="Picture 7" descr="NDIS in white letter with purple background."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rsidRPr="007219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EF1" w:rsidRDefault="00025EF1" w:rsidP="007219F1">
      <w:pPr>
        <w:spacing w:after="0" w:line="240" w:lineRule="auto"/>
      </w:pPr>
      <w:r>
        <w:separator/>
      </w:r>
    </w:p>
    <w:p w:rsidR="00025EF1" w:rsidRDefault="00025EF1"/>
  </w:footnote>
  <w:footnote w:type="continuationSeparator" w:id="0">
    <w:p w:rsidR="00025EF1" w:rsidRDefault="00025EF1" w:rsidP="007219F1">
      <w:pPr>
        <w:spacing w:after="0" w:line="240" w:lineRule="auto"/>
      </w:pPr>
      <w:r>
        <w:continuationSeparator/>
      </w:r>
    </w:p>
    <w:p w:rsidR="00025EF1" w:rsidRDefault="00025E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FBD"/>
    <w:multiLevelType w:val="hybridMultilevel"/>
    <w:tmpl w:val="E126F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01F5A"/>
    <w:multiLevelType w:val="hybridMultilevel"/>
    <w:tmpl w:val="ECCC084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2206A"/>
    <w:multiLevelType w:val="hybridMultilevel"/>
    <w:tmpl w:val="8CB6C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8F2719"/>
    <w:multiLevelType w:val="hybridMultilevel"/>
    <w:tmpl w:val="3DEE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CB6387"/>
    <w:multiLevelType w:val="hybridMultilevel"/>
    <w:tmpl w:val="E7B23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B414DA"/>
    <w:multiLevelType w:val="hybridMultilevel"/>
    <w:tmpl w:val="2A426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DB0B9A"/>
    <w:multiLevelType w:val="hybridMultilevel"/>
    <w:tmpl w:val="7A20A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912FBD"/>
    <w:multiLevelType w:val="multilevel"/>
    <w:tmpl w:val="366E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E74746"/>
    <w:multiLevelType w:val="multilevel"/>
    <w:tmpl w:val="125EF0B8"/>
    <w:lvl w:ilvl="0">
      <w:start w:val="1"/>
      <w:numFmt w:val="decimal"/>
      <w:lvlText w:val="%1."/>
      <w:lvlJc w:val="left"/>
      <w:pPr>
        <w:ind w:left="360" w:hanging="360"/>
      </w:pPr>
      <w:rPr>
        <w:rFonts w:hint="default"/>
      </w:rPr>
    </w:lvl>
    <w:lvl w:ilvl="1">
      <w:start w:val="7"/>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BD83B6E"/>
    <w:multiLevelType w:val="hybridMultilevel"/>
    <w:tmpl w:val="55F4E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271589"/>
    <w:multiLevelType w:val="hybridMultilevel"/>
    <w:tmpl w:val="DAAC7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3C5664"/>
    <w:multiLevelType w:val="hybridMultilevel"/>
    <w:tmpl w:val="FA009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15:restartNumberingAfterBreak="0">
    <w:nsid w:val="350F343F"/>
    <w:multiLevelType w:val="hybridMultilevel"/>
    <w:tmpl w:val="2E98D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015F20"/>
    <w:multiLevelType w:val="hybridMultilevel"/>
    <w:tmpl w:val="4AE81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13064D"/>
    <w:multiLevelType w:val="hybridMultilevel"/>
    <w:tmpl w:val="64B29CF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210B2F"/>
    <w:multiLevelType w:val="multilevel"/>
    <w:tmpl w:val="FC2E0792"/>
    <w:lvl w:ilvl="0">
      <w:start w:val="1"/>
      <w:numFmt w:val="decimal"/>
      <w:lvlText w:val="%1."/>
      <w:lvlJc w:val="left"/>
      <w:pPr>
        <w:ind w:left="72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9646772"/>
    <w:multiLevelType w:val="hybridMultilevel"/>
    <w:tmpl w:val="A0D82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3425CF"/>
    <w:multiLevelType w:val="hybridMultilevel"/>
    <w:tmpl w:val="7DE2D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A65BB0"/>
    <w:multiLevelType w:val="hybridMultilevel"/>
    <w:tmpl w:val="C2747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5460AE"/>
    <w:multiLevelType w:val="hybridMultilevel"/>
    <w:tmpl w:val="859A0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607DC0"/>
    <w:multiLevelType w:val="multilevel"/>
    <w:tmpl w:val="EC46DA74"/>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6"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A90879"/>
    <w:multiLevelType w:val="hybridMultilevel"/>
    <w:tmpl w:val="8AFC6D22"/>
    <w:lvl w:ilvl="0" w:tplc="0C09000F">
      <w:start w:val="7"/>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9" w15:restartNumberingAfterBreak="0">
    <w:nsid w:val="59F97298"/>
    <w:multiLevelType w:val="hybridMultilevel"/>
    <w:tmpl w:val="407064AE"/>
    <w:lvl w:ilvl="0" w:tplc="EB06F13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FD0028A"/>
    <w:multiLevelType w:val="hybridMultilevel"/>
    <w:tmpl w:val="08FC1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FEC351C"/>
    <w:multiLevelType w:val="hybridMultilevel"/>
    <w:tmpl w:val="A470F0C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2785444"/>
    <w:multiLevelType w:val="hybridMultilevel"/>
    <w:tmpl w:val="E6944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0051BB"/>
    <w:multiLevelType w:val="hybridMultilevel"/>
    <w:tmpl w:val="8BD02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6D67179"/>
    <w:multiLevelType w:val="hybridMultilevel"/>
    <w:tmpl w:val="FD706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267783"/>
    <w:multiLevelType w:val="hybridMultilevel"/>
    <w:tmpl w:val="7FFEB2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6AB26FEB"/>
    <w:multiLevelType w:val="hybridMultilevel"/>
    <w:tmpl w:val="A9744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307F0D"/>
    <w:multiLevelType w:val="hybridMultilevel"/>
    <w:tmpl w:val="B85E9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3107305"/>
    <w:multiLevelType w:val="multilevel"/>
    <w:tmpl w:val="E81C0D6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39" w15:restartNumberingAfterBreak="0">
    <w:nsid w:val="74AC40A7"/>
    <w:multiLevelType w:val="hybridMultilevel"/>
    <w:tmpl w:val="5C5467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5A46138"/>
    <w:multiLevelType w:val="hybridMultilevel"/>
    <w:tmpl w:val="DF649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70E2201"/>
    <w:multiLevelType w:val="hybridMultilevel"/>
    <w:tmpl w:val="8CBEB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A03D88"/>
    <w:multiLevelType w:val="hybridMultilevel"/>
    <w:tmpl w:val="85B28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7"/>
  </w:num>
  <w:num w:numId="4">
    <w:abstractNumId w:val="20"/>
  </w:num>
  <w:num w:numId="5">
    <w:abstractNumId w:val="11"/>
  </w:num>
  <w:num w:numId="6">
    <w:abstractNumId w:val="26"/>
  </w:num>
  <w:num w:numId="7">
    <w:abstractNumId w:val="4"/>
  </w:num>
  <w:num w:numId="8">
    <w:abstractNumId w:val="2"/>
  </w:num>
  <w:num w:numId="9">
    <w:abstractNumId w:val="20"/>
  </w:num>
  <w:num w:numId="10">
    <w:abstractNumId w:val="33"/>
  </w:num>
  <w:num w:numId="11">
    <w:abstractNumId w:val="3"/>
  </w:num>
  <w:num w:numId="12">
    <w:abstractNumId w:val="23"/>
  </w:num>
  <w:num w:numId="13">
    <w:abstractNumId w:val="18"/>
  </w:num>
  <w:num w:numId="14">
    <w:abstractNumId w:val="10"/>
  </w:num>
  <w:num w:numId="15">
    <w:abstractNumId w:val="21"/>
  </w:num>
  <w:num w:numId="16">
    <w:abstractNumId w:val="20"/>
  </w:num>
  <w:num w:numId="17">
    <w:abstractNumId w:val="40"/>
  </w:num>
  <w:num w:numId="18">
    <w:abstractNumId w:val="38"/>
  </w:num>
  <w:num w:numId="19">
    <w:abstractNumId w:val="30"/>
  </w:num>
  <w:num w:numId="20">
    <w:abstractNumId w:val="25"/>
  </w:num>
  <w:num w:numId="21">
    <w:abstractNumId w:val="22"/>
  </w:num>
  <w:num w:numId="22">
    <w:abstractNumId w:val="41"/>
  </w:num>
  <w:num w:numId="23">
    <w:abstractNumId w:val="16"/>
  </w:num>
  <w:num w:numId="24">
    <w:abstractNumId w:val="12"/>
  </w:num>
  <w:num w:numId="25">
    <w:abstractNumId w:val="42"/>
  </w:num>
  <w:num w:numId="26">
    <w:abstractNumId w:val="35"/>
  </w:num>
  <w:num w:numId="27">
    <w:abstractNumId w:val="14"/>
  </w:num>
  <w:num w:numId="28">
    <w:abstractNumId w:val="5"/>
  </w:num>
  <w:num w:numId="29">
    <w:abstractNumId w:val="19"/>
  </w:num>
  <w:num w:numId="30">
    <w:abstractNumId w:val="34"/>
  </w:num>
  <w:num w:numId="31">
    <w:abstractNumId w:val="6"/>
  </w:num>
  <w:num w:numId="32">
    <w:abstractNumId w:val="36"/>
  </w:num>
  <w:num w:numId="33">
    <w:abstractNumId w:val="32"/>
  </w:num>
  <w:num w:numId="34">
    <w:abstractNumId w:val="1"/>
  </w:num>
  <w:num w:numId="35">
    <w:abstractNumId w:val="15"/>
  </w:num>
  <w:num w:numId="36">
    <w:abstractNumId w:val="9"/>
  </w:num>
  <w:num w:numId="37">
    <w:abstractNumId w:val="8"/>
  </w:num>
  <w:num w:numId="38">
    <w:abstractNumId w:val="37"/>
  </w:num>
  <w:num w:numId="39">
    <w:abstractNumId w:val="0"/>
  </w:num>
  <w:num w:numId="40">
    <w:abstractNumId w:val="13"/>
  </w:num>
  <w:num w:numId="41">
    <w:abstractNumId w:val="39"/>
  </w:num>
  <w:num w:numId="42">
    <w:abstractNumId w:val="29"/>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3CC7"/>
    <w:rsid w:val="0000610C"/>
    <w:rsid w:val="00011214"/>
    <w:rsid w:val="00025EF1"/>
    <w:rsid w:val="0002763B"/>
    <w:rsid w:val="00031450"/>
    <w:rsid w:val="00046B11"/>
    <w:rsid w:val="00046C10"/>
    <w:rsid w:val="00062F24"/>
    <w:rsid w:val="00063729"/>
    <w:rsid w:val="00080E4A"/>
    <w:rsid w:val="0008117E"/>
    <w:rsid w:val="000A0EBB"/>
    <w:rsid w:val="000A5517"/>
    <w:rsid w:val="000A66F6"/>
    <w:rsid w:val="000B11FF"/>
    <w:rsid w:val="000C01C3"/>
    <w:rsid w:val="000C7426"/>
    <w:rsid w:val="000D1286"/>
    <w:rsid w:val="000F3C60"/>
    <w:rsid w:val="000F4FFD"/>
    <w:rsid w:val="00103DDA"/>
    <w:rsid w:val="00104C9E"/>
    <w:rsid w:val="001114FF"/>
    <w:rsid w:val="0011228D"/>
    <w:rsid w:val="00115AE2"/>
    <w:rsid w:val="001173ED"/>
    <w:rsid w:val="0013087B"/>
    <w:rsid w:val="00136CBC"/>
    <w:rsid w:val="00145524"/>
    <w:rsid w:val="001566E0"/>
    <w:rsid w:val="00157F46"/>
    <w:rsid w:val="00160BCD"/>
    <w:rsid w:val="00165379"/>
    <w:rsid w:val="00173439"/>
    <w:rsid w:val="00180C98"/>
    <w:rsid w:val="00182101"/>
    <w:rsid w:val="0018573B"/>
    <w:rsid w:val="0019051C"/>
    <w:rsid w:val="00193A52"/>
    <w:rsid w:val="00196FBD"/>
    <w:rsid w:val="001B066A"/>
    <w:rsid w:val="001B2A94"/>
    <w:rsid w:val="001B3750"/>
    <w:rsid w:val="001C443E"/>
    <w:rsid w:val="001C61AE"/>
    <w:rsid w:val="001D5DB3"/>
    <w:rsid w:val="001D6E33"/>
    <w:rsid w:val="001E630D"/>
    <w:rsid w:val="001F2C44"/>
    <w:rsid w:val="001F45D6"/>
    <w:rsid w:val="00221F4B"/>
    <w:rsid w:val="00222463"/>
    <w:rsid w:val="002352C7"/>
    <w:rsid w:val="00236B20"/>
    <w:rsid w:val="00247069"/>
    <w:rsid w:val="002508B0"/>
    <w:rsid w:val="00251F0A"/>
    <w:rsid w:val="00263236"/>
    <w:rsid w:val="002635F3"/>
    <w:rsid w:val="002650AE"/>
    <w:rsid w:val="002671B5"/>
    <w:rsid w:val="00290FFC"/>
    <w:rsid w:val="002A3C05"/>
    <w:rsid w:val="002A7912"/>
    <w:rsid w:val="002C4605"/>
    <w:rsid w:val="002C521B"/>
    <w:rsid w:val="002D035D"/>
    <w:rsid w:val="002D78C7"/>
    <w:rsid w:val="002E6C09"/>
    <w:rsid w:val="002F342F"/>
    <w:rsid w:val="002F37AD"/>
    <w:rsid w:val="00311DAA"/>
    <w:rsid w:val="00314AA1"/>
    <w:rsid w:val="00317711"/>
    <w:rsid w:val="003216A7"/>
    <w:rsid w:val="00323BB7"/>
    <w:rsid w:val="00327487"/>
    <w:rsid w:val="00327E0A"/>
    <w:rsid w:val="0034108D"/>
    <w:rsid w:val="00342CF9"/>
    <w:rsid w:val="003444C2"/>
    <w:rsid w:val="00347B05"/>
    <w:rsid w:val="00351150"/>
    <w:rsid w:val="00351EA6"/>
    <w:rsid w:val="00355CFF"/>
    <w:rsid w:val="00366151"/>
    <w:rsid w:val="00382A98"/>
    <w:rsid w:val="00391AB9"/>
    <w:rsid w:val="00391C6F"/>
    <w:rsid w:val="00391E48"/>
    <w:rsid w:val="003969F2"/>
    <w:rsid w:val="003A7DF9"/>
    <w:rsid w:val="003B2BB8"/>
    <w:rsid w:val="003B6028"/>
    <w:rsid w:val="003C16C6"/>
    <w:rsid w:val="003C3A69"/>
    <w:rsid w:val="003D34FF"/>
    <w:rsid w:val="003D5C02"/>
    <w:rsid w:val="003E7C46"/>
    <w:rsid w:val="003F4450"/>
    <w:rsid w:val="003F7109"/>
    <w:rsid w:val="0040062A"/>
    <w:rsid w:val="00400A65"/>
    <w:rsid w:val="00403228"/>
    <w:rsid w:val="00403D4C"/>
    <w:rsid w:val="00412AB9"/>
    <w:rsid w:val="00413B8D"/>
    <w:rsid w:val="00425888"/>
    <w:rsid w:val="00425A18"/>
    <w:rsid w:val="004269F4"/>
    <w:rsid w:val="0043129E"/>
    <w:rsid w:val="004364D2"/>
    <w:rsid w:val="0043758C"/>
    <w:rsid w:val="00446D6C"/>
    <w:rsid w:val="004535DC"/>
    <w:rsid w:val="00453ADA"/>
    <w:rsid w:val="00455283"/>
    <w:rsid w:val="00460FEC"/>
    <w:rsid w:val="00462557"/>
    <w:rsid w:val="00462DE4"/>
    <w:rsid w:val="00463A51"/>
    <w:rsid w:val="00471BF8"/>
    <w:rsid w:val="0047273A"/>
    <w:rsid w:val="004802D4"/>
    <w:rsid w:val="00481014"/>
    <w:rsid w:val="00481AF8"/>
    <w:rsid w:val="00493308"/>
    <w:rsid w:val="004A4EB5"/>
    <w:rsid w:val="004A5171"/>
    <w:rsid w:val="004A6EBE"/>
    <w:rsid w:val="004B5100"/>
    <w:rsid w:val="004B5264"/>
    <w:rsid w:val="004B54CA"/>
    <w:rsid w:val="004B6432"/>
    <w:rsid w:val="004C2758"/>
    <w:rsid w:val="004C68BB"/>
    <w:rsid w:val="004D1627"/>
    <w:rsid w:val="004D32B5"/>
    <w:rsid w:val="004D3E35"/>
    <w:rsid w:val="004D448C"/>
    <w:rsid w:val="004D5157"/>
    <w:rsid w:val="004D6517"/>
    <w:rsid w:val="004E435E"/>
    <w:rsid w:val="004E5CBF"/>
    <w:rsid w:val="0050028E"/>
    <w:rsid w:val="00502D3E"/>
    <w:rsid w:val="005136A2"/>
    <w:rsid w:val="0051370A"/>
    <w:rsid w:val="00514C73"/>
    <w:rsid w:val="00514D86"/>
    <w:rsid w:val="0052284E"/>
    <w:rsid w:val="00526B73"/>
    <w:rsid w:val="005465F5"/>
    <w:rsid w:val="00560A35"/>
    <w:rsid w:val="00562F26"/>
    <w:rsid w:val="005754E1"/>
    <w:rsid w:val="005806D5"/>
    <w:rsid w:val="0058398B"/>
    <w:rsid w:val="00583CAE"/>
    <w:rsid w:val="005850B1"/>
    <w:rsid w:val="0059765E"/>
    <w:rsid w:val="005B4ACA"/>
    <w:rsid w:val="005B4C95"/>
    <w:rsid w:val="005B7FEF"/>
    <w:rsid w:val="005C3AA9"/>
    <w:rsid w:val="005D3D86"/>
    <w:rsid w:val="005D5931"/>
    <w:rsid w:val="005D6278"/>
    <w:rsid w:val="005E0F1E"/>
    <w:rsid w:val="005E2A4B"/>
    <w:rsid w:val="005F0A0C"/>
    <w:rsid w:val="00602A99"/>
    <w:rsid w:val="00604C4D"/>
    <w:rsid w:val="00605ADA"/>
    <w:rsid w:val="0060626E"/>
    <w:rsid w:val="00606908"/>
    <w:rsid w:val="00607BF8"/>
    <w:rsid w:val="00610A48"/>
    <w:rsid w:val="00632067"/>
    <w:rsid w:val="00633EB0"/>
    <w:rsid w:val="00634785"/>
    <w:rsid w:val="0064589F"/>
    <w:rsid w:val="00646731"/>
    <w:rsid w:val="00647A72"/>
    <w:rsid w:val="0065078A"/>
    <w:rsid w:val="00651CC5"/>
    <w:rsid w:val="006536AE"/>
    <w:rsid w:val="00674D9A"/>
    <w:rsid w:val="00676CCE"/>
    <w:rsid w:val="00680CBC"/>
    <w:rsid w:val="00683D2F"/>
    <w:rsid w:val="00684C09"/>
    <w:rsid w:val="00686266"/>
    <w:rsid w:val="0069143C"/>
    <w:rsid w:val="00696093"/>
    <w:rsid w:val="00696E86"/>
    <w:rsid w:val="006A1D6F"/>
    <w:rsid w:val="006A4ACA"/>
    <w:rsid w:val="006A4CE7"/>
    <w:rsid w:val="006B3411"/>
    <w:rsid w:val="006B5E02"/>
    <w:rsid w:val="006B712E"/>
    <w:rsid w:val="006C1966"/>
    <w:rsid w:val="006C47CA"/>
    <w:rsid w:val="006D629D"/>
    <w:rsid w:val="006E4DE0"/>
    <w:rsid w:val="007071D0"/>
    <w:rsid w:val="00711DF7"/>
    <w:rsid w:val="007219F1"/>
    <w:rsid w:val="00721E61"/>
    <w:rsid w:val="00722263"/>
    <w:rsid w:val="00727ADE"/>
    <w:rsid w:val="007408A3"/>
    <w:rsid w:val="007433BF"/>
    <w:rsid w:val="00746291"/>
    <w:rsid w:val="0074778D"/>
    <w:rsid w:val="0075167E"/>
    <w:rsid w:val="007616C8"/>
    <w:rsid w:val="00763422"/>
    <w:rsid w:val="00765FCE"/>
    <w:rsid w:val="00767FB0"/>
    <w:rsid w:val="00770343"/>
    <w:rsid w:val="007718DD"/>
    <w:rsid w:val="007812DD"/>
    <w:rsid w:val="00784C2F"/>
    <w:rsid w:val="00785261"/>
    <w:rsid w:val="00786C9C"/>
    <w:rsid w:val="007871FA"/>
    <w:rsid w:val="00793EF0"/>
    <w:rsid w:val="007A7E9A"/>
    <w:rsid w:val="007B0256"/>
    <w:rsid w:val="007B788A"/>
    <w:rsid w:val="007C0794"/>
    <w:rsid w:val="007C2B5F"/>
    <w:rsid w:val="007C7762"/>
    <w:rsid w:val="007E12C9"/>
    <w:rsid w:val="007E2A9A"/>
    <w:rsid w:val="007E5B0B"/>
    <w:rsid w:val="007F06B5"/>
    <w:rsid w:val="007F6ED7"/>
    <w:rsid w:val="007F7E88"/>
    <w:rsid w:val="008053B2"/>
    <w:rsid w:val="008146A3"/>
    <w:rsid w:val="008179E2"/>
    <w:rsid w:val="00817E00"/>
    <w:rsid w:val="008201C3"/>
    <w:rsid w:val="00821DF4"/>
    <w:rsid w:val="00822349"/>
    <w:rsid w:val="00825E6D"/>
    <w:rsid w:val="00826D50"/>
    <w:rsid w:val="0082714B"/>
    <w:rsid w:val="0084152C"/>
    <w:rsid w:val="0084530F"/>
    <w:rsid w:val="00846559"/>
    <w:rsid w:val="00854C11"/>
    <w:rsid w:val="008553DA"/>
    <w:rsid w:val="00855C46"/>
    <w:rsid w:val="00867ED9"/>
    <w:rsid w:val="00873A0F"/>
    <w:rsid w:val="008747DA"/>
    <w:rsid w:val="0087766C"/>
    <w:rsid w:val="008A2B67"/>
    <w:rsid w:val="008C1DA4"/>
    <w:rsid w:val="008C7536"/>
    <w:rsid w:val="008D53A9"/>
    <w:rsid w:val="008D61CB"/>
    <w:rsid w:val="008E2026"/>
    <w:rsid w:val="008E6515"/>
    <w:rsid w:val="00911BE3"/>
    <w:rsid w:val="009225F0"/>
    <w:rsid w:val="009227B2"/>
    <w:rsid w:val="00923ED2"/>
    <w:rsid w:val="009446B9"/>
    <w:rsid w:val="00947A0B"/>
    <w:rsid w:val="00952B7F"/>
    <w:rsid w:val="009545AA"/>
    <w:rsid w:val="0096547B"/>
    <w:rsid w:val="009707AD"/>
    <w:rsid w:val="00980B90"/>
    <w:rsid w:val="00983D50"/>
    <w:rsid w:val="009937B2"/>
    <w:rsid w:val="00995561"/>
    <w:rsid w:val="00995FC0"/>
    <w:rsid w:val="0099611E"/>
    <w:rsid w:val="00997C14"/>
    <w:rsid w:val="009A578D"/>
    <w:rsid w:val="009C0D68"/>
    <w:rsid w:val="009C0E62"/>
    <w:rsid w:val="009D15E0"/>
    <w:rsid w:val="009D44DB"/>
    <w:rsid w:val="009D7530"/>
    <w:rsid w:val="009E1540"/>
    <w:rsid w:val="009E3AAD"/>
    <w:rsid w:val="009F2F7E"/>
    <w:rsid w:val="00A02AA4"/>
    <w:rsid w:val="00A07A5D"/>
    <w:rsid w:val="00A14E01"/>
    <w:rsid w:val="00A152B9"/>
    <w:rsid w:val="00A16924"/>
    <w:rsid w:val="00A23032"/>
    <w:rsid w:val="00A23302"/>
    <w:rsid w:val="00A25ECF"/>
    <w:rsid w:val="00A273E0"/>
    <w:rsid w:val="00A36757"/>
    <w:rsid w:val="00A42346"/>
    <w:rsid w:val="00A44E20"/>
    <w:rsid w:val="00A544BA"/>
    <w:rsid w:val="00A57D65"/>
    <w:rsid w:val="00A61FA5"/>
    <w:rsid w:val="00A70566"/>
    <w:rsid w:val="00A75E6A"/>
    <w:rsid w:val="00A83148"/>
    <w:rsid w:val="00A86D9D"/>
    <w:rsid w:val="00A9419C"/>
    <w:rsid w:val="00A952C2"/>
    <w:rsid w:val="00AA2FC8"/>
    <w:rsid w:val="00AB682E"/>
    <w:rsid w:val="00AB6D0E"/>
    <w:rsid w:val="00AC143C"/>
    <w:rsid w:val="00AC2736"/>
    <w:rsid w:val="00AC4F03"/>
    <w:rsid w:val="00AD0312"/>
    <w:rsid w:val="00AD3107"/>
    <w:rsid w:val="00AD48E0"/>
    <w:rsid w:val="00AD71CC"/>
    <w:rsid w:val="00AE3D6C"/>
    <w:rsid w:val="00AE4989"/>
    <w:rsid w:val="00AE4D42"/>
    <w:rsid w:val="00AE4D46"/>
    <w:rsid w:val="00AE77D5"/>
    <w:rsid w:val="00AF4FCD"/>
    <w:rsid w:val="00B003EC"/>
    <w:rsid w:val="00B00DC4"/>
    <w:rsid w:val="00B1295A"/>
    <w:rsid w:val="00B12C29"/>
    <w:rsid w:val="00B220BC"/>
    <w:rsid w:val="00B23F25"/>
    <w:rsid w:val="00B26D1F"/>
    <w:rsid w:val="00B44D21"/>
    <w:rsid w:val="00B47A16"/>
    <w:rsid w:val="00B50EE1"/>
    <w:rsid w:val="00B53173"/>
    <w:rsid w:val="00B56578"/>
    <w:rsid w:val="00B60152"/>
    <w:rsid w:val="00B61187"/>
    <w:rsid w:val="00B61526"/>
    <w:rsid w:val="00B77321"/>
    <w:rsid w:val="00B80FE8"/>
    <w:rsid w:val="00B95B90"/>
    <w:rsid w:val="00BA2DB9"/>
    <w:rsid w:val="00BA7B84"/>
    <w:rsid w:val="00BC06CA"/>
    <w:rsid w:val="00BD23B7"/>
    <w:rsid w:val="00BD6A34"/>
    <w:rsid w:val="00BE632A"/>
    <w:rsid w:val="00BE69FD"/>
    <w:rsid w:val="00BE7148"/>
    <w:rsid w:val="00C12C35"/>
    <w:rsid w:val="00C14CE2"/>
    <w:rsid w:val="00C157C9"/>
    <w:rsid w:val="00C159BD"/>
    <w:rsid w:val="00C2307F"/>
    <w:rsid w:val="00C25295"/>
    <w:rsid w:val="00C2763C"/>
    <w:rsid w:val="00C27F24"/>
    <w:rsid w:val="00C31EC6"/>
    <w:rsid w:val="00C42F1C"/>
    <w:rsid w:val="00C46CFE"/>
    <w:rsid w:val="00C53388"/>
    <w:rsid w:val="00C53BD1"/>
    <w:rsid w:val="00C5514A"/>
    <w:rsid w:val="00C643A7"/>
    <w:rsid w:val="00C65ECC"/>
    <w:rsid w:val="00C734A6"/>
    <w:rsid w:val="00C750FF"/>
    <w:rsid w:val="00C86240"/>
    <w:rsid w:val="00C91CDD"/>
    <w:rsid w:val="00C92ABF"/>
    <w:rsid w:val="00C9529C"/>
    <w:rsid w:val="00C954CD"/>
    <w:rsid w:val="00CA5A1D"/>
    <w:rsid w:val="00CA5A88"/>
    <w:rsid w:val="00CA5C8F"/>
    <w:rsid w:val="00CA7A24"/>
    <w:rsid w:val="00CC7638"/>
    <w:rsid w:val="00CD0AFC"/>
    <w:rsid w:val="00CD1CBE"/>
    <w:rsid w:val="00CE46D5"/>
    <w:rsid w:val="00CF7D15"/>
    <w:rsid w:val="00D003FA"/>
    <w:rsid w:val="00D062D5"/>
    <w:rsid w:val="00D071A5"/>
    <w:rsid w:val="00D12722"/>
    <w:rsid w:val="00D13E70"/>
    <w:rsid w:val="00D16B04"/>
    <w:rsid w:val="00D1782E"/>
    <w:rsid w:val="00D31D63"/>
    <w:rsid w:val="00D40B0E"/>
    <w:rsid w:val="00D50797"/>
    <w:rsid w:val="00D50977"/>
    <w:rsid w:val="00D50EC6"/>
    <w:rsid w:val="00D51EB0"/>
    <w:rsid w:val="00D52C24"/>
    <w:rsid w:val="00D62F87"/>
    <w:rsid w:val="00D7778A"/>
    <w:rsid w:val="00D830B4"/>
    <w:rsid w:val="00DA4649"/>
    <w:rsid w:val="00DA6002"/>
    <w:rsid w:val="00DB23A3"/>
    <w:rsid w:val="00DB6D70"/>
    <w:rsid w:val="00DD0989"/>
    <w:rsid w:val="00DE2824"/>
    <w:rsid w:val="00DE5409"/>
    <w:rsid w:val="00DE5D8B"/>
    <w:rsid w:val="00DF1426"/>
    <w:rsid w:val="00DF2763"/>
    <w:rsid w:val="00DF6D27"/>
    <w:rsid w:val="00E045DE"/>
    <w:rsid w:val="00E1322D"/>
    <w:rsid w:val="00E168F0"/>
    <w:rsid w:val="00E25D16"/>
    <w:rsid w:val="00E31979"/>
    <w:rsid w:val="00E412DA"/>
    <w:rsid w:val="00E56BA4"/>
    <w:rsid w:val="00E56F50"/>
    <w:rsid w:val="00E831A7"/>
    <w:rsid w:val="00E90617"/>
    <w:rsid w:val="00E91C4A"/>
    <w:rsid w:val="00EA2608"/>
    <w:rsid w:val="00EA3254"/>
    <w:rsid w:val="00EA4F02"/>
    <w:rsid w:val="00EA5626"/>
    <w:rsid w:val="00EA7999"/>
    <w:rsid w:val="00EB624F"/>
    <w:rsid w:val="00EB7D9A"/>
    <w:rsid w:val="00EC053E"/>
    <w:rsid w:val="00ED41DE"/>
    <w:rsid w:val="00ED5378"/>
    <w:rsid w:val="00EE123C"/>
    <w:rsid w:val="00EE54E1"/>
    <w:rsid w:val="00EE6B77"/>
    <w:rsid w:val="00EE75EA"/>
    <w:rsid w:val="00EE7923"/>
    <w:rsid w:val="00EF39CD"/>
    <w:rsid w:val="00F02AA4"/>
    <w:rsid w:val="00F044E9"/>
    <w:rsid w:val="00F05663"/>
    <w:rsid w:val="00F05ED7"/>
    <w:rsid w:val="00F07650"/>
    <w:rsid w:val="00F30EC9"/>
    <w:rsid w:val="00F41BD1"/>
    <w:rsid w:val="00F45895"/>
    <w:rsid w:val="00F46901"/>
    <w:rsid w:val="00F80114"/>
    <w:rsid w:val="00F83129"/>
    <w:rsid w:val="00F835A9"/>
    <w:rsid w:val="00F9082A"/>
    <w:rsid w:val="00F93686"/>
    <w:rsid w:val="00FA14FE"/>
    <w:rsid w:val="00FA68DD"/>
    <w:rsid w:val="00FA7BC7"/>
    <w:rsid w:val="00FB5514"/>
    <w:rsid w:val="00FB7DE8"/>
    <w:rsid w:val="00FC50FC"/>
    <w:rsid w:val="00FC7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DFC41"/>
  <w15:docId w15:val="{69C73AA2-4080-4F98-BB1D-D85D44DE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AF8"/>
    <w:pPr>
      <w:spacing w:line="288" w:lineRule="auto"/>
    </w:pPr>
    <w:rPr>
      <w:rFonts w:ascii="Arial" w:eastAsiaTheme="minorEastAsia" w:hAnsi="Arial"/>
      <w:szCs w:val="24"/>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A36757"/>
    <w:pPr>
      <w:spacing w:before="36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413B8D"/>
    <w:pPr>
      <w:outlineLvl w:val="2"/>
    </w:pPr>
    <w:rPr>
      <w:b/>
      <w:color w:val="6A2875"/>
      <w:sz w:val="30"/>
      <w:szCs w:val="30"/>
    </w:rPr>
  </w:style>
  <w:style w:type="paragraph" w:styleId="Heading4">
    <w:name w:val="heading 4"/>
    <w:basedOn w:val="Normal"/>
    <w:next w:val="Normal"/>
    <w:link w:val="Heading4Char"/>
    <w:uiPriority w:val="9"/>
    <w:unhideWhenUsed/>
    <w:qFormat/>
    <w:rsid w:val="008146A3"/>
    <w:p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A36757"/>
    <w:rPr>
      <w:rFonts w:ascii="Arial" w:eastAsiaTheme="majorEastAsia" w:hAnsi="Arial" w:cstheme="majorBidi"/>
      <w:b/>
      <w:bCs/>
      <w:color w:val="6A2875"/>
      <w:sz w:val="44"/>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13B8D"/>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8146A3"/>
    <w:rPr>
      <w:rFonts w:ascii="Arial" w:eastAsiaTheme="minorEastAsia" w:hAnsi="Arial"/>
      <w:b/>
      <w:sz w:val="24"/>
      <w:szCs w:val="24"/>
      <w:lang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0Bullet,Bullet point,CV text,Dot Point,Dot pt,F5 List Paragraph,FooterText,L,List Paragraph1,List Paragraph11,List Paragraph111,List Paragraph2,Medium Grid 1 - Accent 21,NFP GP Bulleted List,Numbered Paragraph,Table text,numbered,列出段,列出段落"/>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before="360" w:after="0"/>
    </w:pPr>
    <w:rPr>
      <w:rFonts w:asciiTheme="majorHAnsi" w:hAnsiTheme="majorHAnsi"/>
      <w:b/>
      <w:bCs/>
      <w:caps/>
      <w:sz w:val="24"/>
    </w:rPr>
  </w:style>
  <w:style w:type="paragraph" w:styleId="TOC2">
    <w:name w:val="toc 2"/>
    <w:basedOn w:val="Normal"/>
    <w:next w:val="Normal"/>
    <w:autoRedefine/>
    <w:uiPriority w:val="39"/>
    <w:unhideWhenUsed/>
    <w:qFormat/>
    <w:rsid w:val="0084152C"/>
    <w:pPr>
      <w:spacing w:before="240" w:after="0"/>
    </w:pPr>
    <w:rPr>
      <w:rFonts w:asciiTheme="minorHAnsi" w:hAnsiTheme="minorHAnsi"/>
      <w:b/>
      <w:bCs/>
      <w:sz w:val="20"/>
      <w:szCs w:val="20"/>
    </w:rPr>
  </w:style>
  <w:style w:type="paragraph" w:styleId="TOC3">
    <w:name w:val="toc 3"/>
    <w:basedOn w:val="Normal"/>
    <w:next w:val="Normal"/>
    <w:autoRedefine/>
    <w:uiPriority w:val="39"/>
    <w:unhideWhenUsed/>
    <w:qFormat/>
    <w:rsid w:val="0084152C"/>
    <w:pPr>
      <w:spacing w:after="0"/>
      <w:ind w:left="220"/>
    </w:pPr>
    <w:rPr>
      <w:rFonts w:asciiTheme="minorHAnsi" w:hAnsiTheme="minorHAnsi"/>
      <w:sz w:val="20"/>
      <w:szCs w:val="20"/>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40062A"/>
    <w:pPr>
      <w:spacing w:after="0"/>
      <w:ind w:left="660"/>
    </w:pPr>
    <w:rPr>
      <w:rFonts w:asciiTheme="minorHAnsi" w:hAnsiTheme="minorHAnsi"/>
      <w:sz w:val="20"/>
      <w:szCs w:val="20"/>
    </w:rPr>
  </w:style>
  <w:style w:type="character" w:customStyle="1" w:styleId="ListParagraphChar">
    <w:name w:val="List Paragraph Char"/>
    <w:aliases w:val="0Bullet Char,Bullet point Char,CV text Char,Dot Point Char,Dot pt Char,F5 List Paragraph Char,FooterText Char,L Char,List Paragraph1 Char,List Paragraph11 Char,List Paragraph111 Char,List Paragraph2 Char,NFP GP Bulleted List Char"/>
    <w:basedOn w:val="DefaultParagraphFont"/>
    <w:link w:val="ListParagraph"/>
    <w:uiPriority w:val="34"/>
    <w:qFormat/>
    <w:locked/>
    <w:rsid w:val="00602A99"/>
    <w:rPr>
      <w:rFonts w:ascii="Arial" w:eastAsiaTheme="minorEastAsia" w:hAnsi="Arial"/>
      <w:szCs w:val="24"/>
      <w:lang w:val="en-US" w:eastAsia="ja-JP"/>
    </w:rPr>
  </w:style>
  <w:style w:type="character" w:styleId="CommentReference">
    <w:name w:val="annotation reference"/>
    <w:basedOn w:val="DefaultParagraphFont"/>
    <w:uiPriority w:val="99"/>
    <w:semiHidden/>
    <w:unhideWhenUsed/>
    <w:rsid w:val="00821DF4"/>
    <w:rPr>
      <w:sz w:val="16"/>
      <w:szCs w:val="16"/>
    </w:rPr>
  </w:style>
  <w:style w:type="paragraph" w:styleId="CommentText">
    <w:name w:val="annotation text"/>
    <w:basedOn w:val="Normal"/>
    <w:link w:val="CommentTextChar"/>
    <w:uiPriority w:val="99"/>
    <w:unhideWhenUsed/>
    <w:rsid w:val="00821DF4"/>
    <w:pPr>
      <w:spacing w:line="240" w:lineRule="auto"/>
    </w:pPr>
    <w:rPr>
      <w:sz w:val="20"/>
      <w:szCs w:val="20"/>
    </w:rPr>
  </w:style>
  <w:style w:type="character" w:customStyle="1" w:styleId="CommentTextChar">
    <w:name w:val="Comment Text Char"/>
    <w:basedOn w:val="DefaultParagraphFont"/>
    <w:link w:val="CommentText"/>
    <w:uiPriority w:val="99"/>
    <w:rsid w:val="00821DF4"/>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821DF4"/>
    <w:rPr>
      <w:b/>
      <w:bCs/>
    </w:rPr>
  </w:style>
  <w:style w:type="character" w:customStyle="1" w:styleId="CommentSubjectChar">
    <w:name w:val="Comment Subject Char"/>
    <w:basedOn w:val="CommentTextChar"/>
    <w:link w:val="CommentSubject"/>
    <w:uiPriority w:val="99"/>
    <w:semiHidden/>
    <w:rsid w:val="00821DF4"/>
    <w:rPr>
      <w:rFonts w:ascii="Arial" w:eastAsiaTheme="minorEastAsia" w:hAnsi="Arial"/>
      <w:b/>
      <w:bCs/>
      <w:sz w:val="20"/>
      <w:szCs w:val="20"/>
      <w:lang w:val="en-US" w:eastAsia="ja-JP"/>
    </w:rPr>
  </w:style>
  <w:style w:type="paragraph" w:styleId="NormalWeb">
    <w:name w:val="Normal (Web)"/>
    <w:basedOn w:val="Normal"/>
    <w:uiPriority w:val="99"/>
    <w:semiHidden/>
    <w:unhideWhenUsed/>
    <w:rsid w:val="00EF39CD"/>
    <w:pPr>
      <w:spacing w:before="100" w:beforeAutospacing="1" w:after="100" w:afterAutospacing="1" w:line="240" w:lineRule="auto"/>
    </w:pPr>
    <w:rPr>
      <w:rFonts w:ascii="Times New Roman" w:eastAsia="Times New Roman" w:hAnsi="Times New Roman" w:cs="Times New Roman"/>
      <w:sz w:val="24"/>
      <w:lang w:eastAsia="en-AU"/>
    </w:rPr>
  </w:style>
  <w:style w:type="table" w:styleId="TableGrid">
    <w:name w:val="Table Grid"/>
    <w:basedOn w:val="TableNormal"/>
    <w:uiPriority w:val="59"/>
    <w:rsid w:val="004C2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qFormat/>
    <w:rsid w:val="00C643A7"/>
    <w:pPr>
      <w:numPr>
        <w:numId w:val="18"/>
      </w:numPr>
      <w:suppressAutoHyphens/>
      <w:spacing w:before="120" w:after="60" w:line="280" w:lineRule="atLeast"/>
    </w:pPr>
    <w:rPr>
      <w:rFonts w:eastAsiaTheme="minorHAnsi" w:cs="Arial"/>
      <w:szCs w:val="22"/>
      <w:lang w:eastAsia="en-US"/>
    </w:rPr>
  </w:style>
  <w:style w:type="paragraph" w:customStyle="1" w:styleId="Bullet2">
    <w:name w:val="Bullet 2"/>
    <w:basedOn w:val="Normal"/>
    <w:qFormat/>
    <w:rsid w:val="00C643A7"/>
    <w:pPr>
      <w:numPr>
        <w:ilvl w:val="1"/>
        <w:numId w:val="18"/>
      </w:numPr>
      <w:suppressAutoHyphens/>
      <w:spacing w:before="120" w:after="60" w:line="280" w:lineRule="atLeast"/>
    </w:pPr>
    <w:rPr>
      <w:rFonts w:eastAsiaTheme="minorHAnsi" w:cs="Arial"/>
      <w:szCs w:val="22"/>
      <w:lang w:eastAsia="en-US"/>
    </w:rPr>
  </w:style>
  <w:style w:type="numbering" w:customStyle="1" w:styleId="BulletsList">
    <w:name w:val="Bullets List"/>
    <w:uiPriority w:val="99"/>
    <w:rsid w:val="00C643A7"/>
    <w:pPr>
      <w:numPr>
        <w:numId w:val="18"/>
      </w:numPr>
    </w:pPr>
  </w:style>
  <w:style w:type="paragraph" w:styleId="TOC6">
    <w:name w:val="toc 6"/>
    <w:basedOn w:val="Normal"/>
    <w:next w:val="Normal"/>
    <w:autoRedefine/>
    <w:uiPriority w:val="39"/>
    <w:unhideWhenUsed/>
    <w:rsid w:val="008146A3"/>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8146A3"/>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8146A3"/>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8146A3"/>
    <w:pPr>
      <w:spacing w:after="0"/>
      <w:ind w:left="1540"/>
    </w:pPr>
    <w:rPr>
      <w:rFonts w:asciiTheme="minorHAnsi" w:hAnsiTheme="minorHAnsi"/>
      <w:sz w:val="20"/>
      <w:szCs w:val="20"/>
    </w:rPr>
  </w:style>
  <w:style w:type="paragraph" w:styleId="Revision">
    <w:name w:val="Revision"/>
    <w:hidden/>
    <w:uiPriority w:val="99"/>
    <w:semiHidden/>
    <w:rsid w:val="00A14E01"/>
    <w:pPr>
      <w:spacing w:after="0" w:line="240" w:lineRule="auto"/>
    </w:pPr>
    <w:rPr>
      <w:rFonts w:ascii="Arial" w:eastAsiaTheme="minorEastAsia" w:hAnsi="Arial"/>
      <w:szCs w:val="24"/>
      <w:lang w:eastAsia="ja-JP"/>
    </w:rPr>
  </w:style>
  <w:style w:type="paragraph" w:styleId="EndnoteText">
    <w:name w:val="endnote text"/>
    <w:basedOn w:val="Normal"/>
    <w:link w:val="EndnoteTextChar"/>
    <w:uiPriority w:val="99"/>
    <w:semiHidden/>
    <w:unhideWhenUsed/>
    <w:rsid w:val="00C91C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1CDD"/>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C91CDD"/>
    <w:rPr>
      <w:vertAlign w:val="superscript"/>
    </w:rPr>
  </w:style>
  <w:style w:type="paragraph" w:styleId="FootnoteText">
    <w:name w:val="footnote text"/>
    <w:basedOn w:val="Normal"/>
    <w:link w:val="FootnoteTextChar"/>
    <w:uiPriority w:val="99"/>
    <w:semiHidden/>
    <w:unhideWhenUsed/>
    <w:rsid w:val="00C91C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CDD"/>
    <w:rPr>
      <w:rFonts w:ascii="Arial" w:eastAsiaTheme="minorEastAsia" w:hAnsi="Arial"/>
      <w:sz w:val="20"/>
      <w:szCs w:val="20"/>
      <w:lang w:eastAsia="ja-JP"/>
    </w:rPr>
  </w:style>
  <w:style w:type="character" w:styleId="FootnoteReference">
    <w:name w:val="footnote reference"/>
    <w:basedOn w:val="DefaultParagraphFont"/>
    <w:uiPriority w:val="99"/>
    <w:semiHidden/>
    <w:unhideWhenUsed/>
    <w:rsid w:val="00C91CDD"/>
    <w:rPr>
      <w:vertAlign w:val="superscript"/>
    </w:rPr>
  </w:style>
  <w:style w:type="character" w:styleId="FollowedHyperlink">
    <w:name w:val="FollowedHyperlink"/>
    <w:basedOn w:val="DefaultParagraphFont"/>
    <w:uiPriority w:val="99"/>
    <w:semiHidden/>
    <w:unhideWhenUsed/>
    <w:rsid w:val="0000610C"/>
    <w:rPr>
      <w:color w:val="800080" w:themeColor="followedHyperlink"/>
      <w:u w:val="single"/>
    </w:rPr>
  </w:style>
  <w:style w:type="table" w:styleId="GridTable1Light">
    <w:name w:val="Grid Table 1 Light"/>
    <w:basedOn w:val="TableNormal"/>
    <w:uiPriority w:val="46"/>
    <w:rsid w:val="003274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957">
      <w:bodyDiv w:val="1"/>
      <w:marLeft w:val="0"/>
      <w:marRight w:val="0"/>
      <w:marTop w:val="0"/>
      <w:marBottom w:val="0"/>
      <w:divBdr>
        <w:top w:val="none" w:sz="0" w:space="0" w:color="auto"/>
        <w:left w:val="none" w:sz="0" w:space="0" w:color="auto"/>
        <w:bottom w:val="none" w:sz="0" w:space="0" w:color="auto"/>
        <w:right w:val="none" w:sz="0" w:space="0" w:color="auto"/>
      </w:divBdr>
    </w:div>
    <w:div w:id="47655298">
      <w:bodyDiv w:val="1"/>
      <w:marLeft w:val="0"/>
      <w:marRight w:val="0"/>
      <w:marTop w:val="0"/>
      <w:marBottom w:val="0"/>
      <w:divBdr>
        <w:top w:val="none" w:sz="0" w:space="0" w:color="auto"/>
        <w:left w:val="none" w:sz="0" w:space="0" w:color="auto"/>
        <w:bottom w:val="none" w:sz="0" w:space="0" w:color="auto"/>
        <w:right w:val="none" w:sz="0" w:space="0" w:color="auto"/>
      </w:divBdr>
    </w:div>
    <w:div w:id="349644269">
      <w:bodyDiv w:val="1"/>
      <w:marLeft w:val="0"/>
      <w:marRight w:val="0"/>
      <w:marTop w:val="0"/>
      <w:marBottom w:val="0"/>
      <w:divBdr>
        <w:top w:val="none" w:sz="0" w:space="0" w:color="auto"/>
        <w:left w:val="none" w:sz="0" w:space="0" w:color="auto"/>
        <w:bottom w:val="none" w:sz="0" w:space="0" w:color="auto"/>
        <w:right w:val="none" w:sz="0" w:space="0" w:color="auto"/>
      </w:divBdr>
    </w:div>
    <w:div w:id="376706209">
      <w:bodyDiv w:val="1"/>
      <w:marLeft w:val="0"/>
      <w:marRight w:val="0"/>
      <w:marTop w:val="0"/>
      <w:marBottom w:val="0"/>
      <w:divBdr>
        <w:top w:val="none" w:sz="0" w:space="0" w:color="auto"/>
        <w:left w:val="none" w:sz="0" w:space="0" w:color="auto"/>
        <w:bottom w:val="none" w:sz="0" w:space="0" w:color="auto"/>
        <w:right w:val="none" w:sz="0" w:space="0" w:color="auto"/>
      </w:divBdr>
    </w:div>
    <w:div w:id="586694819">
      <w:bodyDiv w:val="1"/>
      <w:marLeft w:val="0"/>
      <w:marRight w:val="0"/>
      <w:marTop w:val="0"/>
      <w:marBottom w:val="0"/>
      <w:divBdr>
        <w:top w:val="none" w:sz="0" w:space="0" w:color="auto"/>
        <w:left w:val="none" w:sz="0" w:space="0" w:color="auto"/>
        <w:bottom w:val="none" w:sz="0" w:space="0" w:color="auto"/>
        <w:right w:val="none" w:sz="0" w:space="0" w:color="auto"/>
      </w:divBdr>
    </w:div>
    <w:div w:id="703988285">
      <w:bodyDiv w:val="1"/>
      <w:marLeft w:val="0"/>
      <w:marRight w:val="0"/>
      <w:marTop w:val="0"/>
      <w:marBottom w:val="0"/>
      <w:divBdr>
        <w:top w:val="none" w:sz="0" w:space="0" w:color="auto"/>
        <w:left w:val="none" w:sz="0" w:space="0" w:color="auto"/>
        <w:bottom w:val="none" w:sz="0" w:space="0" w:color="auto"/>
        <w:right w:val="none" w:sz="0" w:space="0" w:color="auto"/>
      </w:divBdr>
    </w:div>
    <w:div w:id="838546351">
      <w:bodyDiv w:val="1"/>
      <w:marLeft w:val="0"/>
      <w:marRight w:val="0"/>
      <w:marTop w:val="0"/>
      <w:marBottom w:val="0"/>
      <w:divBdr>
        <w:top w:val="none" w:sz="0" w:space="0" w:color="auto"/>
        <w:left w:val="none" w:sz="0" w:space="0" w:color="auto"/>
        <w:bottom w:val="none" w:sz="0" w:space="0" w:color="auto"/>
        <w:right w:val="none" w:sz="0" w:space="0" w:color="auto"/>
      </w:divBdr>
    </w:div>
    <w:div w:id="930284935">
      <w:bodyDiv w:val="1"/>
      <w:marLeft w:val="0"/>
      <w:marRight w:val="0"/>
      <w:marTop w:val="0"/>
      <w:marBottom w:val="0"/>
      <w:divBdr>
        <w:top w:val="none" w:sz="0" w:space="0" w:color="auto"/>
        <w:left w:val="none" w:sz="0" w:space="0" w:color="auto"/>
        <w:bottom w:val="none" w:sz="0" w:space="0" w:color="auto"/>
        <w:right w:val="none" w:sz="0" w:space="0" w:color="auto"/>
      </w:divBdr>
    </w:div>
    <w:div w:id="1115367253">
      <w:bodyDiv w:val="1"/>
      <w:marLeft w:val="0"/>
      <w:marRight w:val="0"/>
      <w:marTop w:val="0"/>
      <w:marBottom w:val="0"/>
      <w:divBdr>
        <w:top w:val="none" w:sz="0" w:space="0" w:color="auto"/>
        <w:left w:val="none" w:sz="0" w:space="0" w:color="auto"/>
        <w:bottom w:val="none" w:sz="0" w:space="0" w:color="auto"/>
        <w:right w:val="none" w:sz="0" w:space="0" w:color="auto"/>
      </w:divBdr>
    </w:div>
    <w:div w:id="1315571640">
      <w:bodyDiv w:val="1"/>
      <w:marLeft w:val="0"/>
      <w:marRight w:val="0"/>
      <w:marTop w:val="0"/>
      <w:marBottom w:val="0"/>
      <w:divBdr>
        <w:top w:val="none" w:sz="0" w:space="0" w:color="auto"/>
        <w:left w:val="none" w:sz="0" w:space="0" w:color="auto"/>
        <w:bottom w:val="none" w:sz="0" w:space="0" w:color="auto"/>
        <w:right w:val="none" w:sz="0" w:space="0" w:color="auto"/>
      </w:divBdr>
    </w:div>
    <w:div w:id="1512177860">
      <w:bodyDiv w:val="1"/>
      <w:marLeft w:val="0"/>
      <w:marRight w:val="0"/>
      <w:marTop w:val="0"/>
      <w:marBottom w:val="0"/>
      <w:divBdr>
        <w:top w:val="none" w:sz="0" w:space="0" w:color="auto"/>
        <w:left w:val="none" w:sz="0" w:space="0" w:color="auto"/>
        <w:bottom w:val="none" w:sz="0" w:space="0" w:color="auto"/>
        <w:right w:val="none" w:sz="0" w:space="0" w:color="auto"/>
      </w:divBdr>
    </w:div>
    <w:div w:id="2052732011">
      <w:bodyDiv w:val="1"/>
      <w:marLeft w:val="0"/>
      <w:marRight w:val="0"/>
      <w:marTop w:val="0"/>
      <w:marBottom w:val="0"/>
      <w:divBdr>
        <w:top w:val="none" w:sz="0" w:space="0" w:color="auto"/>
        <w:left w:val="none" w:sz="0" w:space="0" w:color="auto"/>
        <w:bottom w:val="none" w:sz="0" w:space="0" w:color="auto"/>
        <w:right w:val="none" w:sz="0" w:space="0" w:color="auto"/>
      </w:divBdr>
    </w:div>
    <w:div w:id="21092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www.ndis.gov.au/providers/price-guides-and-informatio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articipant.employment@ndis.gov.au" TargetMode="External"/><Relationship Id="rId7" Type="http://schemas.openxmlformats.org/officeDocument/2006/relationships/settings" Target="settings.xml"/><Relationship Id="rId12" Type="http://schemas.openxmlformats.org/officeDocument/2006/relationships/hyperlink" Target="mailto:participant.employment@ndis.gov.au" TargetMode="Externa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ndis.us17.list-manage.com/subscribe/post?u=5c7501f7b805c04081542f275&amp;id=141f5735d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dis.gov.au/providers/price-guides-and-information" TargetMode="Externa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s://www.ndis.gov.au/providers/price-guides-and-informa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dis.gov.au/understanding/supports-funded-ndis/supported-employ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www.ndis.gov.au/about-us/reference-group-updates/pricing-reference-group"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06C37A-A51D-4A10-BB3F-4C60526CDA56}" type="doc">
      <dgm:prSet loTypeId="urn:microsoft.com/office/officeart/2005/8/layout/matrix1" loCatId="matrix" qsTypeId="urn:microsoft.com/office/officeart/2005/8/quickstyle/simple1" qsCatId="simple" csTypeId="urn:microsoft.com/office/officeart/2005/8/colors/accent4_5" csCatId="accent4" phldr="1"/>
      <dgm:spPr/>
      <dgm:t>
        <a:bodyPr/>
        <a:lstStyle/>
        <a:p>
          <a:endParaRPr lang="en-US"/>
        </a:p>
      </dgm:t>
    </dgm:pt>
    <dgm:pt modelId="{5BFA9284-63DB-4AAC-9D8F-B572BABBBA17}">
      <dgm:prSet phldrT="[Text]"/>
      <dgm:spPr>
        <a:solidFill>
          <a:schemeClr val="accent5">
            <a:lumMod val="75000"/>
          </a:schemeClr>
        </a:solidFill>
      </dgm:spPr>
      <dgm:t>
        <a:bodyPr/>
        <a:lstStyle/>
        <a:p>
          <a:r>
            <a:rPr lang="en-US" b="1" dirty="0" smtClean="0">
              <a:solidFill>
                <a:schemeClr val="bg1"/>
              </a:solidFill>
            </a:rPr>
            <a:t>NDIS Employment Supports</a:t>
          </a:r>
          <a:endParaRPr lang="en-US" b="1" dirty="0">
            <a:solidFill>
              <a:schemeClr val="bg1"/>
            </a:solidFill>
          </a:endParaRPr>
        </a:p>
      </dgm:t>
    </dgm:pt>
    <dgm:pt modelId="{CC69E0F7-38A9-4717-AD0C-6F9F9FB2A447}" type="parTrans" cxnId="{8D3FE1DD-4225-4A7E-8A08-B57E85E8E616}">
      <dgm:prSet/>
      <dgm:spPr/>
      <dgm:t>
        <a:bodyPr/>
        <a:lstStyle/>
        <a:p>
          <a:endParaRPr lang="en-US"/>
        </a:p>
      </dgm:t>
    </dgm:pt>
    <dgm:pt modelId="{9CC41EE8-B406-408C-9F64-0FB5C45EA81E}" type="sibTrans" cxnId="{8D3FE1DD-4225-4A7E-8A08-B57E85E8E616}">
      <dgm:prSet/>
      <dgm:spPr/>
      <dgm:t>
        <a:bodyPr/>
        <a:lstStyle/>
        <a:p>
          <a:endParaRPr lang="en-US"/>
        </a:p>
      </dgm:t>
    </dgm:pt>
    <dgm:pt modelId="{F0383482-4F3C-4239-A125-22CA2CC4B699}">
      <dgm:prSet phldrT="[Text]"/>
      <dgm:spPr>
        <a:solidFill>
          <a:srgbClr val="6C2A77"/>
        </a:solidFill>
      </dgm:spPr>
      <dgm:t>
        <a:bodyPr/>
        <a:lstStyle/>
        <a:p>
          <a:r>
            <a:rPr lang="en-US" dirty="0" smtClean="0"/>
            <a:t>Individual or Group Based Assistance</a:t>
          </a:r>
          <a:endParaRPr lang="en-US" dirty="0"/>
        </a:p>
      </dgm:t>
    </dgm:pt>
    <dgm:pt modelId="{E9B2D0AD-6B1E-4080-BC65-C35A2EDC64FA}" type="parTrans" cxnId="{5BF8FAF7-D671-497C-8911-B748CBF77E65}">
      <dgm:prSet/>
      <dgm:spPr/>
      <dgm:t>
        <a:bodyPr/>
        <a:lstStyle/>
        <a:p>
          <a:endParaRPr lang="en-US"/>
        </a:p>
      </dgm:t>
    </dgm:pt>
    <dgm:pt modelId="{100849A0-AF04-4957-9086-5F45B0DEC763}" type="sibTrans" cxnId="{5BF8FAF7-D671-497C-8911-B748CBF77E65}">
      <dgm:prSet/>
      <dgm:spPr/>
      <dgm:t>
        <a:bodyPr/>
        <a:lstStyle/>
        <a:p>
          <a:endParaRPr lang="en-US"/>
        </a:p>
      </dgm:t>
    </dgm:pt>
    <dgm:pt modelId="{6805C923-BA52-47DD-8ECF-D7648C5A1C2D}">
      <dgm:prSet phldrT="[Text]"/>
      <dgm:spPr>
        <a:solidFill>
          <a:srgbClr val="6C2A77"/>
        </a:solidFill>
      </dgm:spPr>
      <dgm:t>
        <a:bodyPr/>
        <a:lstStyle/>
        <a:p>
          <a:r>
            <a:rPr lang="en-US" dirty="0" smtClean="0"/>
            <a:t>Employment Related Assessment + Counselling </a:t>
          </a:r>
          <a:endParaRPr lang="en-US" dirty="0"/>
        </a:p>
      </dgm:t>
    </dgm:pt>
    <dgm:pt modelId="{9D80D88C-CBD9-4264-AB96-245B277EB668}" type="parTrans" cxnId="{A35B2827-25BD-4FB0-9594-50F7E91F6035}">
      <dgm:prSet/>
      <dgm:spPr/>
      <dgm:t>
        <a:bodyPr/>
        <a:lstStyle/>
        <a:p>
          <a:endParaRPr lang="en-US"/>
        </a:p>
      </dgm:t>
    </dgm:pt>
    <dgm:pt modelId="{9D5F4ADA-8DD8-44D3-97CD-1970A544D332}" type="sibTrans" cxnId="{A35B2827-25BD-4FB0-9594-50F7E91F6035}">
      <dgm:prSet/>
      <dgm:spPr/>
      <dgm:t>
        <a:bodyPr/>
        <a:lstStyle/>
        <a:p>
          <a:endParaRPr lang="en-US"/>
        </a:p>
      </dgm:t>
    </dgm:pt>
    <dgm:pt modelId="{F6251972-FC67-4DA0-A7AF-615B97D65D02}">
      <dgm:prSet phldrT="[Text]"/>
      <dgm:spPr>
        <a:solidFill>
          <a:srgbClr val="6C2A77"/>
        </a:solidFill>
      </dgm:spPr>
      <dgm:t>
        <a:bodyPr/>
        <a:lstStyle/>
        <a:p>
          <a:pPr algn="ctr"/>
          <a:r>
            <a:rPr lang="en-US" dirty="0" smtClean="0"/>
            <a:t>School Leaver Employment Supports</a:t>
          </a:r>
          <a:endParaRPr lang="en-US" dirty="0"/>
        </a:p>
      </dgm:t>
    </dgm:pt>
    <dgm:pt modelId="{16BFD777-D192-479D-84C6-251BADA0E1EF}" type="parTrans" cxnId="{9D38BDBC-8E81-4631-ABEA-AF8DC191A548}">
      <dgm:prSet/>
      <dgm:spPr/>
      <dgm:t>
        <a:bodyPr/>
        <a:lstStyle/>
        <a:p>
          <a:endParaRPr lang="en-US"/>
        </a:p>
      </dgm:t>
    </dgm:pt>
    <dgm:pt modelId="{3D603C9B-39E5-4A22-8F8F-1B3E56DF2360}" type="sibTrans" cxnId="{9D38BDBC-8E81-4631-ABEA-AF8DC191A548}">
      <dgm:prSet/>
      <dgm:spPr/>
      <dgm:t>
        <a:bodyPr/>
        <a:lstStyle/>
        <a:p>
          <a:endParaRPr lang="en-US"/>
        </a:p>
      </dgm:t>
    </dgm:pt>
    <dgm:pt modelId="{33E2B840-9AD4-4F14-8E80-6A8ED336C92A}">
      <dgm:prSet phldrT="[Text]"/>
      <dgm:spPr>
        <a:solidFill>
          <a:schemeClr val="bg1"/>
        </a:solidFill>
        <a:ln>
          <a:solidFill>
            <a:srgbClr val="6C2A77"/>
          </a:solidFill>
        </a:ln>
        <a:effectLst>
          <a:outerShdw blurRad="50800" dist="38100" dir="2700000" algn="tl" rotWithShape="0">
            <a:prstClr val="black">
              <a:alpha val="40000"/>
            </a:prstClr>
          </a:outerShdw>
        </a:effectLst>
        <a:scene3d>
          <a:camera prst="orthographicFront"/>
          <a:lightRig rig="threePt" dir="t"/>
        </a:scene3d>
        <a:sp3d>
          <a:bevelB w="114300" h="114300"/>
        </a:sp3d>
      </dgm:spPr>
      <dgm:t>
        <a:bodyPr/>
        <a:lstStyle/>
        <a:p>
          <a:r>
            <a:rPr lang="en-US" dirty="0" smtClean="0">
              <a:solidFill>
                <a:srgbClr val="6C2A77"/>
              </a:solidFill>
            </a:rPr>
            <a:t>Supported Employment</a:t>
          </a:r>
          <a:endParaRPr lang="en-US" dirty="0">
            <a:solidFill>
              <a:srgbClr val="6C2A77"/>
            </a:solidFill>
          </a:endParaRPr>
        </a:p>
      </dgm:t>
    </dgm:pt>
    <dgm:pt modelId="{A91CAF16-D2D1-43EF-A652-4900D19EC7F0}" type="parTrans" cxnId="{F8FD480B-7EBA-4A80-B3AA-51D239E3567B}">
      <dgm:prSet/>
      <dgm:spPr/>
      <dgm:t>
        <a:bodyPr/>
        <a:lstStyle/>
        <a:p>
          <a:endParaRPr lang="en-US"/>
        </a:p>
      </dgm:t>
    </dgm:pt>
    <dgm:pt modelId="{FD6B8C08-207D-4666-8005-9669FD223ABA}" type="sibTrans" cxnId="{F8FD480B-7EBA-4A80-B3AA-51D239E3567B}">
      <dgm:prSet/>
      <dgm:spPr/>
      <dgm:t>
        <a:bodyPr/>
        <a:lstStyle/>
        <a:p>
          <a:endParaRPr lang="en-US"/>
        </a:p>
      </dgm:t>
    </dgm:pt>
    <dgm:pt modelId="{DAE82744-9424-4E33-B81E-113DFF13F7E7}" type="pres">
      <dgm:prSet presAssocID="{EC06C37A-A51D-4A10-BB3F-4C60526CDA56}" presName="diagram" presStyleCnt="0">
        <dgm:presLayoutVars>
          <dgm:chMax val="1"/>
          <dgm:dir/>
          <dgm:animLvl val="ctr"/>
          <dgm:resizeHandles val="exact"/>
        </dgm:presLayoutVars>
      </dgm:prSet>
      <dgm:spPr/>
      <dgm:t>
        <a:bodyPr/>
        <a:lstStyle/>
        <a:p>
          <a:endParaRPr lang="en-US"/>
        </a:p>
      </dgm:t>
    </dgm:pt>
    <dgm:pt modelId="{8C9D76E3-5F58-4D29-A3DD-388F65819755}" type="pres">
      <dgm:prSet presAssocID="{EC06C37A-A51D-4A10-BB3F-4C60526CDA56}" presName="matrix" presStyleCnt="0"/>
      <dgm:spPr/>
    </dgm:pt>
    <dgm:pt modelId="{0FD13367-DDB1-4FDE-9148-7B162F76E742}" type="pres">
      <dgm:prSet presAssocID="{EC06C37A-A51D-4A10-BB3F-4C60526CDA56}" presName="tile1" presStyleLbl="node1" presStyleIdx="0" presStyleCnt="4" custLinFactNeighborX="-455"/>
      <dgm:spPr/>
      <dgm:t>
        <a:bodyPr/>
        <a:lstStyle/>
        <a:p>
          <a:endParaRPr lang="en-US"/>
        </a:p>
      </dgm:t>
    </dgm:pt>
    <dgm:pt modelId="{843AA6EF-2825-43A8-A0E0-DE6D8432C33C}" type="pres">
      <dgm:prSet presAssocID="{EC06C37A-A51D-4A10-BB3F-4C60526CDA56}" presName="tile1text" presStyleLbl="node1" presStyleIdx="0" presStyleCnt="4">
        <dgm:presLayoutVars>
          <dgm:chMax val="0"/>
          <dgm:chPref val="0"/>
          <dgm:bulletEnabled val="1"/>
        </dgm:presLayoutVars>
      </dgm:prSet>
      <dgm:spPr/>
      <dgm:t>
        <a:bodyPr/>
        <a:lstStyle/>
        <a:p>
          <a:endParaRPr lang="en-US"/>
        </a:p>
      </dgm:t>
    </dgm:pt>
    <dgm:pt modelId="{606708BA-5C3B-48AA-AF99-143D2208FC67}" type="pres">
      <dgm:prSet presAssocID="{EC06C37A-A51D-4A10-BB3F-4C60526CDA56}" presName="tile2" presStyleLbl="node1" presStyleIdx="1" presStyleCnt="4"/>
      <dgm:spPr/>
      <dgm:t>
        <a:bodyPr/>
        <a:lstStyle/>
        <a:p>
          <a:endParaRPr lang="en-US"/>
        </a:p>
      </dgm:t>
    </dgm:pt>
    <dgm:pt modelId="{DF4715EF-E90D-4726-8F90-6AF8169C5B17}" type="pres">
      <dgm:prSet presAssocID="{EC06C37A-A51D-4A10-BB3F-4C60526CDA56}" presName="tile2text" presStyleLbl="node1" presStyleIdx="1" presStyleCnt="4">
        <dgm:presLayoutVars>
          <dgm:chMax val="0"/>
          <dgm:chPref val="0"/>
          <dgm:bulletEnabled val="1"/>
        </dgm:presLayoutVars>
      </dgm:prSet>
      <dgm:spPr/>
      <dgm:t>
        <a:bodyPr/>
        <a:lstStyle/>
        <a:p>
          <a:endParaRPr lang="en-US"/>
        </a:p>
      </dgm:t>
    </dgm:pt>
    <dgm:pt modelId="{BAEE5C97-0BE7-4537-99E9-5A9A863A082D}" type="pres">
      <dgm:prSet presAssocID="{EC06C37A-A51D-4A10-BB3F-4C60526CDA56}" presName="tile3" presStyleLbl="node1" presStyleIdx="2" presStyleCnt="4"/>
      <dgm:spPr/>
      <dgm:t>
        <a:bodyPr/>
        <a:lstStyle/>
        <a:p>
          <a:endParaRPr lang="en-US"/>
        </a:p>
      </dgm:t>
    </dgm:pt>
    <dgm:pt modelId="{021CE9F6-1CC2-4C59-A9AC-25E1B5A12D72}" type="pres">
      <dgm:prSet presAssocID="{EC06C37A-A51D-4A10-BB3F-4C60526CDA56}" presName="tile3text" presStyleLbl="node1" presStyleIdx="2" presStyleCnt="4">
        <dgm:presLayoutVars>
          <dgm:chMax val="0"/>
          <dgm:chPref val="0"/>
          <dgm:bulletEnabled val="1"/>
        </dgm:presLayoutVars>
      </dgm:prSet>
      <dgm:spPr/>
      <dgm:t>
        <a:bodyPr/>
        <a:lstStyle/>
        <a:p>
          <a:endParaRPr lang="en-US"/>
        </a:p>
      </dgm:t>
    </dgm:pt>
    <dgm:pt modelId="{7F723EAB-9553-4095-A430-67DE241EE24B}" type="pres">
      <dgm:prSet presAssocID="{EC06C37A-A51D-4A10-BB3F-4C60526CDA56}" presName="tile4" presStyleLbl="node1" presStyleIdx="3" presStyleCnt="4"/>
      <dgm:spPr/>
      <dgm:t>
        <a:bodyPr/>
        <a:lstStyle/>
        <a:p>
          <a:endParaRPr lang="en-US"/>
        </a:p>
      </dgm:t>
    </dgm:pt>
    <dgm:pt modelId="{C6CD33E4-707E-4434-AC21-59847F67A045}" type="pres">
      <dgm:prSet presAssocID="{EC06C37A-A51D-4A10-BB3F-4C60526CDA56}" presName="tile4text" presStyleLbl="node1" presStyleIdx="3" presStyleCnt="4">
        <dgm:presLayoutVars>
          <dgm:chMax val="0"/>
          <dgm:chPref val="0"/>
          <dgm:bulletEnabled val="1"/>
        </dgm:presLayoutVars>
      </dgm:prSet>
      <dgm:spPr/>
      <dgm:t>
        <a:bodyPr/>
        <a:lstStyle/>
        <a:p>
          <a:endParaRPr lang="en-US"/>
        </a:p>
      </dgm:t>
    </dgm:pt>
    <dgm:pt modelId="{844EE551-6E1D-4814-8540-C8518C066923}" type="pres">
      <dgm:prSet presAssocID="{EC06C37A-A51D-4A10-BB3F-4C60526CDA56}" presName="centerTile" presStyleLbl="fgShp" presStyleIdx="0" presStyleCnt="1" custScaleX="156322" custScaleY="116379">
        <dgm:presLayoutVars>
          <dgm:chMax val="0"/>
          <dgm:chPref val="0"/>
        </dgm:presLayoutVars>
      </dgm:prSet>
      <dgm:spPr/>
      <dgm:t>
        <a:bodyPr/>
        <a:lstStyle/>
        <a:p>
          <a:endParaRPr lang="en-US"/>
        </a:p>
      </dgm:t>
    </dgm:pt>
  </dgm:ptLst>
  <dgm:cxnLst>
    <dgm:cxn modelId="{A35B2827-25BD-4FB0-9594-50F7E91F6035}" srcId="{5BFA9284-63DB-4AAC-9D8F-B572BABBBA17}" destId="{6805C923-BA52-47DD-8ECF-D7648C5A1C2D}" srcOrd="1" destOrd="0" parTransId="{9D80D88C-CBD9-4264-AB96-245B277EB668}" sibTransId="{9D5F4ADA-8DD8-44D3-97CD-1970A544D332}"/>
    <dgm:cxn modelId="{4F274277-4948-4621-AB62-CF11DAD93DAE}" type="presOf" srcId="{6805C923-BA52-47DD-8ECF-D7648C5A1C2D}" destId="{DF4715EF-E90D-4726-8F90-6AF8169C5B17}" srcOrd="1" destOrd="0" presId="urn:microsoft.com/office/officeart/2005/8/layout/matrix1"/>
    <dgm:cxn modelId="{C8533934-E0AD-4152-9393-4605A53CBDDB}" type="presOf" srcId="{F0383482-4F3C-4239-A125-22CA2CC4B699}" destId="{843AA6EF-2825-43A8-A0E0-DE6D8432C33C}" srcOrd="1" destOrd="0" presId="urn:microsoft.com/office/officeart/2005/8/layout/matrix1"/>
    <dgm:cxn modelId="{5D8C5A66-E30D-429C-99C3-6BCBF09A1CD0}" type="presOf" srcId="{F6251972-FC67-4DA0-A7AF-615B97D65D02}" destId="{BAEE5C97-0BE7-4537-99E9-5A9A863A082D}" srcOrd="0" destOrd="0" presId="urn:microsoft.com/office/officeart/2005/8/layout/matrix1"/>
    <dgm:cxn modelId="{F8FD480B-7EBA-4A80-B3AA-51D239E3567B}" srcId="{5BFA9284-63DB-4AAC-9D8F-B572BABBBA17}" destId="{33E2B840-9AD4-4F14-8E80-6A8ED336C92A}" srcOrd="3" destOrd="0" parTransId="{A91CAF16-D2D1-43EF-A652-4900D19EC7F0}" sibTransId="{FD6B8C08-207D-4666-8005-9669FD223ABA}"/>
    <dgm:cxn modelId="{47657FE4-5725-418B-9F20-EDD32921F954}" type="presOf" srcId="{33E2B840-9AD4-4F14-8E80-6A8ED336C92A}" destId="{C6CD33E4-707E-4434-AC21-59847F67A045}" srcOrd="1" destOrd="0" presId="urn:microsoft.com/office/officeart/2005/8/layout/matrix1"/>
    <dgm:cxn modelId="{9D38BDBC-8E81-4631-ABEA-AF8DC191A548}" srcId="{5BFA9284-63DB-4AAC-9D8F-B572BABBBA17}" destId="{F6251972-FC67-4DA0-A7AF-615B97D65D02}" srcOrd="2" destOrd="0" parTransId="{16BFD777-D192-479D-84C6-251BADA0E1EF}" sibTransId="{3D603C9B-39E5-4A22-8F8F-1B3E56DF2360}"/>
    <dgm:cxn modelId="{5BF8FAF7-D671-497C-8911-B748CBF77E65}" srcId="{5BFA9284-63DB-4AAC-9D8F-B572BABBBA17}" destId="{F0383482-4F3C-4239-A125-22CA2CC4B699}" srcOrd="0" destOrd="0" parTransId="{E9B2D0AD-6B1E-4080-BC65-C35A2EDC64FA}" sibTransId="{100849A0-AF04-4957-9086-5F45B0DEC763}"/>
    <dgm:cxn modelId="{4ABE0740-94AA-405C-9885-B6AC55E96FE2}" type="presOf" srcId="{EC06C37A-A51D-4A10-BB3F-4C60526CDA56}" destId="{DAE82744-9424-4E33-B81E-113DFF13F7E7}" srcOrd="0" destOrd="0" presId="urn:microsoft.com/office/officeart/2005/8/layout/matrix1"/>
    <dgm:cxn modelId="{A1472C38-3F16-4BDF-9D44-2DD86C2316DD}" type="presOf" srcId="{33E2B840-9AD4-4F14-8E80-6A8ED336C92A}" destId="{7F723EAB-9553-4095-A430-67DE241EE24B}" srcOrd="0" destOrd="0" presId="urn:microsoft.com/office/officeart/2005/8/layout/matrix1"/>
    <dgm:cxn modelId="{EF92AE80-8117-4D71-9721-6F7FAA095F1D}" type="presOf" srcId="{F6251972-FC67-4DA0-A7AF-615B97D65D02}" destId="{021CE9F6-1CC2-4C59-A9AC-25E1B5A12D72}" srcOrd="1" destOrd="0" presId="urn:microsoft.com/office/officeart/2005/8/layout/matrix1"/>
    <dgm:cxn modelId="{C68832C7-8E10-44E2-93DA-2C4A7A484123}" type="presOf" srcId="{6805C923-BA52-47DD-8ECF-D7648C5A1C2D}" destId="{606708BA-5C3B-48AA-AF99-143D2208FC67}" srcOrd="0" destOrd="0" presId="urn:microsoft.com/office/officeart/2005/8/layout/matrix1"/>
    <dgm:cxn modelId="{1ABD09A1-22F2-4B24-B5FE-E5D7CCC5C123}" type="presOf" srcId="{F0383482-4F3C-4239-A125-22CA2CC4B699}" destId="{0FD13367-DDB1-4FDE-9148-7B162F76E742}" srcOrd="0" destOrd="0" presId="urn:microsoft.com/office/officeart/2005/8/layout/matrix1"/>
    <dgm:cxn modelId="{8D3FE1DD-4225-4A7E-8A08-B57E85E8E616}" srcId="{EC06C37A-A51D-4A10-BB3F-4C60526CDA56}" destId="{5BFA9284-63DB-4AAC-9D8F-B572BABBBA17}" srcOrd="0" destOrd="0" parTransId="{CC69E0F7-38A9-4717-AD0C-6F9F9FB2A447}" sibTransId="{9CC41EE8-B406-408C-9F64-0FB5C45EA81E}"/>
    <dgm:cxn modelId="{52FF996F-E0F5-43C3-ACF5-73E5BF9A048D}" type="presOf" srcId="{5BFA9284-63DB-4AAC-9D8F-B572BABBBA17}" destId="{844EE551-6E1D-4814-8540-C8518C066923}" srcOrd="0" destOrd="0" presId="urn:microsoft.com/office/officeart/2005/8/layout/matrix1"/>
    <dgm:cxn modelId="{11C32DDA-F4F2-41A5-90D5-FB538D18161A}" type="presParOf" srcId="{DAE82744-9424-4E33-B81E-113DFF13F7E7}" destId="{8C9D76E3-5F58-4D29-A3DD-388F65819755}" srcOrd="0" destOrd="0" presId="urn:microsoft.com/office/officeart/2005/8/layout/matrix1"/>
    <dgm:cxn modelId="{93F77CCC-04D6-42A9-80F6-AD0C17E71966}" type="presParOf" srcId="{8C9D76E3-5F58-4D29-A3DD-388F65819755}" destId="{0FD13367-DDB1-4FDE-9148-7B162F76E742}" srcOrd="0" destOrd="0" presId="urn:microsoft.com/office/officeart/2005/8/layout/matrix1"/>
    <dgm:cxn modelId="{730A1DF1-5DAB-4B87-9CF4-DE8C88527EE7}" type="presParOf" srcId="{8C9D76E3-5F58-4D29-A3DD-388F65819755}" destId="{843AA6EF-2825-43A8-A0E0-DE6D8432C33C}" srcOrd="1" destOrd="0" presId="urn:microsoft.com/office/officeart/2005/8/layout/matrix1"/>
    <dgm:cxn modelId="{719FEAA8-2E8D-4113-ABD7-9DED292FABA7}" type="presParOf" srcId="{8C9D76E3-5F58-4D29-A3DD-388F65819755}" destId="{606708BA-5C3B-48AA-AF99-143D2208FC67}" srcOrd="2" destOrd="0" presId="urn:microsoft.com/office/officeart/2005/8/layout/matrix1"/>
    <dgm:cxn modelId="{6DD5C5D4-82C6-47B8-9982-8B81F98FF46B}" type="presParOf" srcId="{8C9D76E3-5F58-4D29-A3DD-388F65819755}" destId="{DF4715EF-E90D-4726-8F90-6AF8169C5B17}" srcOrd="3" destOrd="0" presId="urn:microsoft.com/office/officeart/2005/8/layout/matrix1"/>
    <dgm:cxn modelId="{F23FBCE9-833B-44EC-B166-71468C079261}" type="presParOf" srcId="{8C9D76E3-5F58-4D29-A3DD-388F65819755}" destId="{BAEE5C97-0BE7-4537-99E9-5A9A863A082D}" srcOrd="4" destOrd="0" presId="urn:microsoft.com/office/officeart/2005/8/layout/matrix1"/>
    <dgm:cxn modelId="{FB1F4C44-E766-4CD2-9E94-8C607350A57A}" type="presParOf" srcId="{8C9D76E3-5F58-4D29-A3DD-388F65819755}" destId="{021CE9F6-1CC2-4C59-A9AC-25E1B5A12D72}" srcOrd="5" destOrd="0" presId="urn:microsoft.com/office/officeart/2005/8/layout/matrix1"/>
    <dgm:cxn modelId="{927DB26D-8749-4440-8CF0-07AFCCBD4A8D}" type="presParOf" srcId="{8C9D76E3-5F58-4D29-A3DD-388F65819755}" destId="{7F723EAB-9553-4095-A430-67DE241EE24B}" srcOrd="6" destOrd="0" presId="urn:microsoft.com/office/officeart/2005/8/layout/matrix1"/>
    <dgm:cxn modelId="{7E76265F-613A-45DE-AB32-845A8C4181BC}" type="presParOf" srcId="{8C9D76E3-5F58-4D29-A3DD-388F65819755}" destId="{C6CD33E4-707E-4434-AC21-59847F67A045}" srcOrd="7" destOrd="0" presId="urn:microsoft.com/office/officeart/2005/8/layout/matrix1"/>
    <dgm:cxn modelId="{3500E7F4-E414-4EA1-9128-69510BDF6604}" type="presParOf" srcId="{DAE82744-9424-4E33-B81E-113DFF13F7E7}" destId="{844EE551-6E1D-4814-8540-C8518C066923}" srcOrd="1" destOrd="0" presId="urn:microsoft.com/office/officeart/2005/8/layout/matrix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D13367-DDB1-4FDE-9148-7B162F76E742}">
      <dsp:nvSpPr>
        <dsp:cNvPr id="0" name=""/>
        <dsp:cNvSpPr/>
      </dsp:nvSpPr>
      <dsp:spPr>
        <a:xfrm rot="16200000">
          <a:off x="661307" y="-661307"/>
          <a:ext cx="908957" cy="2231571"/>
        </a:xfrm>
        <a:prstGeom prst="round1Rect">
          <a:avLst/>
        </a:prstGeom>
        <a:solidFill>
          <a:srgbClr val="6C2A7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dirty="0" smtClean="0"/>
            <a:t>Individual or Group Based Assistance</a:t>
          </a:r>
          <a:endParaRPr lang="en-US" sz="1300" kern="1200" dirty="0"/>
        </a:p>
      </dsp:txBody>
      <dsp:txXfrm rot="5400000">
        <a:off x="-1" y="1"/>
        <a:ext cx="2231571" cy="681717"/>
      </dsp:txXfrm>
    </dsp:sp>
    <dsp:sp modelId="{606708BA-5C3B-48AA-AF99-143D2208FC67}">
      <dsp:nvSpPr>
        <dsp:cNvPr id="0" name=""/>
        <dsp:cNvSpPr/>
      </dsp:nvSpPr>
      <dsp:spPr>
        <a:xfrm>
          <a:off x="2231571" y="0"/>
          <a:ext cx="2231571" cy="908957"/>
        </a:xfrm>
        <a:prstGeom prst="round1Rect">
          <a:avLst/>
        </a:prstGeom>
        <a:solidFill>
          <a:srgbClr val="6C2A7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dirty="0" smtClean="0"/>
            <a:t>Employment Related Assessment + Counselling </a:t>
          </a:r>
          <a:endParaRPr lang="en-US" sz="1300" kern="1200" dirty="0"/>
        </a:p>
      </dsp:txBody>
      <dsp:txXfrm>
        <a:off x="2231571" y="0"/>
        <a:ext cx="2231571" cy="681717"/>
      </dsp:txXfrm>
    </dsp:sp>
    <dsp:sp modelId="{BAEE5C97-0BE7-4537-99E9-5A9A863A082D}">
      <dsp:nvSpPr>
        <dsp:cNvPr id="0" name=""/>
        <dsp:cNvSpPr/>
      </dsp:nvSpPr>
      <dsp:spPr>
        <a:xfrm rot="10800000">
          <a:off x="0" y="908957"/>
          <a:ext cx="2231571" cy="908957"/>
        </a:xfrm>
        <a:prstGeom prst="round1Rect">
          <a:avLst/>
        </a:prstGeom>
        <a:solidFill>
          <a:srgbClr val="6C2A7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dirty="0" smtClean="0"/>
            <a:t>School Leaver Employment Supports</a:t>
          </a:r>
          <a:endParaRPr lang="en-US" sz="1300" kern="1200" dirty="0"/>
        </a:p>
      </dsp:txBody>
      <dsp:txXfrm rot="10800000">
        <a:off x="0" y="1136196"/>
        <a:ext cx="2231571" cy="681717"/>
      </dsp:txXfrm>
    </dsp:sp>
    <dsp:sp modelId="{7F723EAB-9553-4095-A430-67DE241EE24B}">
      <dsp:nvSpPr>
        <dsp:cNvPr id="0" name=""/>
        <dsp:cNvSpPr/>
      </dsp:nvSpPr>
      <dsp:spPr>
        <a:xfrm rot="5400000">
          <a:off x="2892878" y="247649"/>
          <a:ext cx="908957" cy="2231571"/>
        </a:xfrm>
        <a:prstGeom prst="round1Rect">
          <a:avLst/>
        </a:prstGeom>
        <a:solidFill>
          <a:schemeClr val="bg1"/>
        </a:solidFill>
        <a:ln w="25400" cap="flat" cmpd="sng" algn="ctr">
          <a:solidFill>
            <a:srgbClr val="6C2A77"/>
          </a:solidFill>
          <a:prstDash val="solid"/>
        </a:ln>
        <a:effectLst>
          <a:outerShdw blurRad="50800" dist="38100" dir="2700000" algn="tl" rotWithShape="0">
            <a:prstClr val="black">
              <a:alpha val="40000"/>
            </a:prstClr>
          </a:outerShdw>
        </a:effectLst>
        <a:scene3d>
          <a:camera prst="orthographicFront"/>
          <a:lightRig rig="threePt" dir="t"/>
        </a:scene3d>
        <a:sp3d>
          <a:bevelB w="114300" h="114300"/>
        </a:sp3d>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dirty="0" smtClean="0">
              <a:solidFill>
                <a:srgbClr val="6C2A77"/>
              </a:solidFill>
            </a:rPr>
            <a:t>Supported Employment</a:t>
          </a:r>
          <a:endParaRPr lang="en-US" sz="1300" kern="1200" dirty="0">
            <a:solidFill>
              <a:srgbClr val="6C2A77"/>
            </a:solidFill>
          </a:endParaRPr>
        </a:p>
      </dsp:txBody>
      <dsp:txXfrm rot="-5400000">
        <a:off x="2231571" y="1136196"/>
        <a:ext cx="2231571" cy="681717"/>
      </dsp:txXfrm>
    </dsp:sp>
    <dsp:sp modelId="{844EE551-6E1D-4814-8540-C8518C066923}">
      <dsp:nvSpPr>
        <dsp:cNvPr id="0" name=""/>
        <dsp:cNvSpPr/>
      </dsp:nvSpPr>
      <dsp:spPr>
        <a:xfrm>
          <a:off x="1185040" y="644498"/>
          <a:ext cx="2093062" cy="528917"/>
        </a:xfrm>
        <a:prstGeom prst="round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dirty="0" smtClean="0">
              <a:solidFill>
                <a:schemeClr val="bg1"/>
              </a:solidFill>
            </a:rPr>
            <a:t>NDIS Employment Supports</a:t>
          </a:r>
          <a:endParaRPr lang="en-US" sz="1300" b="1" kern="1200" dirty="0">
            <a:solidFill>
              <a:schemeClr val="bg1"/>
            </a:solidFill>
          </a:endParaRPr>
        </a:p>
      </dsp:txBody>
      <dsp:txXfrm>
        <a:off x="1210860" y="670318"/>
        <a:ext cx="2041422" cy="477277"/>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EA28-CA2E-4B2C-9717-07C251FF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 ds:uri="http://schemas.microsoft.com/sharepoint/v3"/>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0D51C40A-B077-4D6A-BDD0-58D3A1FA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4832</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Judd, Kate</cp:lastModifiedBy>
  <cp:revision>2</cp:revision>
  <cp:lastPrinted>2019-11-14T03:36:00Z</cp:lastPrinted>
  <dcterms:created xsi:type="dcterms:W3CDTF">2019-11-19T05:47:00Z</dcterms:created>
  <dcterms:modified xsi:type="dcterms:W3CDTF">2019-11-19T05:47:00Z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