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CB" w:rsidRPr="00F13632" w:rsidRDefault="00506ECB" w:rsidP="000737C7">
      <w:pPr>
        <w:pStyle w:val="Title"/>
        <w:rPr>
          <w:sz w:val="80"/>
          <w:szCs w:val="80"/>
        </w:rPr>
      </w:pPr>
      <w:r w:rsidRPr="00633370">
        <w:rPr>
          <w:rFonts w:cs="Arial"/>
          <w:b w:val="0"/>
          <w:noProof/>
          <w:color w:val="FFFFFF" w:themeColor="background1"/>
          <w:sz w:val="32"/>
          <w:szCs w:val="32"/>
          <w:lang w:val="en-AU" w:eastAsia="en-AU"/>
        </w:rPr>
        <w:drawing>
          <wp:inline distT="0" distB="0" distL="0" distR="0" wp14:anchorId="06F0679E" wp14:editId="4FC3CE6C">
            <wp:extent cx="2520000" cy="830508"/>
            <wp:effectExtent l="0" t="0" r="0" b="8255"/>
            <wp:docPr id="9" name="Picture 9" descr="National Disability Insuran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A-logo-colour.jpg"/>
                    <pic:cNvPicPr/>
                  </pic:nvPicPr>
                  <pic:blipFill>
                    <a:blip r:embed="rId12" cstate="email">
                      <a:extLst>
                        <a:ext uri="{28A0092B-C50C-407E-A947-70E740481C1C}">
                          <a14:useLocalDpi xmlns:a14="http://schemas.microsoft.com/office/drawing/2010/main"/>
                        </a:ext>
                      </a:extLst>
                    </a:blip>
                    <a:stretch>
                      <a:fillRect/>
                    </a:stretch>
                  </pic:blipFill>
                  <pic:spPr>
                    <a:xfrm>
                      <a:off x="0" y="0"/>
                      <a:ext cx="2520000" cy="830508"/>
                    </a:xfrm>
                    <a:prstGeom prst="rect">
                      <a:avLst/>
                    </a:prstGeom>
                  </pic:spPr>
                </pic:pic>
              </a:graphicData>
            </a:graphic>
          </wp:inline>
        </w:drawing>
      </w:r>
    </w:p>
    <w:p w:rsidR="00506ECB" w:rsidRPr="00B00CEF" w:rsidRDefault="00506ECB" w:rsidP="000737C7">
      <w:pPr>
        <w:pStyle w:val="Title"/>
        <w:rPr>
          <w:sz w:val="80"/>
          <w:szCs w:val="80"/>
        </w:rPr>
      </w:pPr>
    </w:p>
    <w:p w:rsidR="000737C7" w:rsidRPr="00823315" w:rsidRDefault="00440CCA" w:rsidP="000737C7">
      <w:pPr>
        <w:pStyle w:val="Title"/>
        <w:rPr>
          <w:sz w:val="80"/>
          <w:szCs w:val="80"/>
        </w:rPr>
      </w:pPr>
      <w:r w:rsidRPr="003C18F2">
        <w:rPr>
          <w:sz w:val="80"/>
          <w:szCs w:val="80"/>
        </w:rPr>
        <w:t>Assistive Technology Strategy</w:t>
      </w:r>
    </w:p>
    <w:p w:rsidR="005A6B0C" w:rsidRPr="0053477B" w:rsidRDefault="005A6B0C" w:rsidP="000737C7"/>
    <w:p w:rsidR="005A6B0C" w:rsidRPr="0053477B" w:rsidRDefault="005A6B0C" w:rsidP="000737C7">
      <w:pPr>
        <w:rPr>
          <w:i/>
        </w:rPr>
      </w:pPr>
    </w:p>
    <w:p w:rsidR="00506ECB" w:rsidRPr="007C488D" w:rsidRDefault="000329D1">
      <w:pPr>
        <w:spacing w:before="0" w:after="0"/>
        <w:rPr>
          <w:b/>
          <w:color w:val="17365D" w:themeColor="text2" w:themeShade="BF"/>
          <w:sz w:val="32"/>
          <w:szCs w:val="32"/>
        </w:rPr>
      </w:pPr>
      <w:r>
        <w:rPr>
          <w:b/>
          <w:color w:val="17365D" w:themeColor="text2" w:themeShade="BF"/>
          <w:sz w:val="32"/>
          <w:szCs w:val="32"/>
        </w:rPr>
        <w:t>October</w:t>
      </w:r>
      <w:r w:rsidRPr="007C488D">
        <w:rPr>
          <w:b/>
          <w:color w:val="17365D" w:themeColor="text2" w:themeShade="BF"/>
          <w:sz w:val="32"/>
          <w:szCs w:val="32"/>
        </w:rPr>
        <w:t xml:space="preserve"> </w:t>
      </w:r>
      <w:r w:rsidR="007B7F09" w:rsidRPr="007C488D">
        <w:rPr>
          <w:b/>
          <w:color w:val="17365D" w:themeColor="text2" w:themeShade="BF"/>
          <w:sz w:val="32"/>
          <w:szCs w:val="32"/>
        </w:rPr>
        <w:t>2015</w:t>
      </w: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506ECB" w:rsidRPr="007C488D" w:rsidRDefault="00506ECB">
      <w:pPr>
        <w:spacing w:before="0" w:after="0"/>
        <w:rPr>
          <w:b/>
          <w:color w:val="17365D" w:themeColor="text2" w:themeShade="BF"/>
          <w:sz w:val="32"/>
          <w:szCs w:val="32"/>
        </w:rPr>
      </w:pPr>
    </w:p>
    <w:p w:rsidR="00EF023D" w:rsidRPr="00633370" w:rsidRDefault="00EF023D" w:rsidP="00B04D3D">
      <w:pPr>
        <w:spacing w:before="0" w:after="0"/>
        <w:rPr>
          <w:b/>
          <w:color w:val="7030A0"/>
          <w:sz w:val="32"/>
          <w:szCs w:val="32"/>
        </w:rPr>
        <w:sectPr w:rsidR="00EF023D" w:rsidRPr="00633370" w:rsidSect="002C5149">
          <w:footerReference w:type="default" r:id="rId13"/>
          <w:type w:val="continuous"/>
          <w:pgSz w:w="11906" w:h="16838"/>
          <w:pgMar w:top="1440" w:right="1440" w:bottom="1440" w:left="1440" w:header="708" w:footer="708" w:gutter="0"/>
          <w:cols w:space="708"/>
          <w:docGrid w:linePitch="360"/>
        </w:sectPr>
      </w:pPr>
    </w:p>
    <w:p w:rsidR="00D31EA6" w:rsidRDefault="00403795" w:rsidP="00B04D3D">
      <w:pPr>
        <w:spacing w:before="0" w:after="0"/>
        <w:rPr>
          <w:b/>
          <w:color w:val="7030A0"/>
          <w:sz w:val="32"/>
          <w:szCs w:val="32"/>
        </w:rPr>
      </w:pPr>
      <w:r w:rsidRPr="00633370">
        <w:rPr>
          <w:b/>
          <w:color w:val="7030A0"/>
          <w:sz w:val="32"/>
          <w:szCs w:val="32"/>
        </w:rPr>
        <w:lastRenderedPageBreak/>
        <w:t>Contents</w:t>
      </w:r>
    </w:p>
    <w:p w:rsidR="00093757" w:rsidRPr="00633370" w:rsidRDefault="00093757" w:rsidP="00B04D3D">
      <w:pPr>
        <w:spacing w:before="0" w:after="0"/>
        <w:rPr>
          <w:b/>
          <w:color w:val="7030A0"/>
          <w:sz w:val="32"/>
          <w:szCs w:val="32"/>
        </w:rPr>
      </w:pPr>
    </w:p>
    <w:p w:rsidR="007B2B0A" w:rsidRDefault="00D77382">
      <w:pPr>
        <w:pStyle w:val="TOC1"/>
        <w:rPr>
          <w:rFonts w:asciiTheme="minorHAnsi" w:eastAsiaTheme="minorEastAsia" w:hAnsiTheme="minorHAnsi" w:cstheme="minorBidi"/>
          <w:noProof/>
          <w:spacing w:val="0"/>
          <w:sz w:val="22"/>
          <w:szCs w:val="22"/>
          <w:lang w:val="en-AU" w:eastAsia="en-AU"/>
        </w:rPr>
      </w:pPr>
      <w:r w:rsidRPr="00DD7073">
        <w:fldChar w:fldCharType="begin"/>
      </w:r>
      <w:r w:rsidR="00403795" w:rsidRPr="00633370">
        <w:instrText xml:space="preserve"> TOC \o "1-3" \h \z \u </w:instrText>
      </w:r>
      <w:r w:rsidRPr="00DD7073">
        <w:fldChar w:fldCharType="separate"/>
      </w:r>
      <w:hyperlink w:anchor="_Toc432683862" w:history="1">
        <w:r w:rsidR="007B2B0A" w:rsidRPr="00367E92">
          <w:rPr>
            <w:rStyle w:val="Hyperlink"/>
            <w:noProof/>
          </w:rPr>
          <w:t>Executive summary</w:t>
        </w:r>
        <w:r w:rsidR="007B2B0A">
          <w:rPr>
            <w:noProof/>
            <w:webHidden/>
          </w:rPr>
          <w:tab/>
        </w:r>
        <w:r w:rsidR="007B2B0A">
          <w:rPr>
            <w:noProof/>
            <w:webHidden/>
          </w:rPr>
          <w:fldChar w:fldCharType="begin"/>
        </w:r>
        <w:r w:rsidR="007B2B0A">
          <w:rPr>
            <w:noProof/>
            <w:webHidden/>
          </w:rPr>
          <w:instrText xml:space="preserve"> PAGEREF _Toc432683862 \h </w:instrText>
        </w:r>
        <w:r w:rsidR="007B2B0A">
          <w:rPr>
            <w:noProof/>
            <w:webHidden/>
          </w:rPr>
        </w:r>
        <w:r w:rsidR="007B2B0A">
          <w:rPr>
            <w:noProof/>
            <w:webHidden/>
          </w:rPr>
          <w:fldChar w:fldCharType="separate"/>
        </w:r>
        <w:r w:rsidR="007B2B0A">
          <w:rPr>
            <w:noProof/>
            <w:webHidden/>
          </w:rPr>
          <w:t>3</w:t>
        </w:r>
        <w:r w:rsidR="007B2B0A">
          <w:rPr>
            <w:noProof/>
            <w:webHidden/>
          </w:rPr>
          <w:fldChar w:fldCharType="end"/>
        </w:r>
      </w:hyperlink>
    </w:p>
    <w:p w:rsidR="007B2B0A" w:rsidRDefault="00FA7094">
      <w:pPr>
        <w:pStyle w:val="TOC1"/>
        <w:tabs>
          <w:tab w:val="left" w:pos="400"/>
        </w:tabs>
        <w:rPr>
          <w:rFonts w:asciiTheme="minorHAnsi" w:eastAsiaTheme="minorEastAsia" w:hAnsiTheme="minorHAnsi" w:cstheme="minorBidi"/>
          <w:noProof/>
          <w:spacing w:val="0"/>
          <w:sz w:val="22"/>
          <w:szCs w:val="22"/>
          <w:lang w:val="en-AU" w:eastAsia="en-AU"/>
        </w:rPr>
      </w:pPr>
      <w:hyperlink w:anchor="_Toc432683863" w:history="1">
        <w:r w:rsidR="007B2B0A" w:rsidRPr="00367E92">
          <w:rPr>
            <w:rStyle w:val="Hyperlink"/>
            <w:noProof/>
          </w:rPr>
          <w:t>1.</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Introduction</w:t>
        </w:r>
        <w:r w:rsidR="007B2B0A">
          <w:rPr>
            <w:noProof/>
            <w:webHidden/>
          </w:rPr>
          <w:tab/>
        </w:r>
        <w:r w:rsidR="007B2B0A">
          <w:rPr>
            <w:noProof/>
            <w:webHidden/>
          </w:rPr>
          <w:fldChar w:fldCharType="begin"/>
        </w:r>
        <w:r w:rsidR="007B2B0A">
          <w:rPr>
            <w:noProof/>
            <w:webHidden/>
          </w:rPr>
          <w:instrText xml:space="preserve"> PAGEREF _Toc432683863 \h </w:instrText>
        </w:r>
        <w:r w:rsidR="007B2B0A">
          <w:rPr>
            <w:noProof/>
            <w:webHidden/>
          </w:rPr>
        </w:r>
        <w:r w:rsidR="007B2B0A">
          <w:rPr>
            <w:noProof/>
            <w:webHidden/>
          </w:rPr>
          <w:fldChar w:fldCharType="separate"/>
        </w:r>
        <w:r w:rsidR="007B2B0A">
          <w:rPr>
            <w:noProof/>
            <w:webHidden/>
          </w:rPr>
          <w:t>4</w:t>
        </w:r>
        <w:r w:rsidR="007B2B0A">
          <w:rPr>
            <w:noProof/>
            <w:webHidden/>
          </w:rPr>
          <w:fldChar w:fldCharType="end"/>
        </w:r>
      </w:hyperlink>
    </w:p>
    <w:p w:rsidR="007B2B0A" w:rsidRDefault="00FA7094">
      <w:pPr>
        <w:pStyle w:val="TOC2"/>
        <w:tabs>
          <w:tab w:val="right" w:pos="9010"/>
        </w:tabs>
        <w:rPr>
          <w:rFonts w:asciiTheme="minorHAnsi" w:eastAsiaTheme="minorEastAsia" w:hAnsiTheme="minorHAnsi" w:cstheme="minorBidi"/>
          <w:noProof/>
          <w:spacing w:val="0"/>
          <w:sz w:val="22"/>
          <w:szCs w:val="22"/>
          <w:lang w:val="en-AU" w:eastAsia="en-AU"/>
        </w:rPr>
      </w:pPr>
      <w:hyperlink w:anchor="_Toc432683864" w:history="1">
        <w:r w:rsidR="007B2B0A" w:rsidRPr="00367E92">
          <w:rPr>
            <w:rStyle w:val="Hyperlink"/>
            <w:noProof/>
          </w:rPr>
          <w:t>1.1 Context and background</w:t>
        </w:r>
        <w:r w:rsidR="007B2B0A">
          <w:rPr>
            <w:noProof/>
            <w:webHidden/>
          </w:rPr>
          <w:tab/>
        </w:r>
        <w:r w:rsidR="007B2B0A">
          <w:rPr>
            <w:noProof/>
            <w:webHidden/>
          </w:rPr>
          <w:fldChar w:fldCharType="begin"/>
        </w:r>
        <w:r w:rsidR="007B2B0A">
          <w:rPr>
            <w:noProof/>
            <w:webHidden/>
          </w:rPr>
          <w:instrText xml:space="preserve"> PAGEREF _Toc432683864 \h </w:instrText>
        </w:r>
        <w:r w:rsidR="007B2B0A">
          <w:rPr>
            <w:noProof/>
            <w:webHidden/>
          </w:rPr>
        </w:r>
        <w:r w:rsidR="007B2B0A">
          <w:rPr>
            <w:noProof/>
            <w:webHidden/>
          </w:rPr>
          <w:fldChar w:fldCharType="separate"/>
        </w:r>
        <w:r w:rsidR="007B2B0A">
          <w:rPr>
            <w:noProof/>
            <w:webHidden/>
          </w:rPr>
          <w:t>4</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65" w:history="1">
        <w:r w:rsidR="007B2B0A" w:rsidRPr="00367E92">
          <w:rPr>
            <w:rStyle w:val="Hyperlink"/>
            <w:noProof/>
          </w:rPr>
          <w:t>1.1.1 Context</w:t>
        </w:r>
        <w:r w:rsidR="007B2B0A">
          <w:rPr>
            <w:noProof/>
            <w:webHidden/>
          </w:rPr>
          <w:tab/>
        </w:r>
        <w:r w:rsidR="007B2B0A">
          <w:rPr>
            <w:noProof/>
            <w:webHidden/>
          </w:rPr>
          <w:fldChar w:fldCharType="begin"/>
        </w:r>
        <w:r w:rsidR="007B2B0A">
          <w:rPr>
            <w:noProof/>
            <w:webHidden/>
          </w:rPr>
          <w:instrText xml:space="preserve"> PAGEREF _Toc432683865 \h </w:instrText>
        </w:r>
        <w:r w:rsidR="007B2B0A">
          <w:rPr>
            <w:noProof/>
            <w:webHidden/>
          </w:rPr>
        </w:r>
        <w:r w:rsidR="007B2B0A">
          <w:rPr>
            <w:noProof/>
            <w:webHidden/>
          </w:rPr>
          <w:fldChar w:fldCharType="separate"/>
        </w:r>
        <w:r w:rsidR="007B2B0A">
          <w:rPr>
            <w:noProof/>
            <w:webHidden/>
          </w:rPr>
          <w:t>4</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66" w:history="1">
        <w:r w:rsidR="007B2B0A" w:rsidRPr="00367E92">
          <w:rPr>
            <w:rStyle w:val="Hyperlink"/>
            <w:noProof/>
          </w:rPr>
          <w:t>1.1.2 Background</w:t>
        </w:r>
        <w:r w:rsidR="007B2B0A">
          <w:rPr>
            <w:noProof/>
            <w:webHidden/>
          </w:rPr>
          <w:tab/>
        </w:r>
        <w:r w:rsidR="007B2B0A">
          <w:rPr>
            <w:noProof/>
            <w:webHidden/>
          </w:rPr>
          <w:fldChar w:fldCharType="begin"/>
        </w:r>
        <w:r w:rsidR="007B2B0A">
          <w:rPr>
            <w:noProof/>
            <w:webHidden/>
          </w:rPr>
          <w:instrText xml:space="preserve"> PAGEREF _Toc432683866 \h </w:instrText>
        </w:r>
        <w:r w:rsidR="007B2B0A">
          <w:rPr>
            <w:noProof/>
            <w:webHidden/>
          </w:rPr>
        </w:r>
        <w:r w:rsidR="007B2B0A">
          <w:rPr>
            <w:noProof/>
            <w:webHidden/>
          </w:rPr>
          <w:fldChar w:fldCharType="separate"/>
        </w:r>
        <w:r w:rsidR="007B2B0A">
          <w:rPr>
            <w:noProof/>
            <w:webHidden/>
          </w:rPr>
          <w:t>4</w:t>
        </w:r>
        <w:r w:rsidR="007B2B0A">
          <w:rPr>
            <w:noProof/>
            <w:webHidden/>
          </w:rPr>
          <w:fldChar w:fldCharType="end"/>
        </w:r>
      </w:hyperlink>
    </w:p>
    <w:p w:rsidR="007B2B0A" w:rsidRDefault="00FA7094">
      <w:pPr>
        <w:pStyle w:val="TOC2"/>
        <w:tabs>
          <w:tab w:val="right" w:pos="9010"/>
        </w:tabs>
        <w:rPr>
          <w:rFonts w:asciiTheme="minorHAnsi" w:eastAsiaTheme="minorEastAsia" w:hAnsiTheme="minorHAnsi" w:cstheme="minorBidi"/>
          <w:noProof/>
          <w:spacing w:val="0"/>
          <w:sz w:val="22"/>
          <w:szCs w:val="22"/>
          <w:lang w:val="en-AU" w:eastAsia="en-AU"/>
        </w:rPr>
      </w:pPr>
      <w:hyperlink w:anchor="_Toc432683867" w:history="1">
        <w:r w:rsidR="007B2B0A" w:rsidRPr="00367E92">
          <w:rPr>
            <w:rStyle w:val="Hyperlink"/>
            <w:noProof/>
          </w:rPr>
          <w:t>1.2 Strategy development</w:t>
        </w:r>
        <w:r w:rsidR="007B2B0A">
          <w:rPr>
            <w:noProof/>
            <w:webHidden/>
          </w:rPr>
          <w:tab/>
        </w:r>
        <w:r w:rsidR="007B2B0A">
          <w:rPr>
            <w:noProof/>
            <w:webHidden/>
          </w:rPr>
          <w:fldChar w:fldCharType="begin"/>
        </w:r>
        <w:r w:rsidR="007B2B0A">
          <w:rPr>
            <w:noProof/>
            <w:webHidden/>
          </w:rPr>
          <w:instrText xml:space="preserve"> PAGEREF _Toc432683867 \h </w:instrText>
        </w:r>
        <w:r w:rsidR="007B2B0A">
          <w:rPr>
            <w:noProof/>
            <w:webHidden/>
          </w:rPr>
        </w:r>
        <w:r w:rsidR="007B2B0A">
          <w:rPr>
            <w:noProof/>
            <w:webHidden/>
          </w:rPr>
          <w:fldChar w:fldCharType="separate"/>
        </w:r>
        <w:r w:rsidR="007B2B0A">
          <w:rPr>
            <w:noProof/>
            <w:webHidden/>
          </w:rPr>
          <w:t>5</w:t>
        </w:r>
        <w:r w:rsidR="007B2B0A">
          <w:rPr>
            <w:noProof/>
            <w:webHidden/>
          </w:rPr>
          <w:fldChar w:fldCharType="end"/>
        </w:r>
      </w:hyperlink>
    </w:p>
    <w:p w:rsidR="007B2B0A" w:rsidRDefault="00FA7094">
      <w:pPr>
        <w:pStyle w:val="TOC1"/>
        <w:tabs>
          <w:tab w:val="left" w:pos="400"/>
        </w:tabs>
        <w:rPr>
          <w:rFonts w:asciiTheme="minorHAnsi" w:eastAsiaTheme="minorEastAsia" w:hAnsiTheme="minorHAnsi" w:cstheme="minorBidi"/>
          <w:noProof/>
          <w:spacing w:val="0"/>
          <w:sz w:val="22"/>
          <w:szCs w:val="22"/>
          <w:lang w:val="en-AU" w:eastAsia="en-AU"/>
        </w:rPr>
      </w:pPr>
      <w:hyperlink w:anchor="_Toc432683868" w:history="1">
        <w:r w:rsidR="007B2B0A" w:rsidRPr="00367E92">
          <w:rPr>
            <w:rStyle w:val="Hyperlink"/>
            <w:noProof/>
          </w:rPr>
          <w:t>2.</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Rationale for an AT strategy</w:t>
        </w:r>
        <w:r w:rsidR="007B2B0A">
          <w:rPr>
            <w:noProof/>
            <w:webHidden/>
          </w:rPr>
          <w:tab/>
        </w:r>
        <w:r w:rsidR="007B2B0A">
          <w:rPr>
            <w:noProof/>
            <w:webHidden/>
          </w:rPr>
          <w:fldChar w:fldCharType="begin"/>
        </w:r>
        <w:r w:rsidR="007B2B0A">
          <w:rPr>
            <w:noProof/>
            <w:webHidden/>
          </w:rPr>
          <w:instrText xml:space="preserve"> PAGEREF _Toc432683868 \h </w:instrText>
        </w:r>
        <w:r w:rsidR="007B2B0A">
          <w:rPr>
            <w:noProof/>
            <w:webHidden/>
          </w:rPr>
        </w:r>
        <w:r w:rsidR="007B2B0A">
          <w:rPr>
            <w:noProof/>
            <w:webHidden/>
          </w:rPr>
          <w:fldChar w:fldCharType="separate"/>
        </w:r>
        <w:r w:rsidR="007B2B0A">
          <w:rPr>
            <w:noProof/>
            <w:webHidden/>
          </w:rPr>
          <w:t>6</w:t>
        </w:r>
        <w:r w:rsidR="007B2B0A">
          <w:rPr>
            <w:noProof/>
            <w:webHidden/>
          </w:rPr>
          <w:fldChar w:fldCharType="end"/>
        </w:r>
      </w:hyperlink>
    </w:p>
    <w:p w:rsidR="007B2B0A" w:rsidRDefault="00FA7094">
      <w:pPr>
        <w:pStyle w:val="TOC2"/>
        <w:tabs>
          <w:tab w:val="right" w:pos="9010"/>
        </w:tabs>
        <w:rPr>
          <w:rFonts w:asciiTheme="minorHAnsi" w:eastAsiaTheme="minorEastAsia" w:hAnsiTheme="minorHAnsi" w:cstheme="minorBidi"/>
          <w:noProof/>
          <w:spacing w:val="0"/>
          <w:sz w:val="22"/>
          <w:szCs w:val="22"/>
          <w:lang w:val="en-AU" w:eastAsia="en-AU"/>
        </w:rPr>
      </w:pPr>
      <w:hyperlink w:anchor="_Toc432683869" w:history="1">
        <w:r w:rsidR="007B2B0A" w:rsidRPr="00367E92">
          <w:rPr>
            <w:rStyle w:val="Hyperlink"/>
            <w:noProof/>
          </w:rPr>
          <w:t>2.1 External factors</w:t>
        </w:r>
        <w:r w:rsidR="007B2B0A">
          <w:rPr>
            <w:noProof/>
            <w:webHidden/>
          </w:rPr>
          <w:tab/>
        </w:r>
        <w:r w:rsidR="007B2B0A">
          <w:rPr>
            <w:noProof/>
            <w:webHidden/>
          </w:rPr>
          <w:fldChar w:fldCharType="begin"/>
        </w:r>
        <w:r w:rsidR="007B2B0A">
          <w:rPr>
            <w:noProof/>
            <w:webHidden/>
          </w:rPr>
          <w:instrText xml:space="preserve"> PAGEREF _Toc432683869 \h </w:instrText>
        </w:r>
        <w:r w:rsidR="007B2B0A">
          <w:rPr>
            <w:noProof/>
            <w:webHidden/>
          </w:rPr>
        </w:r>
        <w:r w:rsidR="007B2B0A">
          <w:rPr>
            <w:noProof/>
            <w:webHidden/>
          </w:rPr>
          <w:fldChar w:fldCharType="separate"/>
        </w:r>
        <w:r w:rsidR="007B2B0A">
          <w:rPr>
            <w:noProof/>
            <w:webHidden/>
          </w:rPr>
          <w:t>6</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70" w:history="1">
        <w:r w:rsidR="007B2B0A" w:rsidRPr="00367E92">
          <w:rPr>
            <w:rStyle w:val="Hyperlink"/>
            <w:noProof/>
          </w:rPr>
          <w:t>2.1.1 Mainstream technological advancements</w:t>
        </w:r>
        <w:r w:rsidR="007B2B0A">
          <w:rPr>
            <w:noProof/>
            <w:webHidden/>
          </w:rPr>
          <w:tab/>
        </w:r>
        <w:r w:rsidR="007B2B0A">
          <w:rPr>
            <w:noProof/>
            <w:webHidden/>
          </w:rPr>
          <w:fldChar w:fldCharType="begin"/>
        </w:r>
        <w:r w:rsidR="007B2B0A">
          <w:rPr>
            <w:noProof/>
            <w:webHidden/>
          </w:rPr>
          <w:instrText xml:space="preserve"> PAGEREF _Toc432683870 \h </w:instrText>
        </w:r>
        <w:r w:rsidR="007B2B0A">
          <w:rPr>
            <w:noProof/>
            <w:webHidden/>
          </w:rPr>
        </w:r>
        <w:r w:rsidR="007B2B0A">
          <w:rPr>
            <w:noProof/>
            <w:webHidden/>
          </w:rPr>
          <w:fldChar w:fldCharType="separate"/>
        </w:r>
        <w:r w:rsidR="007B2B0A">
          <w:rPr>
            <w:noProof/>
            <w:webHidden/>
          </w:rPr>
          <w:t>6</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71" w:history="1">
        <w:r w:rsidR="007B2B0A" w:rsidRPr="00367E92">
          <w:rPr>
            <w:rStyle w:val="Hyperlink"/>
            <w:noProof/>
          </w:rPr>
          <w:t>2.1.2 Emerging technologies in aged care and health sectors</w:t>
        </w:r>
        <w:r w:rsidR="007B2B0A">
          <w:rPr>
            <w:noProof/>
            <w:webHidden/>
          </w:rPr>
          <w:tab/>
        </w:r>
        <w:r w:rsidR="007B2B0A">
          <w:rPr>
            <w:noProof/>
            <w:webHidden/>
          </w:rPr>
          <w:fldChar w:fldCharType="begin"/>
        </w:r>
        <w:r w:rsidR="007B2B0A">
          <w:rPr>
            <w:noProof/>
            <w:webHidden/>
          </w:rPr>
          <w:instrText xml:space="preserve"> PAGEREF _Toc432683871 \h </w:instrText>
        </w:r>
        <w:r w:rsidR="007B2B0A">
          <w:rPr>
            <w:noProof/>
            <w:webHidden/>
          </w:rPr>
        </w:r>
        <w:r w:rsidR="007B2B0A">
          <w:rPr>
            <w:noProof/>
            <w:webHidden/>
          </w:rPr>
          <w:fldChar w:fldCharType="separate"/>
        </w:r>
        <w:r w:rsidR="007B2B0A">
          <w:rPr>
            <w:noProof/>
            <w:webHidden/>
          </w:rPr>
          <w:t>6</w:t>
        </w:r>
        <w:r w:rsidR="007B2B0A">
          <w:rPr>
            <w:noProof/>
            <w:webHidden/>
          </w:rPr>
          <w:fldChar w:fldCharType="end"/>
        </w:r>
      </w:hyperlink>
    </w:p>
    <w:p w:rsidR="007B2B0A" w:rsidRDefault="00FA7094">
      <w:pPr>
        <w:pStyle w:val="TOC2"/>
        <w:tabs>
          <w:tab w:val="right" w:pos="9010"/>
        </w:tabs>
        <w:rPr>
          <w:rFonts w:asciiTheme="minorHAnsi" w:eastAsiaTheme="minorEastAsia" w:hAnsiTheme="minorHAnsi" w:cstheme="minorBidi"/>
          <w:noProof/>
          <w:spacing w:val="0"/>
          <w:sz w:val="22"/>
          <w:szCs w:val="22"/>
          <w:lang w:val="en-AU" w:eastAsia="en-AU"/>
        </w:rPr>
      </w:pPr>
      <w:hyperlink w:anchor="_Toc432683872" w:history="1">
        <w:r w:rsidR="007B2B0A" w:rsidRPr="00367E92">
          <w:rPr>
            <w:rStyle w:val="Hyperlink"/>
            <w:noProof/>
          </w:rPr>
          <w:t>2.2 Internal factors</w:t>
        </w:r>
        <w:r w:rsidR="007B2B0A">
          <w:rPr>
            <w:noProof/>
            <w:webHidden/>
          </w:rPr>
          <w:tab/>
        </w:r>
        <w:r w:rsidR="007B2B0A">
          <w:rPr>
            <w:noProof/>
            <w:webHidden/>
          </w:rPr>
          <w:fldChar w:fldCharType="begin"/>
        </w:r>
        <w:r w:rsidR="007B2B0A">
          <w:rPr>
            <w:noProof/>
            <w:webHidden/>
          </w:rPr>
          <w:instrText xml:space="preserve"> PAGEREF _Toc432683872 \h </w:instrText>
        </w:r>
        <w:r w:rsidR="007B2B0A">
          <w:rPr>
            <w:noProof/>
            <w:webHidden/>
          </w:rPr>
        </w:r>
        <w:r w:rsidR="007B2B0A">
          <w:rPr>
            <w:noProof/>
            <w:webHidden/>
          </w:rPr>
          <w:fldChar w:fldCharType="separate"/>
        </w:r>
        <w:r w:rsidR="007B2B0A">
          <w:rPr>
            <w:noProof/>
            <w:webHidden/>
          </w:rPr>
          <w:t>6</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73" w:history="1">
        <w:r w:rsidR="007B2B0A" w:rsidRPr="00367E92">
          <w:rPr>
            <w:rStyle w:val="Hyperlink"/>
            <w:noProof/>
          </w:rPr>
          <w:t>2.2.1 Demonstrated importance of AT in trial sites</w:t>
        </w:r>
        <w:r w:rsidR="007B2B0A">
          <w:rPr>
            <w:noProof/>
            <w:webHidden/>
          </w:rPr>
          <w:tab/>
        </w:r>
        <w:r w:rsidR="007B2B0A">
          <w:rPr>
            <w:noProof/>
            <w:webHidden/>
          </w:rPr>
          <w:fldChar w:fldCharType="begin"/>
        </w:r>
        <w:r w:rsidR="007B2B0A">
          <w:rPr>
            <w:noProof/>
            <w:webHidden/>
          </w:rPr>
          <w:instrText xml:space="preserve"> PAGEREF _Toc432683873 \h </w:instrText>
        </w:r>
        <w:r w:rsidR="007B2B0A">
          <w:rPr>
            <w:noProof/>
            <w:webHidden/>
          </w:rPr>
        </w:r>
        <w:r w:rsidR="007B2B0A">
          <w:rPr>
            <w:noProof/>
            <w:webHidden/>
          </w:rPr>
          <w:fldChar w:fldCharType="separate"/>
        </w:r>
        <w:r w:rsidR="007B2B0A">
          <w:rPr>
            <w:noProof/>
            <w:webHidden/>
          </w:rPr>
          <w:t>6</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74" w:history="1">
        <w:r w:rsidR="007B2B0A" w:rsidRPr="00367E92">
          <w:rPr>
            <w:rStyle w:val="Hyperlink"/>
            <w:noProof/>
          </w:rPr>
          <w:t>2.2.2 NDIA investment in AT</w:t>
        </w:r>
        <w:r w:rsidR="007B2B0A">
          <w:rPr>
            <w:noProof/>
            <w:webHidden/>
          </w:rPr>
          <w:tab/>
        </w:r>
        <w:r w:rsidR="007B2B0A">
          <w:rPr>
            <w:noProof/>
            <w:webHidden/>
          </w:rPr>
          <w:fldChar w:fldCharType="begin"/>
        </w:r>
        <w:r w:rsidR="007B2B0A">
          <w:rPr>
            <w:noProof/>
            <w:webHidden/>
          </w:rPr>
          <w:instrText xml:space="preserve"> PAGEREF _Toc432683874 \h </w:instrText>
        </w:r>
        <w:r w:rsidR="007B2B0A">
          <w:rPr>
            <w:noProof/>
            <w:webHidden/>
          </w:rPr>
        </w:r>
        <w:r w:rsidR="007B2B0A">
          <w:rPr>
            <w:noProof/>
            <w:webHidden/>
          </w:rPr>
          <w:fldChar w:fldCharType="separate"/>
        </w:r>
        <w:r w:rsidR="007B2B0A">
          <w:rPr>
            <w:noProof/>
            <w:webHidden/>
          </w:rPr>
          <w:t>7</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75" w:history="1">
        <w:r w:rsidR="007B2B0A" w:rsidRPr="00367E92">
          <w:rPr>
            <w:rStyle w:val="Hyperlink"/>
            <w:noProof/>
          </w:rPr>
          <w:t>2.2.3 Challenge of uptake of AT by participants</w:t>
        </w:r>
        <w:r w:rsidR="007B2B0A">
          <w:rPr>
            <w:noProof/>
            <w:webHidden/>
          </w:rPr>
          <w:tab/>
        </w:r>
        <w:r w:rsidR="007B2B0A">
          <w:rPr>
            <w:noProof/>
            <w:webHidden/>
          </w:rPr>
          <w:fldChar w:fldCharType="begin"/>
        </w:r>
        <w:r w:rsidR="007B2B0A">
          <w:rPr>
            <w:noProof/>
            <w:webHidden/>
          </w:rPr>
          <w:instrText xml:space="preserve"> PAGEREF _Toc432683875 \h </w:instrText>
        </w:r>
        <w:r w:rsidR="007B2B0A">
          <w:rPr>
            <w:noProof/>
            <w:webHidden/>
          </w:rPr>
        </w:r>
        <w:r w:rsidR="007B2B0A">
          <w:rPr>
            <w:noProof/>
            <w:webHidden/>
          </w:rPr>
          <w:fldChar w:fldCharType="separate"/>
        </w:r>
        <w:r w:rsidR="007B2B0A">
          <w:rPr>
            <w:noProof/>
            <w:webHidden/>
          </w:rPr>
          <w:t>7</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76" w:history="1">
        <w:r w:rsidR="007B2B0A" w:rsidRPr="00367E92">
          <w:rPr>
            <w:rStyle w:val="Hyperlink"/>
            <w:noProof/>
          </w:rPr>
          <w:t>2.2.4 Value creation</w:t>
        </w:r>
        <w:r w:rsidR="007B2B0A">
          <w:rPr>
            <w:noProof/>
            <w:webHidden/>
          </w:rPr>
          <w:tab/>
        </w:r>
        <w:r w:rsidR="007B2B0A">
          <w:rPr>
            <w:noProof/>
            <w:webHidden/>
          </w:rPr>
          <w:fldChar w:fldCharType="begin"/>
        </w:r>
        <w:r w:rsidR="007B2B0A">
          <w:rPr>
            <w:noProof/>
            <w:webHidden/>
          </w:rPr>
          <w:instrText xml:space="preserve"> PAGEREF _Toc432683876 \h </w:instrText>
        </w:r>
        <w:r w:rsidR="007B2B0A">
          <w:rPr>
            <w:noProof/>
            <w:webHidden/>
          </w:rPr>
        </w:r>
        <w:r w:rsidR="007B2B0A">
          <w:rPr>
            <w:noProof/>
            <w:webHidden/>
          </w:rPr>
          <w:fldChar w:fldCharType="separate"/>
        </w:r>
        <w:r w:rsidR="007B2B0A">
          <w:rPr>
            <w:noProof/>
            <w:webHidden/>
          </w:rPr>
          <w:t>7</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77" w:history="1">
        <w:r w:rsidR="007B2B0A" w:rsidRPr="00367E92">
          <w:rPr>
            <w:rStyle w:val="Hyperlink"/>
            <w:noProof/>
          </w:rPr>
          <w:t>2.2.5 Rural and remote areas</w:t>
        </w:r>
        <w:r w:rsidR="007B2B0A">
          <w:rPr>
            <w:noProof/>
            <w:webHidden/>
          </w:rPr>
          <w:tab/>
        </w:r>
        <w:r w:rsidR="007B2B0A">
          <w:rPr>
            <w:noProof/>
            <w:webHidden/>
          </w:rPr>
          <w:fldChar w:fldCharType="begin"/>
        </w:r>
        <w:r w:rsidR="007B2B0A">
          <w:rPr>
            <w:noProof/>
            <w:webHidden/>
          </w:rPr>
          <w:instrText xml:space="preserve"> PAGEREF _Toc432683877 \h </w:instrText>
        </w:r>
        <w:r w:rsidR="007B2B0A">
          <w:rPr>
            <w:noProof/>
            <w:webHidden/>
          </w:rPr>
        </w:r>
        <w:r w:rsidR="007B2B0A">
          <w:rPr>
            <w:noProof/>
            <w:webHidden/>
          </w:rPr>
          <w:fldChar w:fldCharType="separate"/>
        </w:r>
        <w:r w:rsidR="007B2B0A">
          <w:rPr>
            <w:noProof/>
            <w:webHidden/>
          </w:rPr>
          <w:t>8</w:t>
        </w:r>
        <w:r w:rsidR="007B2B0A">
          <w:rPr>
            <w:noProof/>
            <w:webHidden/>
          </w:rPr>
          <w:fldChar w:fldCharType="end"/>
        </w:r>
      </w:hyperlink>
    </w:p>
    <w:p w:rsidR="007B2B0A" w:rsidRDefault="00FA7094">
      <w:pPr>
        <w:pStyle w:val="TOC1"/>
        <w:tabs>
          <w:tab w:val="left" w:pos="400"/>
        </w:tabs>
        <w:rPr>
          <w:rFonts w:asciiTheme="minorHAnsi" w:eastAsiaTheme="minorEastAsia" w:hAnsiTheme="minorHAnsi" w:cstheme="minorBidi"/>
          <w:noProof/>
          <w:spacing w:val="0"/>
          <w:sz w:val="22"/>
          <w:szCs w:val="22"/>
          <w:lang w:val="en-AU" w:eastAsia="en-AU"/>
        </w:rPr>
      </w:pPr>
      <w:hyperlink w:anchor="_Toc432683878" w:history="1">
        <w:r w:rsidR="007B2B0A" w:rsidRPr="00367E92">
          <w:rPr>
            <w:rStyle w:val="Hyperlink"/>
            <w:noProof/>
          </w:rPr>
          <w:t>3.</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AT strategy</w:t>
        </w:r>
        <w:r w:rsidR="007B2B0A">
          <w:rPr>
            <w:noProof/>
            <w:webHidden/>
          </w:rPr>
          <w:tab/>
        </w:r>
        <w:r w:rsidR="007B2B0A">
          <w:rPr>
            <w:noProof/>
            <w:webHidden/>
          </w:rPr>
          <w:fldChar w:fldCharType="begin"/>
        </w:r>
        <w:r w:rsidR="007B2B0A">
          <w:rPr>
            <w:noProof/>
            <w:webHidden/>
          </w:rPr>
          <w:instrText xml:space="preserve"> PAGEREF _Toc432683878 \h </w:instrText>
        </w:r>
        <w:r w:rsidR="007B2B0A">
          <w:rPr>
            <w:noProof/>
            <w:webHidden/>
          </w:rPr>
        </w:r>
        <w:r w:rsidR="007B2B0A">
          <w:rPr>
            <w:noProof/>
            <w:webHidden/>
          </w:rPr>
          <w:fldChar w:fldCharType="separate"/>
        </w:r>
        <w:r w:rsidR="007B2B0A">
          <w:rPr>
            <w:noProof/>
            <w:webHidden/>
          </w:rPr>
          <w:t>9</w:t>
        </w:r>
        <w:r w:rsidR="007B2B0A">
          <w:rPr>
            <w:noProof/>
            <w:webHidden/>
          </w:rPr>
          <w:fldChar w:fldCharType="end"/>
        </w:r>
      </w:hyperlink>
    </w:p>
    <w:p w:rsidR="007B2B0A" w:rsidRDefault="00FA7094">
      <w:pPr>
        <w:pStyle w:val="TOC2"/>
        <w:tabs>
          <w:tab w:val="right" w:pos="9010"/>
        </w:tabs>
        <w:rPr>
          <w:rFonts w:asciiTheme="minorHAnsi" w:eastAsiaTheme="minorEastAsia" w:hAnsiTheme="minorHAnsi" w:cstheme="minorBidi"/>
          <w:noProof/>
          <w:spacing w:val="0"/>
          <w:sz w:val="22"/>
          <w:szCs w:val="22"/>
          <w:lang w:val="en-AU" w:eastAsia="en-AU"/>
        </w:rPr>
      </w:pPr>
      <w:hyperlink w:anchor="_Toc432683879" w:history="1">
        <w:r w:rsidR="007B2B0A" w:rsidRPr="00367E92">
          <w:rPr>
            <w:rStyle w:val="Hyperlink"/>
            <w:noProof/>
          </w:rPr>
          <w:t>3.1 Support and stimulate a vibrant, innovative supply-side market</w:t>
        </w:r>
        <w:r w:rsidR="007B2B0A">
          <w:rPr>
            <w:noProof/>
            <w:webHidden/>
          </w:rPr>
          <w:tab/>
        </w:r>
        <w:r w:rsidR="007B2B0A">
          <w:rPr>
            <w:noProof/>
            <w:webHidden/>
          </w:rPr>
          <w:fldChar w:fldCharType="begin"/>
        </w:r>
        <w:r w:rsidR="007B2B0A">
          <w:rPr>
            <w:noProof/>
            <w:webHidden/>
          </w:rPr>
          <w:instrText xml:space="preserve"> PAGEREF _Toc432683879 \h </w:instrText>
        </w:r>
        <w:r w:rsidR="007B2B0A">
          <w:rPr>
            <w:noProof/>
            <w:webHidden/>
          </w:rPr>
        </w:r>
        <w:r w:rsidR="007B2B0A">
          <w:rPr>
            <w:noProof/>
            <w:webHidden/>
          </w:rPr>
          <w:fldChar w:fldCharType="separate"/>
        </w:r>
        <w:r w:rsidR="007B2B0A">
          <w:rPr>
            <w:noProof/>
            <w:webHidden/>
          </w:rPr>
          <w:t>11</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0" w:history="1">
        <w:r w:rsidR="007B2B0A" w:rsidRPr="00367E92">
          <w:rPr>
            <w:rStyle w:val="Hyperlink"/>
            <w:noProof/>
          </w:rPr>
          <w:t>3.1.1 Context</w:t>
        </w:r>
        <w:r w:rsidR="007B2B0A">
          <w:rPr>
            <w:noProof/>
            <w:webHidden/>
          </w:rPr>
          <w:tab/>
        </w:r>
        <w:r w:rsidR="007B2B0A">
          <w:rPr>
            <w:noProof/>
            <w:webHidden/>
          </w:rPr>
          <w:fldChar w:fldCharType="begin"/>
        </w:r>
        <w:r w:rsidR="007B2B0A">
          <w:rPr>
            <w:noProof/>
            <w:webHidden/>
          </w:rPr>
          <w:instrText xml:space="preserve"> PAGEREF _Toc432683880 \h </w:instrText>
        </w:r>
        <w:r w:rsidR="007B2B0A">
          <w:rPr>
            <w:noProof/>
            <w:webHidden/>
          </w:rPr>
        </w:r>
        <w:r w:rsidR="007B2B0A">
          <w:rPr>
            <w:noProof/>
            <w:webHidden/>
          </w:rPr>
          <w:fldChar w:fldCharType="separate"/>
        </w:r>
        <w:r w:rsidR="007B2B0A">
          <w:rPr>
            <w:noProof/>
            <w:webHidden/>
          </w:rPr>
          <w:t>11</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1" w:history="1">
        <w:r w:rsidR="007B2B0A" w:rsidRPr="00367E92">
          <w:rPr>
            <w:rStyle w:val="Hyperlink"/>
            <w:noProof/>
          </w:rPr>
          <w:t>3.1.2 Opportunities identified by the NDIA</w:t>
        </w:r>
        <w:r w:rsidR="007B2B0A">
          <w:rPr>
            <w:noProof/>
            <w:webHidden/>
          </w:rPr>
          <w:tab/>
        </w:r>
        <w:r w:rsidR="007B2B0A">
          <w:rPr>
            <w:noProof/>
            <w:webHidden/>
          </w:rPr>
          <w:fldChar w:fldCharType="begin"/>
        </w:r>
        <w:r w:rsidR="007B2B0A">
          <w:rPr>
            <w:noProof/>
            <w:webHidden/>
          </w:rPr>
          <w:instrText xml:space="preserve"> PAGEREF _Toc432683881 \h </w:instrText>
        </w:r>
        <w:r w:rsidR="007B2B0A">
          <w:rPr>
            <w:noProof/>
            <w:webHidden/>
          </w:rPr>
        </w:r>
        <w:r w:rsidR="007B2B0A">
          <w:rPr>
            <w:noProof/>
            <w:webHidden/>
          </w:rPr>
          <w:fldChar w:fldCharType="separate"/>
        </w:r>
        <w:r w:rsidR="007B2B0A">
          <w:rPr>
            <w:noProof/>
            <w:webHidden/>
          </w:rPr>
          <w:t>12</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2" w:history="1">
        <w:r w:rsidR="007B2B0A" w:rsidRPr="00367E92">
          <w:rPr>
            <w:rStyle w:val="Hyperlink"/>
            <w:noProof/>
          </w:rPr>
          <w:t>3.1.3 Proposed initiatives</w:t>
        </w:r>
        <w:r w:rsidR="007B2B0A">
          <w:rPr>
            <w:noProof/>
            <w:webHidden/>
          </w:rPr>
          <w:tab/>
        </w:r>
        <w:r w:rsidR="007B2B0A">
          <w:rPr>
            <w:noProof/>
            <w:webHidden/>
          </w:rPr>
          <w:fldChar w:fldCharType="begin"/>
        </w:r>
        <w:r w:rsidR="007B2B0A">
          <w:rPr>
            <w:noProof/>
            <w:webHidden/>
          </w:rPr>
          <w:instrText xml:space="preserve"> PAGEREF _Toc432683882 \h </w:instrText>
        </w:r>
        <w:r w:rsidR="007B2B0A">
          <w:rPr>
            <w:noProof/>
            <w:webHidden/>
          </w:rPr>
        </w:r>
        <w:r w:rsidR="007B2B0A">
          <w:rPr>
            <w:noProof/>
            <w:webHidden/>
          </w:rPr>
          <w:fldChar w:fldCharType="separate"/>
        </w:r>
        <w:r w:rsidR="007B2B0A">
          <w:rPr>
            <w:noProof/>
            <w:webHidden/>
          </w:rPr>
          <w:t>13</w:t>
        </w:r>
        <w:r w:rsidR="007B2B0A">
          <w:rPr>
            <w:noProof/>
            <w:webHidden/>
          </w:rPr>
          <w:fldChar w:fldCharType="end"/>
        </w:r>
      </w:hyperlink>
    </w:p>
    <w:p w:rsidR="007B2B0A" w:rsidRDefault="00FA7094">
      <w:pPr>
        <w:pStyle w:val="TOC2"/>
        <w:tabs>
          <w:tab w:val="right" w:pos="9010"/>
        </w:tabs>
        <w:rPr>
          <w:rFonts w:asciiTheme="minorHAnsi" w:eastAsiaTheme="minorEastAsia" w:hAnsiTheme="minorHAnsi" w:cstheme="minorBidi"/>
          <w:noProof/>
          <w:spacing w:val="0"/>
          <w:sz w:val="22"/>
          <w:szCs w:val="22"/>
          <w:lang w:val="en-AU" w:eastAsia="en-AU"/>
        </w:rPr>
      </w:pPr>
      <w:hyperlink w:anchor="_Toc432683883" w:history="1">
        <w:r w:rsidR="007B2B0A" w:rsidRPr="00367E92">
          <w:rPr>
            <w:rStyle w:val="Hyperlink"/>
            <w:noProof/>
          </w:rPr>
          <w:t>3.2 Support &amp; stimulate active, informed, participant-led demand</w:t>
        </w:r>
        <w:r w:rsidR="007B2B0A">
          <w:rPr>
            <w:noProof/>
            <w:webHidden/>
          </w:rPr>
          <w:tab/>
        </w:r>
        <w:r w:rsidR="007B2B0A">
          <w:rPr>
            <w:noProof/>
            <w:webHidden/>
          </w:rPr>
          <w:fldChar w:fldCharType="begin"/>
        </w:r>
        <w:r w:rsidR="007B2B0A">
          <w:rPr>
            <w:noProof/>
            <w:webHidden/>
          </w:rPr>
          <w:instrText xml:space="preserve"> PAGEREF _Toc432683883 \h </w:instrText>
        </w:r>
        <w:r w:rsidR="007B2B0A">
          <w:rPr>
            <w:noProof/>
            <w:webHidden/>
          </w:rPr>
        </w:r>
        <w:r w:rsidR="007B2B0A">
          <w:rPr>
            <w:noProof/>
            <w:webHidden/>
          </w:rPr>
          <w:fldChar w:fldCharType="separate"/>
        </w:r>
        <w:r w:rsidR="007B2B0A">
          <w:rPr>
            <w:noProof/>
            <w:webHidden/>
          </w:rPr>
          <w:t>15</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4" w:history="1">
        <w:r w:rsidR="007B2B0A" w:rsidRPr="00367E92">
          <w:rPr>
            <w:rStyle w:val="Hyperlink"/>
            <w:noProof/>
          </w:rPr>
          <w:t>3.2.1 Context</w:t>
        </w:r>
        <w:r w:rsidR="007B2B0A">
          <w:rPr>
            <w:noProof/>
            <w:webHidden/>
          </w:rPr>
          <w:tab/>
        </w:r>
        <w:r w:rsidR="007B2B0A">
          <w:rPr>
            <w:noProof/>
            <w:webHidden/>
          </w:rPr>
          <w:fldChar w:fldCharType="begin"/>
        </w:r>
        <w:r w:rsidR="007B2B0A">
          <w:rPr>
            <w:noProof/>
            <w:webHidden/>
          </w:rPr>
          <w:instrText xml:space="preserve"> PAGEREF _Toc432683884 \h </w:instrText>
        </w:r>
        <w:r w:rsidR="007B2B0A">
          <w:rPr>
            <w:noProof/>
            <w:webHidden/>
          </w:rPr>
        </w:r>
        <w:r w:rsidR="007B2B0A">
          <w:rPr>
            <w:noProof/>
            <w:webHidden/>
          </w:rPr>
          <w:fldChar w:fldCharType="separate"/>
        </w:r>
        <w:r w:rsidR="007B2B0A">
          <w:rPr>
            <w:noProof/>
            <w:webHidden/>
          </w:rPr>
          <w:t>15</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5" w:history="1">
        <w:r w:rsidR="007B2B0A" w:rsidRPr="00367E92">
          <w:rPr>
            <w:rStyle w:val="Hyperlink"/>
            <w:noProof/>
          </w:rPr>
          <w:t>3.2.2 Opportunities identified by the NDIA</w:t>
        </w:r>
        <w:r w:rsidR="007B2B0A">
          <w:rPr>
            <w:noProof/>
            <w:webHidden/>
          </w:rPr>
          <w:tab/>
        </w:r>
        <w:r w:rsidR="007B2B0A">
          <w:rPr>
            <w:noProof/>
            <w:webHidden/>
          </w:rPr>
          <w:fldChar w:fldCharType="begin"/>
        </w:r>
        <w:r w:rsidR="007B2B0A">
          <w:rPr>
            <w:noProof/>
            <w:webHidden/>
          </w:rPr>
          <w:instrText xml:space="preserve"> PAGEREF _Toc432683885 \h </w:instrText>
        </w:r>
        <w:r w:rsidR="007B2B0A">
          <w:rPr>
            <w:noProof/>
            <w:webHidden/>
          </w:rPr>
        </w:r>
        <w:r w:rsidR="007B2B0A">
          <w:rPr>
            <w:noProof/>
            <w:webHidden/>
          </w:rPr>
          <w:fldChar w:fldCharType="separate"/>
        </w:r>
        <w:r w:rsidR="007B2B0A">
          <w:rPr>
            <w:noProof/>
            <w:webHidden/>
          </w:rPr>
          <w:t>16</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6" w:history="1">
        <w:r w:rsidR="007B2B0A" w:rsidRPr="00367E92">
          <w:rPr>
            <w:rStyle w:val="Hyperlink"/>
            <w:noProof/>
          </w:rPr>
          <w:t>3.2.3 Proposed initiatives</w:t>
        </w:r>
        <w:r w:rsidR="007B2B0A">
          <w:rPr>
            <w:noProof/>
            <w:webHidden/>
          </w:rPr>
          <w:tab/>
        </w:r>
        <w:r w:rsidR="007B2B0A">
          <w:rPr>
            <w:noProof/>
            <w:webHidden/>
          </w:rPr>
          <w:fldChar w:fldCharType="begin"/>
        </w:r>
        <w:r w:rsidR="007B2B0A">
          <w:rPr>
            <w:noProof/>
            <w:webHidden/>
          </w:rPr>
          <w:instrText xml:space="preserve"> PAGEREF _Toc432683886 \h </w:instrText>
        </w:r>
        <w:r w:rsidR="007B2B0A">
          <w:rPr>
            <w:noProof/>
            <w:webHidden/>
          </w:rPr>
        </w:r>
        <w:r w:rsidR="007B2B0A">
          <w:rPr>
            <w:noProof/>
            <w:webHidden/>
          </w:rPr>
          <w:fldChar w:fldCharType="separate"/>
        </w:r>
        <w:r w:rsidR="007B2B0A">
          <w:rPr>
            <w:noProof/>
            <w:webHidden/>
          </w:rPr>
          <w:t>17</w:t>
        </w:r>
        <w:r w:rsidR="007B2B0A">
          <w:rPr>
            <w:noProof/>
            <w:webHidden/>
          </w:rPr>
          <w:fldChar w:fldCharType="end"/>
        </w:r>
      </w:hyperlink>
    </w:p>
    <w:p w:rsidR="007B2B0A" w:rsidRDefault="00FA7094">
      <w:pPr>
        <w:pStyle w:val="TOC2"/>
        <w:tabs>
          <w:tab w:val="right" w:pos="9010"/>
        </w:tabs>
        <w:rPr>
          <w:rFonts w:asciiTheme="minorHAnsi" w:eastAsiaTheme="minorEastAsia" w:hAnsiTheme="minorHAnsi" w:cstheme="minorBidi"/>
          <w:noProof/>
          <w:spacing w:val="0"/>
          <w:sz w:val="22"/>
          <w:szCs w:val="22"/>
          <w:lang w:val="en-AU" w:eastAsia="en-AU"/>
        </w:rPr>
      </w:pPr>
      <w:hyperlink w:anchor="_Toc432683887" w:history="1">
        <w:r w:rsidR="007B2B0A" w:rsidRPr="00367E92">
          <w:rPr>
            <w:rStyle w:val="Hyperlink"/>
            <w:noProof/>
          </w:rPr>
          <w:t>3.3 Deliver a financially robust, sustainable scheme that generates economic and social value</w:t>
        </w:r>
        <w:r w:rsidR="007B2B0A">
          <w:rPr>
            <w:noProof/>
            <w:webHidden/>
          </w:rPr>
          <w:tab/>
        </w:r>
        <w:r w:rsidR="007B2B0A">
          <w:rPr>
            <w:noProof/>
            <w:webHidden/>
          </w:rPr>
          <w:fldChar w:fldCharType="begin"/>
        </w:r>
        <w:r w:rsidR="007B2B0A">
          <w:rPr>
            <w:noProof/>
            <w:webHidden/>
          </w:rPr>
          <w:instrText xml:space="preserve"> PAGEREF _Toc432683887 \h </w:instrText>
        </w:r>
        <w:r w:rsidR="007B2B0A">
          <w:rPr>
            <w:noProof/>
            <w:webHidden/>
          </w:rPr>
        </w:r>
        <w:r w:rsidR="007B2B0A">
          <w:rPr>
            <w:noProof/>
            <w:webHidden/>
          </w:rPr>
          <w:fldChar w:fldCharType="separate"/>
        </w:r>
        <w:r w:rsidR="007B2B0A">
          <w:rPr>
            <w:noProof/>
            <w:webHidden/>
          </w:rPr>
          <w:t>19</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8" w:history="1">
        <w:r w:rsidR="007B2B0A" w:rsidRPr="00367E92">
          <w:rPr>
            <w:rStyle w:val="Hyperlink"/>
            <w:noProof/>
          </w:rPr>
          <w:t>3.3.1 Context</w:t>
        </w:r>
        <w:r w:rsidR="007B2B0A">
          <w:rPr>
            <w:noProof/>
            <w:webHidden/>
          </w:rPr>
          <w:tab/>
        </w:r>
        <w:r w:rsidR="007B2B0A">
          <w:rPr>
            <w:noProof/>
            <w:webHidden/>
          </w:rPr>
          <w:fldChar w:fldCharType="begin"/>
        </w:r>
        <w:r w:rsidR="007B2B0A">
          <w:rPr>
            <w:noProof/>
            <w:webHidden/>
          </w:rPr>
          <w:instrText xml:space="preserve"> PAGEREF _Toc432683888 \h </w:instrText>
        </w:r>
        <w:r w:rsidR="007B2B0A">
          <w:rPr>
            <w:noProof/>
            <w:webHidden/>
          </w:rPr>
        </w:r>
        <w:r w:rsidR="007B2B0A">
          <w:rPr>
            <w:noProof/>
            <w:webHidden/>
          </w:rPr>
          <w:fldChar w:fldCharType="separate"/>
        </w:r>
        <w:r w:rsidR="007B2B0A">
          <w:rPr>
            <w:noProof/>
            <w:webHidden/>
          </w:rPr>
          <w:t>19</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89" w:history="1">
        <w:r w:rsidR="007B2B0A" w:rsidRPr="00367E92">
          <w:rPr>
            <w:rStyle w:val="Hyperlink"/>
            <w:noProof/>
          </w:rPr>
          <w:t>3.3.2 Opportunities for NDIA</w:t>
        </w:r>
        <w:r w:rsidR="007B2B0A">
          <w:rPr>
            <w:noProof/>
            <w:webHidden/>
          </w:rPr>
          <w:tab/>
        </w:r>
        <w:r w:rsidR="007B2B0A">
          <w:rPr>
            <w:noProof/>
            <w:webHidden/>
          </w:rPr>
          <w:fldChar w:fldCharType="begin"/>
        </w:r>
        <w:r w:rsidR="007B2B0A">
          <w:rPr>
            <w:noProof/>
            <w:webHidden/>
          </w:rPr>
          <w:instrText xml:space="preserve"> PAGEREF _Toc432683889 \h </w:instrText>
        </w:r>
        <w:r w:rsidR="007B2B0A">
          <w:rPr>
            <w:noProof/>
            <w:webHidden/>
          </w:rPr>
        </w:r>
        <w:r w:rsidR="007B2B0A">
          <w:rPr>
            <w:noProof/>
            <w:webHidden/>
          </w:rPr>
          <w:fldChar w:fldCharType="separate"/>
        </w:r>
        <w:r w:rsidR="007B2B0A">
          <w:rPr>
            <w:noProof/>
            <w:webHidden/>
          </w:rPr>
          <w:t>19</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90" w:history="1">
        <w:r w:rsidR="007B2B0A" w:rsidRPr="00367E92">
          <w:rPr>
            <w:rStyle w:val="Hyperlink"/>
            <w:noProof/>
          </w:rPr>
          <w:t>3.3.3 Proposed initiatives</w:t>
        </w:r>
        <w:r w:rsidR="007B2B0A">
          <w:rPr>
            <w:noProof/>
            <w:webHidden/>
          </w:rPr>
          <w:tab/>
        </w:r>
        <w:r w:rsidR="007B2B0A">
          <w:rPr>
            <w:noProof/>
            <w:webHidden/>
          </w:rPr>
          <w:fldChar w:fldCharType="begin"/>
        </w:r>
        <w:r w:rsidR="007B2B0A">
          <w:rPr>
            <w:noProof/>
            <w:webHidden/>
          </w:rPr>
          <w:instrText xml:space="preserve"> PAGEREF _Toc432683890 \h </w:instrText>
        </w:r>
        <w:r w:rsidR="007B2B0A">
          <w:rPr>
            <w:noProof/>
            <w:webHidden/>
          </w:rPr>
        </w:r>
        <w:r w:rsidR="007B2B0A">
          <w:rPr>
            <w:noProof/>
            <w:webHidden/>
          </w:rPr>
          <w:fldChar w:fldCharType="separate"/>
        </w:r>
        <w:r w:rsidR="007B2B0A">
          <w:rPr>
            <w:noProof/>
            <w:webHidden/>
          </w:rPr>
          <w:t>21</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91" w:history="1">
        <w:r w:rsidR="007B2B0A" w:rsidRPr="00367E92">
          <w:rPr>
            <w:rStyle w:val="Hyperlink"/>
            <w:noProof/>
          </w:rPr>
          <w:t>3.3.4 Financial impact of implementing differential sourcing</w:t>
        </w:r>
        <w:r w:rsidR="007B2B0A">
          <w:rPr>
            <w:noProof/>
            <w:webHidden/>
          </w:rPr>
          <w:tab/>
        </w:r>
        <w:r w:rsidR="007B2B0A">
          <w:rPr>
            <w:noProof/>
            <w:webHidden/>
          </w:rPr>
          <w:fldChar w:fldCharType="begin"/>
        </w:r>
        <w:r w:rsidR="007B2B0A">
          <w:rPr>
            <w:noProof/>
            <w:webHidden/>
          </w:rPr>
          <w:instrText xml:space="preserve"> PAGEREF _Toc432683891 \h </w:instrText>
        </w:r>
        <w:r w:rsidR="007B2B0A">
          <w:rPr>
            <w:noProof/>
            <w:webHidden/>
          </w:rPr>
        </w:r>
        <w:r w:rsidR="007B2B0A">
          <w:rPr>
            <w:noProof/>
            <w:webHidden/>
          </w:rPr>
          <w:fldChar w:fldCharType="separate"/>
        </w:r>
        <w:r w:rsidR="007B2B0A">
          <w:rPr>
            <w:noProof/>
            <w:webHidden/>
          </w:rPr>
          <w:t>23</w:t>
        </w:r>
        <w:r w:rsidR="007B2B0A">
          <w:rPr>
            <w:noProof/>
            <w:webHidden/>
          </w:rPr>
          <w:fldChar w:fldCharType="end"/>
        </w:r>
      </w:hyperlink>
    </w:p>
    <w:p w:rsidR="007B2B0A" w:rsidRDefault="00FA7094">
      <w:pPr>
        <w:pStyle w:val="TOC3"/>
        <w:rPr>
          <w:rFonts w:asciiTheme="minorHAnsi" w:eastAsiaTheme="minorEastAsia" w:hAnsiTheme="minorHAnsi" w:cstheme="minorBidi"/>
          <w:noProof/>
          <w:spacing w:val="0"/>
          <w:sz w:val="22"/>
          <w:szCs w:val="22"/>
          <w:lang w:val="en-AU" w:eastAsia="en-AU"/>
        </w:rPr>
      </w:pPr>
      <w:hyperlink w:anchor="_Toc432683892" w:history="1">
        <w:r w:rsidR="007B2B0A" w:rsidRPr="00367E92">
          <w:rPr>
            <w:rStyle w:val="Hyperlink"/>
            <w:noProof/>
          </w:rPr>
          <w:t>3.3.5 Risks and mitigation approach</w:t>
        </w:r>
        <w:r w:rsidR="007B2B0A">
          <w:rPr>
            <w:noProof/>
            <w:webHidden/>
          </w:rPr>
          <w:tab/>
        </w:r>
        <w:r w:rsidR="007B2B0A">
          <w:rPr>
            <w:noProof/>
            <w:webHidden/>
          </w:rPr>
          <w:fldChar w:fldCharType="begin"/>
        </w:r>
        <w:r w:rsidR="007B2B0A">
          <w:rPr>
            <w:noProof/>
            <w:webHidden/>
          </w:rPr>
          <w:instrText xml:space="preserve"> PAGEREF _Toc432683892 \h </w:instrText>
        </w:r>
        <w:r w:rsidR="007B2B0A">
          <w:rPr>
            <w:noProof/>
            <w:webHidden/>
          </w:rPr>
        </w:r>
        <w:r w:rsidR="007B2B0A">
          <w:rPr>
            <w:noProof/>
            <w:webHidden/>
          </w:rPr>
          <w:fldChar w:fldCharType="separate"/>
        </w:r>
        <w:r w:rsidR="007B2B0A">
          <w:rPr>
            <w:noProof/>
            <w:webHidden/>
          </w:rPr>
          <w:t>25</w:t>
        </w:r>
        <w:r w:rsidR="007B2B0A">
          <w:rPr>
            <w:noProof/>
            <w:webHidden/>
          </w:rPr>
          <w:fldChar w:fldCharType="end"/>
        </w:r>
      </w:hyperlink>
    </w:p>
    <w:p w:rsidR="007B2B0A" w:rsidRDefault="00FA7094">
      <w:pPr>
        <w:pStyle w:val="TOC1"/>
        <w:tabs>
          <w:tab w:val="left" w:pos="400"/>
        </w:tabs>
        <w:rPr>
          <w:rFonts w:asciiTheme="minorHAnsi" w:eastAsiaTheme="minorEastAsia" w:hAnsiTheme="minorHAnsi" w:cstheme="minorBidi"/>
          <w:noProof/>
          <w:spacing w:val="0"/>
          <w:sz w:val="22"/>
          <w:szCs w:val="22"/>
          <w:lang w:val="en-AU" w:eastAsia="en-AU"/>
        </w:rPr>
      </w:pPr>
      <w:hyperlink w:anchor="_Toc432683893" w:history="1">
        <w:r w:rsidR="007B2B0A" w:rsidRPr="00367E92">
          <w:rPr>
            <w:rStyle w:val="Hyperlink"/>
            <w:rFonts w:eastAsia="Times New Roman"/>
            <w:noProof/>
          </w:rPr>
          <w:t>4.</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rFonts w:eastAsia="Times New Roman"/>
            <w:noProof/>
          </w:rPr>
          <w:t>Appendices</w:t>
        </w:r>
        <w:r w:rsidR="007B2B0A">
          <w:rPr>
            <w:noProof/>
            <w:webHidden/>
          </w:rPr>
          <w:tab/>
        </w:r>
        <w:r w:rsidR="007B2B0A">
          <w:rPr>
            <w:noProof/>
            <w:webHidden/>
          </w:rPr>
          <w:fldChar w:fldCharType="begin"/>
        </w:r>
        <w:r w:rsidR="007B2B0A">
          <w:rPr>
            <w:noProof/>
            <w:webHidden/>
          </w:rPr>
          <w:instrText xml:space="preserve"> PAGEREF _Toc432683893 \h </w:instrText>
        </w:r>
        <w:r w:rsidR="007B2B0A">
          <w:rPr>
            <w:noProof/>
            <w:webHidden/>
          </w:rPr>
        </w:r>
        <w:r w:rsidR="007B2B0A">
          <w:rPr>
            <w:noProof/>
            <w:webHidden/>
          </w:rPr>
          <w:fldChar w:fldCharType="separate"/>
        </w:r>
        <w:r w:rsidR="007B2B0A">
          <w:rPr>
            <w:noProof/>
            <w:webHidden/>
          </w:rPr>
          <w:t>26</w:t>
        </w:r>
        <w:r w:rsidR="007B2B0A">
          <w:rPr>
            <w:noProof/>
            <w:webHidden/>
          </w:rPr>
          <w:fldChar w:fldCharType="end"/>
        </w:r>
      </w:hyperlink>
    </w:p>
    <w:p w:rsidR="007B2B0A" w:rsidRDefault="00FA7094">
      <w:pPr>
        <w:pStyle w:val="TOC2"/>
        <w:tabs>
          <w:tab w:val="left" w:pos="1540"/>
          <w:tab w:val="right" w:pos="9010"/>
        </w:tabs>
        <w:rPr>
          <w:rFonts w:asciiTheme="minorHAnsi" w:eastAsiaTheme="minorEastAsia" w:hAnsiTheme="minorHAnsi" w:cstheme="minorBidi"/>
          <w:noProof/>
          <w:spacing w:val="0"/>
          <w:sz w:val="22"/>
          <w:szCs w:val="22"/>
          <w:lang w:val="en-AU" w:eastAsia="en-AU"/>
        </w:rPr>
      </w:pPr>
      <w:hyperlink w:anchor="_Toc432683894" w:history="1">
        <w:r w:rsidR="007B2B0A" w:rsidRPr="00367E92">
          <w:rPr>
            <w:rStyle w:val="Hyperlink"/>
            <w:noProof/>
          </w:rPr>
          <w:t>Appendix 1</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Strategy development</w:t>
        </w:r>
        <w:r w:rsidR="007B2B0A">
          <w:rPr>
            <w:noProof/>
            <w:webHidden/>
          </w:rPr>
          <w:tab/>
        </w:r>
        <w:r w:rsidR="007B2B0A">
          <w:rPr>
            <w:noProof/>
            <w:webHidden/>
          </w:rPr>
          <w:fldChar w:fldCharType="begin"/>
        </w:r>
        <w:r w:rsidR="007B2B0A">
          <w:rPr>
            <w:noProof/>
            <w:webHidden/>
          </w:rPr>
          <w:instrText xml:space="preserve"> PAGEREF _Toc432683894 \h </w:instrText>
        </w:r>
        <w:r w:rsidR="007B2B0A">
          <w:rPr>
            <w:noProof/>
            <w:webHidden/>
          </w:rPr>
        </w:r>
        <w:r w:rsidR="007B2B0A">
          <w:rPr>
            <w:noProof/>
            <w:webHidden/>
          </w:rPr>
          <w:fldChar w:fldCharType="separate"/>
        </w:r>
        <w:r w:rsidR="007B2B0A">
          <w:rPr>
            <w:noProof/>
            <w:webHidden/>
          </w:rPr>
          <w:t>26</w:t>
        </w:r>
        <w:r w:rsidR="007B2B0A">
          <w:rPr>
            <w:noProof/>
            <w:webHidden/>
          </w:rPr>
          <w:fldChar w:fldCharType="end"/>
        </w:r>
      </w:hyperlink>
    </w:p>
    <w:p w:rsidR="007B2B0A" w:rsidRDefault="00FA7094">
      <w:pPr>
        <w:pStyle w:val="TOC2"/>
        <w:tabs>
          <w:tab w:val="left" w:pos="1540"/>
          <w:tab w:val="right" w:pos="9010"/>
        </w:tabs>
        <w:rPr>
          <w:rFonts w:asciiTheme="minorHAnsi" w:eastAsiaTheme="minorEastAsia" w:hAnsiTheme="minorHAnsi" w:cstheme="minorBidi"/>
          <w:noProof/>
          <w:spacing w:val="0"/>
          <w:sz w:val="22"/>
          <w:szCs w:val="22"/>
          <w:lang w:val="en-AU" w:eastAsia="en-AU"/>
        </w:rPr>
      </w:pPr>
      <w:hyperlink w:anchor="_Toc432683895" w:history="1">
        <w:r w:rsidR="007B2B0A" w:rsidRPr="00367E92">
          <w:rPr>
            <w:rStyle w:val="Hyperlink"/>
            <w:noProof/>
          </w:rPr>
          <w:t>Appendix 2</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Membership of AT reference and working groups</w:t>
        </w:r>
        <w:r w:rsidR="007B2B0A">
          <w:rPr>
            <w:noProof/>
            <w:webHidden/>
          </w:rPr>
          <w:tab/>
        </w:r>
        <w:r w:rsidR="007B2B0A">
          <w:rPr>
            <w:noProof/>
            <w:webHidden/>
          </w:rPr>
          <w:fldChar w:fldCharType="begin"/>
        </w:r>
        <w:r w:rsidR="007B2B0A">
          <w:rPr>
            <w:noProof/>
            <w:webHidden/>
          </w:rPr>
          <w:instrText xml:space="preserve"> PAGEREF _Toc432683895 \h </w:instrText>
        </w:r>
        <w:r w:rsidR="007B2B0A">
          <w:rPr>
            <w:noProof/>
            <w:webHidden/>
          </w:rPr>
        </w:r>
        <w:r w:rsidR="007B2B0A">
          <w:rPr>
            <w:noProof/>
            <w:webHidden/>
          </w:rPr>
          <w:fldChar w:fldCharType="separate"/>
        </w:r>
        <w:r w:rsidR="007B2B0A">
          <w:rPr>
            <w:noProof/>
            <w:webHidden/>
          </w:rPr>
          <w:t>27</w:t>
        </w:r>
        <w:r w:rsidR="007B2B0A">
          <w:rPr>
            <w:noProof/>
            <w:webHidden/>
          </w:rPr>
          <w:fldChar w:fldCharType="end"/>
        </w:r>
      </w:hyperlink>
    </w:p>
    <w:p w:rsidR="007B2B0A" w:rsidRDefault="00FA7094">
      <w:pPr>
        <w:pStyle w:val="TOC2"/>
        <w:tabs>
          <w:tab w:val="left" w:pos="1540"/>
          <w:tab w:val="right" w:pos="9010"/>
        </w:tabs>
        <w:rPr>
          <w:rFonts w:asciiTheme="minorHAnsi" w:eastAsiaTheme="minorEastAsia" w:hAnsiTheme="minorHAnsi" w:cstheme="minorBidi"/>
          <w:noProof/>
          <w:spacing w:val="0"/>
          <w:sz w:val="22"/>
          <w:szCs w:val="22"/>
          <w:lang w:val="en-AU" w:eastAsia="en-AU"/>
        </w:rPr>
      </w:pPr>
      <w:hyperlink w:anchor="_Toc432683896" w:history="1">
        <w:r w:rsidR="007B2B0A" w:rsidRPr="00367E92">
          <w:rPr>
            <w:rStyle w:val="Hyperlink"/>
            <w:noProof/>
          </w:rPr>
          <w:t>Appendix 3</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Principles for opportunity identification and strategy development</w:t>
        </w:r>
        <w:r w:rsidR="007B2B0A">
          <w:rPr>
            <w:noProof/>
            <w:webHidden/>
          </w:rPr>
          <w:tab/>
        </w:r>
        <w:r w:rsidR="007B2B0A">
          <w:rPr>
            <w:noProof/>
            <w:webHidden/>
          </w:rPr>
          <w:fldChar w:fldCharType="begin"/>
        </w:r>
        <w:r w:rsidR="007B2B0A">
          <w:rPr>
            <w:noProof/>
            <w:webHidden/>
          </w:rPr>
          <w:instrText xml:space="preserve"> PAGEREF _Toc432683896 \h </w:instrText>
        </w:r>
        <w:r w:rsidR="007B2B0A">
          <w:rPr>
            <w:noProof/>
            <w:webHidden/>
          </w:rPr>
        </w:r>
        <w:r w:rsidR="007B2B0A">
          <w:rPr>
            <w:noProof/>
            <w:webHidden/>
          </w:rPr>
          <w:fldChar w:fldCharType="separate"/>
        </w:r>
        <w:r w:rsidR="007B2B0A">
          <w:rPr>
            <w:noProof/>
            <w:webHidden/>
          </w:rPr>
          <w:t>28</w:t>
        </w:r>
        <w:r w:rsidR="007B2B0A">
          <w:rPr>
            <w:noProof/>
            <w:webHidden/>
          </w:rPr>
          <w:fldChar w:fldCharType="end"/>
        </w:r>
      </w:hyperlink>
    </w:p>
    <w:p w:rsidR="007B2B0A" w:rsidRDefault="00FA7094">
      <w:pPr>
        <w:pStyle w:val="TOC2"/>
        <w:tabs>
          <w:tab w:val="left" w:pos="1540"/>
          <w:tab w:val="right" w:pos="9010"/>
        </w:tabs>
        <w:rPr>
          <w:rFonts w:asciiTheme="minorHAnsi" w:eastAsiaTheme="minorEastAsia" w:hAnsiTheme="minorHAnsi" w:cstheme="minorBidi"/>
          <w:noProof/>
          <w:spacing w:val="0"/>
          <w:sz w:val="22"/>
          <w:szCs w:val="22"/>
          <w:lang w:val="en-AU" w:eastAsia="en-AU"/>
        </w:rPr>
      </w:pPr>
      <w:hyperlink w:anchor="_Toc432683897" w:history="1">
        <w:r w:rsidR="007B2B0A" w:rsidRPr="00367E92">
          <w:rPr>
            <w:rStyle w:val="Hyperlink"/>
            <w:noProof/>
          </w:rPr>
          <w:t>Appendix 4</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Cornerstones of AT service delivery</w:t>
        </w:r>
        <w:r w:rsidR="007B2B0A">
          <w:rPr>
            <w:noProof/>
            <w:webHidden/>
          </w:rPr>
          <w:tab/>
        </w:r>
        <w:r w:rsidR="007B2B0A">
          <w:rPr>
            <w:noProof/>
            <w:webHidden/>
          </w:rPr>
          <w:fldChar w:fldCharType="begin"/>
        </w:r>
        <w:r w:rsidR="007B2B0A">
          <w:rPr>
            <w:noProof/>
            <w:webHidden/>
          </w:rPr>
          <w:instrText xml:space="preserve"> PAGEREF _Toc432683897 \h </w:instrText>
        </w:r>
        <w:r w:rsidR="007B2B0A">
          <w:rPr>
            <w:noProof/>
            <w:webHidden/>
          </w:rPr>
        </w:r>
        <w:r w:rsidR="007B2B0A">
          <w:rPr>
            <w:noProof/>
            <w:webHidden/>
          </w:rPr>
          <w:fldChar w:fldCharType="separate"/>
        </w:r>
        <w:r w:rsidR="007B2B0A">
          <w:rPr>
            <w:noProof/>
            <w:webHidden/>
          </w:rPr>
          <w:t>29</w:t>
        </w:r>
        <w:r w:rsidR="007B2B0A">
          <w:rPr>
            <w:noProof/>
            <w:webHidden/>
          </w:rPr>
          <w:fldChar w:fldCharType="end"/>
        </w:r>
      </w:hyperlink>
    </w:p>
    <w:p w:rsidR="007B2B0A" w:rsidRDefault="00FA7094">
      <w:pPr>
        <w:pStyle w:val="TOC2"/>
        <w:tabs>
          <w:tab w:val="left" w:pos="1540"/>
          <w:tab w:val="right" w:pos="9010"/>
        </w:tabs>
        <w:rPr>
          <w:rFonts w:asciiTheme="minorHAnsi" w:eastAsiaTheme="minorEastAsia" w:hAnsiTheme="minorHAnsi" w:cstheme="minorBidi"/>
          <w:noProof/>
          <w:spacing w:val="0"/>
          <w:sz w:val="22"/>
          <w:szCs w:val="22"/>
          <w:lang w:val="en-AU" w:eastAsia="en-AU"/>
        </w:rPr>
      </w:pPr>
      <w:hyperlink w:anchor="_Toc432683898" w:history="1">
        <w:r w:rsidR="007B2B0A" w:rsidRPr="00367E92">
          <w:rPr>
            <w:rStyle w:val="Hyperlink"/>
            <w:noProof/>
          </w:rPr>
          <w:t>Appendix 5</w:t>
        </w:r>
        <w:r w:rsidR="007B2B0A">
          <w:rPr>
            <w:rFonts w:asciiTheme="minorHAnsi" w:eastAsiaTheme="minorEastAsia" w:hAnsiTheme="minorHAnsi" w:cstheme="minorBidi"/>
            <w:noProof/>
            <w:spacing w:val="0"/>
            <w:sz w:val="22"/>
            <w:szCs w:val="22"/>
            <w:lang w:val="en-AU" w:eastAsia="en-AU"/>
          </w:rPr>
          <w:tab/>
        </w:r>
        <w:r w:rsidR="007B2B0A" w:rsidRPr="00367E92">
          <w:rPr>
            <w:rStyle w:val="Hyperlink"/>
            <w:noProof/>
          </w:rPr>
          <w:t>Participant capacity-building framework</w:t>
        </w:r>
        <w:r w:rsidR="007B2B0A">
          <w:rPr>
            <w:noProof/>
            <w:webHidden/>
          </w:rPr>
          <w:tab/>
        </w:r>
        <w:r w:rsidR="007B2B0A">
          <w:rPr>
            <w:noProof/>
            <w:webHidden/>
          </w:rPr>
          <w:fldChar w:fldCharType="begin"/>
        </w:r>
        <w:r w:rsidR="007B2B0A">
          <w:rPr>
            <w:noProof/>
            <w:webHidden/>
          </w:rPr>
          <w:instrText xml:space="preserve"> PAGEREF _Toc432683898 \h </w:instrText>
        </w:r>
        <w:r w:rsidR="007B2B0A">
          <w:rPr>
            <w:noProof/>
            <w:webHidden/>
          </w:rPr>
        </w:r>
        <w:r w:rsidR="007B2B0A">
          <w:rPr>
            <w:noProof/>
            <w:webHidden/>
          </w:rPr>
          <w:fldChar w:fldCharType="separate"/>
        </w:r>
        <w:r w:rsidR="007B2B0A">
          <w:rPr>
            <w:noProof/>
            <w:webHidden/>
          </w:rPr>
          <w:t>30</w:t>
        </w:r>
        <w:r w:rsidR="007B2B0A">
          <w:rPr>
            <w:noProof/>
            <w:webHidden/>
          </w:rPr>
          <w:fldChar w:fldCharType="end"/>
        </w:r>
      </w:hyperlink>
    </w:p>
    <w:p w:rsidR="00403795" w:rsidRPr="00633370" w:rsidRDefault="00D77382" w:rsidP="002A40A5">
      <w:pPr>
        <w:pStyle w:val="TOC1"/>
        <w:rPr>
          <w:b/>
          <w:bCs/>
        </w:rPr>
      </w:pPr>
      <w:r w:rsidRPr="00DD7073">
        <w:fldChar w:fldCharType="end"/>
      </w:r>
      <w:r w:rsidR="00403795" w:rsidRPr="00633370">
        <w:br w:type="page"/>
      </w:r>
    </w:p>
    <w:p w:rsidR="00E63091" w:rsidRPr="00633370" w:rsidRDefault="0053676C" w:rsidP="007214DF">
      <w:pPr>
        <w:pStyle w:val="heading1nonumber"/>
      </w:pPr>
      <w:bookmarkStart w:id="0" w:name="_Toc432683862"/>
      <w:r w:rsidRPr="00633370">
        <w:lastRenderedPageBreak/>
        <w:t xml:space="preserve">Executive </w:t>
      </w:r>
      <w:r w:rsidR="00101419" w:rsidRPr="00633370">
        <w:t>s</w:t>
      </w:r>
      <w:r w:rsidR="00F336AA" w:rsidRPr="00633370">
        <w:t>ummary</w:t>
      </w:r>
      <w:bookmarkEnd w:id="0"/>
    </w:p>
    <w:p w:rsidR="00245018" w:rsidRDefault="00245018" w:rsidP="000E6BAB">
      <w:pPr>
        <w:pStyle w:val="ListBullet"/>
      </w:pPr>
      <w:r>
        <w:t xml:space="preserve">Technology is increasingly enabling people with disability to perform tasks </w:t>
      </w:r>
      <w:r w:rsidR="00C347E9">
        <w:t xml:space="preserve">they could not otherwise do, </w:t>
      </w:r>
      <w:r>
        <w:t xml:space="preserve">to perform tasks more easily, </w:t>
      </w:r>
      <w:r w:rsidR="00C347E9">
        <w:t>and to perform the</w:t>
      </w:r>
      <w:r w:rsidR="00FB4CCA">
        <w:t>m</w:t>
      </w:r>
      <w:r w:rsidR="00C347E9">
        <w:t xml:space="preserve"> more </w:t>
      </w:r>
      <w:r w:rsidR="00FB4CCA">
        <w:t>safe and securely. It is allowing</w:t>
      </w:r>
      <w:r>
        <w:t xml:space="preserve"> </w:t>
      </w:r>
      <w:r w:rsidR="00FB4CCA">
        <w:t xml:space="preserve">many </w:t>
      </w:r>
      <w:r>
        <w:t xml:space="preserve">people with disability to reach their potential at home, in their community and in the workplace. The </w:t>
      </w:r>
      <w:r w:rsidR="00472D17">
        <w:t>National Disability Insurance Agency (</w:t>
      </w:r>
      <w:r>
        <w:t>NDIA</w:t>
      </w:r>
      <w:r w:rsidR="00472D17">
        <w:t>)</w:t>
      </w:r>
      <w:r>
        <w:t xml:space="preserve"> wants to optimise the opportunities that technological advancement and digital disruption is offering society, putting people with a disability at the forefront of these opportunities. </w:t>
      </w:r>
    </w:p>
    <w:p w:rsidR="00D116CA" w:rsidRDefault="005C4A11" w:rsidP="000E6BAB">
      <w:pPr>
        <w:pStyle w:val="ListBullet"/>
      </w:pPr>
      <w:r>
        <w:t xml:space="preserve">The National Disability Insurance Scheme (NDIS) was founded on a simple goal – to provide all Australians who are born with or acquire a permanent and significant disability before the age of 65 with </w:t>
      </w:r>
      <w:r w:rsidR="005D499C">
        <w:t xml:space="preserve">the </w:t>
      </w:r>
      <w:r>
        <w:t>necessary supports</w:t>
      </w:r>
      <w:r w:rsidR="005D499C">
        <w:t xml:space="preserve"> </w:t>
      </w:r>
      <w:r w:rsidR="00245018">
        <w:t>to live a better life and one</w:t>
      </w:r>
      <w:r w:rsidR="005D499C">
        <w:t xml:space="preserve"> of inclusion. Adv</w:t>
      </w:r>
      <w:r w:rsidR="00245018">
        <w:t>ancements in technology will be crucial as the Agency works towards achieving this goal.</w:t>
      </w:r>
    </w:p>
    <w:p w:rsidR="00A22F20" w:rsidRDefault="00D116CA" w:rsidP="000E6BAB">
      <w:pPr>
        <w:pStyle w:val="ListBullet"/>
      </w:pPr>
      <w:r>
        <w:t xml:space="preserve">This </w:t>
      </w:r>
      <w:r w:rsidR="00EA0F9C">
        <w:t xml:space="preserve">document </w:t>
      </w:r>
      <w:r w:rsidR="00496B64">
        <w:t>represents</w:t>
      </w:r>
      <w:r w:rsidR="00EA0F9C">
        <w:t xml:space="preserve"> the NDIA’s Ass</w:t>
      </w:r>
      <w:r w:rsidR="00A22F20">
        <w:t>istive Technology</w:t>
      </w:r>
      <w:r w:rsidR="000E6BAB">
        <w:t xml:space="preserve"> (AT) strategy</w:t>
      </w:r>
      <w:r w:rsidR="00496B64">
        <w:t xml:space="preserve"> development to this point</w:t>
      </w:r>
      <w:r w:rsidR="000E6BAB">
        <w:t xml:space="preserve">. As the proposed initiatives in this strategy are developed </w:t>
      </w:r>
      <w:r w:rsidR="00FB4CCA">
        <w:t>and the NDIS</w:t>
      </w:r>
      <w:r w:rsidR="000E6BAB">
        <w:t xml:space="preserve"> </w:t>
      </w:r>
      <w:r w:rsidR="00FB4CCA">
        <w:t xml:space="preserve">moves to full </w:t>
      </w:r>
      <w:r w:rsidR="000E6BAB">
        <w:t xml:space="preserve">roll out in July 2016, the strategy will </w:t>
      </w:r>
      <w:r w:rsidR="00496B64">
        <w:t xml:space="preserve">continue to be refined and </w:t>
      </w:r>
      <w:r w:rsidR="000E6BAB">
        <w:t>updated.</w:t>
      </w:r>
    </w:p>
    <w:p w:rsidR="00D116CA" w:rsidRDefault="00EA0F9C" w:rsidP="000E6BAB">
      <w:pPr>
        <w:pStyle w:val="ListBullet"/>
      </w:pPr>
      <w:r>
        <w:t xml:space="preserve">The NDIA’s vision in AT is to </w:t>
      </w:r>
      <w:r w:rsidRPr="00245018">
        <w:rPr>
          <w:i/>
        </w:rPr>
        <w:t xml:space="preserve">build an empowering, sustainable and consistent approach to ensuring National Disability Insurance Scheme participants have choice in, and access to, individualised assistive technology solutions that enable and enhance </w:t>
      </w:r>
      <w:r w:rsidR="00245018" w:rsidRPr="00245018">
        <w:rPr>
          <w:i/>
        </w:rPr>
        <w:t xml:space="preserve">their </w:t>
      </w:r>
      <w:r w:rsidRPr="00245018">
        <w:rPr>
          <w:i/>
        </w:rPr>
        <w:t>economic and community participation.</w:t>
      </w:r>
    </w:p>
    <w:p w:rsidR="00397F37" w:rsidRDefault="00397F37" w:rsidP="000E6BAB">
      <w:pPr>
        <w:pStyle w:val="ListBullet"/>
      </w:pPr>
      <w:r>
        <w:t xml:space="preserve">In line with the vision, </w:t>
      </w:r>
      <w:r w:rsidR="00245018">
        <w:t xml:space="preserve">the document outlines the three strategic priorities for achieving this vision and proposes initiatives to meet each of these strategies: </w:t>
      </w:r>
    </w:p>
    <w:p w:rsidR="000E6BAB" w:rsidRDefault="000E6BAB" w:rsidP="000E6BAB">
      <w:pPr>
        <w:pStyle w:val="ListBullet"/>
      </w:pPr>
      <w:r>
        <w:rPr>
          <w:b/>
        </w:rPr>
        <w:t xml:space="preserve">Strategic Priority 1: </w:t>
      </w:r>
      <w:r w:rsidRPr="00FF630A">
        <w:rPr>
          <w:b/>
        </w:rPr>
        <w:t xml:space="preserve">Support and stimulate a vibrant and innovative </w:t>
      </w:r>
      <w:r w:rsidR="00157764" w:rsidRPr="00FF630A">
        <w:rPr>
          <w:b/>
        </w:rPr>
        <w:t xml:space="preserve">supply-side </w:t>
      </w:r>
      <w:r w:rsidRPr="00FF630A">
        <w:rPr>
          <w:b/>
        </w:rPr>
        <w:t>market</w:t>
      </w:r>
      <w:r>
        <w:t xml:space="preserve"> </w:t>
      </w:r>
      <w:r w:rsidR="00AA75D5">
        <w:t>by providing a conduit for innovation and promoting the take-up of technology solutions</w:t>
      </w:r>
      <w:r>
        <w:t>.</w:t>
      </w:r>
    </w:p>
    <w:p w:rsidR="00747835" w:rsidRPr="000E6BAB" w:rsidRDefault="00747835" w:rsidP="000E6BAB">
      <w:pPr>
        <w:pStyle w:val="ListBullet"/>
        <w:rPr>
          <w:b/>
        </w:rPr>
      </w:pPr>
      <w:r w:rsidRPr="000E6BAB">
        <w:rPr>
          <w:b/>
        </w:rPr>
        <w:t>Proposed Initiative</w:t>
      </w:r>
    </w:p>
    <w:p w:rsidR="00747835" w:rsidRDefault="00747835" w:rsidP="000E6BAB">
      <w:pPr>
        <w:pStyle w:val="ListBullet"/>
      </w:pPr>
      <w:r>
        <w:t xml:space="preserve">The proposed initiative is to establish an innovation hub that: (1) </w:t>
      </w:r>
      <w:r>
        <w:rPr>
          <w:lang w:val="en-AU"/>
        </w:rPr>
        <w:t>c</w:t>
      </w:r>
      <w:r w:rsidRPr="008D03AC">
        <w:rPr>
          <w:lang w:val="en-AU"/>
        </w:rPr>
        <w:t>apture</w:t>
      </w:r>
      <w:r>
        <w:rPr>
          <w:lang w:val="en-AU"/>
        </w:rPr>
        <w:t xml:space="preserve">s information and builds </w:t>
      </w:r>
      <w:r w:rsidRPr="008D03AC">
        <w:rPr>
          <w:lang w:val="en-AU"/>
        </w:rPr>
        <w:t>an evidence base</w:t>
      </w:r>
      <w:r w:rsidR="00075FE7">
        <w:rPr>
          <w:lang w:val="en-AU"/>
        </w:rPr>
        <w:t xml:space="preserve"> around disability needs</w:t>
      </w:r>
      <w:r w:rsidRPr="008D03AC">
        <w:rPr>
          <w:lang w:val="en-AU"/>
        </w:rPr>
        <w:t xml:space="preserve"> to stimulate innovation</w:t>
      </w:r>
      <w:r w:rsidR="00245018">
        <w:rPr>
          <w:lang w:val="en-AU"/>
        </w:rPr>
        <w:t>;</w:t>
      </w:r>
      <w:r>
        <w:rPr>
          <w:lang w:val="en-AU"/>
        </w:rPr>
        <w:t xml:space="preserve"> (2) s</w:t>
      </w:r>
      <w:r w:rsidRPr="008D03AC">
        <w:rPr>
          <w:lang w:val="en-AU"/>
        </w:rPr>
        <w:t>timulate</w:t>
      </w:r>
      <w:r>
        <w:rPr>
          <w:lang w:val="en-AU"/>
        </w:rPr>
        <w:t>s</w:t>
      </w:r>
      <w:r w:rsidRPr="008D03AC">
        <w:rPr>
          <w:lang w:val="en-AU"/>
        </w:rPr>
        <w:t xml:space="preserve"> the uptake of existing</w:t>
      </w:r>
      <w:r w:rsidR="00075FE7">
        <w:rPr>
          <w:lang w:val="en-AU"/>
        </w:rPr>
        <w:t>,</w:t>
      </w:r>
      <w:r w:rsidRPr="008D03AC">
        <w:rPr>
          <w:lang w:val="en-AU"/>
        </w:rPr>
        <w:t xml:space="preserve"> new and mainstream technologies</w:t>
      </w:r>
      <w:r>
        <w:rPr>
          <w:lang w:val="en-AU"/>
        </w:rPr>
        <w:t xml:space="preserve">; and (3) tests and trials </w:t>
      </w:r>
      <w:r w:rsidRPr="008D03AC">
        <w:rPr>
          <w:lang w:val="en-AU"/>
        </w:rPr>
        <w:t>new technologies to stimulate industry solution development</w:t>
      </w:r>
      <w:r>
        <w:rPr>
          <w:lang w:val="en-AU"/>
        </w:rPr>
        <w:t>.</w:t>
      </w:r>
    </w:p>
    <w:p w:rsidR="00E77126" w:rsidRDefault="000E6BAB" w:rsidP="000E6BAB">
      <w:pPr>
        <w:pStyle w:val="ListBullet"/>
      </w:pPr>
      <w:r w:rsidRPr="000E6BAB">
        <w:rPr>
          <w:b/>
        </w:rPr>
        <w:t>Strateg</w:t>
      </w:r>
      <w:r w:rsidR="00FA7094">
        <w:rPr>
          <w:b/>
        </w:rPr>
        <w:t>ic</w:t>
      </w:r>
      <w:r w:rsidRPr="000E6BAB">
        <w:rPr>
          <w:b/>
        </w:rPr>
        <w:t xml:space="preserve"> Priority 2</w:t>
      </w:r>
      <w:r w:rsidR="00FB4CCA" w:rsidRPr="00FB4CCA">
        <w:t xml:space="preserve"> </w:t>
      </w:r>
      <w:r w:rsidR="00FB4CCA" w:rsidRPr="00FF630A">
        <w:rPr>
          <w:b/>
        </w:rPr>
        <w:t>Support and stimulate informed, active, participant-led demand</w:t>
      </w:r>
      <w:r w:rsidR="00FB4CCA">
        <w:t xml:space="preserve"> by empowering participants to choose technology that best supports their needs </w:t>
      </w:r>
    </w:p>
    <w:p w:rsidR="000E6BAB" w:rsidRDefault="00747835" w:rsidP="000E6BAB">
      <w:pPr>
        <w:pStyle w:val="ListBullet"/>
        <w:rPr>
          <w:b/>
        </w:rPr>
      </w:pPr>
      <w:r w:rsidRPr="000E6BAB">
        <w:rPr>
          <w:b/>
        </w:rPr>
        <w:t>Proposed Initiatives</w:t>
      </w:r>
    </w:p>
    <w:p w:rsidR="00747835" w:rsidRPr="000E6BAB" w:rsidRDefault="00747835" w:rsidP="000E6BAB">
      <w:pPr>
        <w:pStyle w:val="ListBullet"/>
        <w:rPr>
          <w:b/>
        </w:rPr>
      </w:pPr>
      <w:r>
        <w:rPr>
          <w:lang w:val="en-AU"/>
        </w:rPr>
        <w:t>The proposed initiatives are to (1) investigate</w:t>
      </w:r>
      <w:r w:rsidRPr="008D03AC">
        <w:rPr>
          <w:lang w:val="en-AU"/>
        </w:rPr>
        <w:t xml:space="preserve"> and determine the right </w:t>
      </w:r>
      <w:r w:rsidR="00FB4CCA">
        <w:rPr>
          <w:lang w:val="en-AU"/>
        </w:rPr>
        <w:t xml:space="preserve">multichannel </w:t>
      </w:r>
      <w:r>
        <w:rPr>
          <w:lang w:val="en-AU"/>
        </w:rPr>
        <w:t>national model – online, face-to-face, over the phone – for providing information about assistive technology options to NDIS participants; (2) r</w:t>
      </w:r>
      <w:r w:rsidRPr="008D03AC">
        <w:rPr>
          <w:lang w:val="en-AU"/>
        </w:rPr>
        <w:t>efine and finalise</w:t>
      </w:r>
      <w:r>
        <w:rPr>
          <w:lang w:val="en-AU"/>
        </w:rPr>
        <w:t xml:space="preserve"> the participant capacity-building framework – a framework used to determine the capacity of a participant to choose and impl</w:t>
      </w:r>
      <w:r w:rsidR="00FB4CCA">
        <w:rPr>
          <w:lang w:val="en-AU"/>
        </w:rPr>
        <w:t xml:space="preserve">ement assistive technology; </w:t>
      </w:r>
      <w:r>
        <w:rPr>
          <w:lang w:val="en-AU"/>
        </w:rPr>
        <w:t>suggest w</w:t>
      </w:r>
      <w:r w:rsidR="00FB4CCA">
        <w:rPr>
          <w:lang w:val="en-AU"/>
        </w:rPr>
        <w:t xml:space="preserve">ays to build upon this capacity; </w:t>
      </w:r>
      <w:r>
        <w:rPr>
          <w:lang w:val="en-AU"/>
        </w:rPr>
        <w:t>and</w:t>
      </w:r>
      <w:r w:rsidR="00FB4CCA">
        <w:rPr>
          <w:lang w:val="en-AU"/>
        </w:rPr>
        <w:t>,</w:t>
      </w:r>
      <w:r>
        <w:rPr>
          <w:lang w:val="en-AU"/>
        </w:rPr>
        <w:t xml:space="preserve"> recommend a level of professional support for selection of assistive technology</w:t>
      </w:r>
      <w:r w:rsidR="00FB4CCA">
        <w:rPr>
          <w:lang w:val="en-AU"/>
        </w:rPr>
        <w:t>;</w:t>
      </w:r>
      <w:r>
        <w:rPr>
          <w:lang w:val="en-AU"/>
        </w:rPr>
        <w:t xml:space="preserve"> </w:t>
      </w:r>
      <w:r>
        <w:t xml:space="preserve">and (3) review </w:t>
      </w:r>
      <w:r w:rsidRPr="008D03AC">
        <w:rPr>
          <w:lang w:val="en-AU"/>
        </w:rPr>
        <w:t>Agency processes, policies and systems to optimise their support for participant choice and con</w:t>
      </w:r>
      <w:r>
        <w:rPr>
          <w:lang w:val="en-AU"/>
        </w:rPr>
        <w:t>trol.</w:t>
      </w:r>
    </w:p>
    <w:p w:rsidR="00615FA4" w:rsidRDefault="000E6BAB" w:rsidP="000E6BAB">
      <w:pPr>
        <w:pStyle w:val="ListBullet"/>
      </w:pPr>
      <w:r w:rsidRPr="000E6BAB">
        <w:rPr>
          <w:b/>
        </w:rPr>
        <w:t xml:space="preserve">Strategic Priority </w:t>
      </w:r>
      <w:r w:rsidR="00747835" w:rsidRPr="000E6BAB">
        <w:rPr>
          <w:b/>
        </w:rPr>
        <w:t>3:</w:t>
      </w:r>
      <w:r w:rsidR="00747835">
        <w:t xml:space="preserve"> </w:t>
      </w:r>
      <w:r w:rsidR="00354C18">
        <w:rPr>
          <w:b/>
        </w:rPr>
        <w:t>Deliver</w:t>
      </w:r>
      <w:r w:rsidR="00FF630A" w:rsidRPr="00FF630A">
        <w:rPr>
          <w:b/>
        </w:rPr>
        <w:t xml:space="preserve"> a financially robust, sustainable scheme that generates economic and social value</w:t>
      </w:r>
      <w:r w:rsidR="00FF630A" w:rsidRPr="00FF630A" w:rsidDel="00FF630A">
        <w:rPr>
          <w:b/>
        </w:rPr>
        <w:t xml:space="preserve"> </w:t>
      </w:r>
      <w:r w:rsidR="00BD714E">
        <w:t xml:space="preserve">with the Agency only intervening to optimise </w:t>
      </w:r>
      <w:r w:rsidR="00F90857">
        <w:t xml:space="preserve">outcomes </w:t>
      </w:r>
      <w:r w:rsidR="00BD714E">
        <w:t xml:space="preserve">for participants and economic </w:t>
      </w:r>
      <w:r w:rsidR="00B57A8E">
        <w:t>value</w:t>
      </w:r>
      <w:r w:rsidR="00BD714E">
        <w:t xml:space="preserve"> for the Scheme.</w:t>
      </w:r>
    </w:p>
    <w:p w:rsidR="009C1922" w:rsidRPr="000E6BAB" w:rsidRDefault="009C1922" w:rsidP="000E6BAB">
      <w:pPr>
        <w:pStyle w:val="ListBullet"/>
        <w:rPr>
          <w:b/>
        </w:rPr>
      </w:pPr>
      <w:r w:rsidRPr="000E6BAB">
        <w:rPr>
          <w:b/>
        </w:rPr>
        <w:t>Proposed Initiatives</w:t>
      </w:r>
    </w:p>
    <w:p w:rsidR="008911C3" w:rsidRDefault="00747835" w:rsidP="000E6BAB">
      <w:pPr>
        <w:rPr>
          <w:lang w:val="en-AU"/>
        </w:rPr>
      </w:pPr>
      <w:r>
        <w:rPr>
          <w:lang w:val="en-AU"/>
        </w:rPr>
        <w:t>T</w:t>
      </w:r>
      <w:r w:rsidR="008911C3">
        <w:rPr>
          <w:lang w:val="en-AU"/>
        </w:rPr>
        <w:t>he p</w:t>
      </w:r>
      <w:r w:rsidR="00615FA4">
        <w:rPr>
          <w:lang w:val="en-AU"/>
        </w:rPr>
        <w:t>roposed initiatives are to (1) employ an approach</w:t>
      </w:r>
      <w:r w:rsidR="00075FE7">
        <w:rPr>
          <w:lang w:val="en-AU"/>
        </w:rPr>
        <w:t xml:space="preserve"> to assistive technology sourcing</w:t>
      </w:r>
      <w:r w:rsidR="00615FA4">
        <w:rPr>
          <w:lang w:val="en-AU"/>
        </w:rPr>
        <w:t xml:space="preserve"> ranging from free market to central sourcing by the Agency</w:t>
      </w:r>
      <w:r w:rsidR="008911C3">
        <w:rPr>
          <w:lang w:val="en-AU"/>
        </w:rPr>
        <w:t xml:space="preserve">; and (2) develop </w:t>
      </w:r>
      <w:r w:rsidR="008911C3" w:rsidRPr="00CB6592">
        <w:rPr>
          <w:lang w:val="en-AU"/>
        </w:rPr>
        <w:t>the organisational capability and governance needed to ensure sustainability and value creation</w:t>
      </w:r>
      <w:r w:rsidR="008911C3">
        <w:rPr>
          <w:lang w:val="en-AU"/>
        </w:rPr>
        <w:t>.</w:t>
      </w:r>
    </w:p>
    <w:p w:rsidR="000E6BAB" w:rsidRDefault="000E6BAB" w:rsidP="000E6BAB">
      <w:pPr>
        <w:rPr>
          <w:lang w:val="en-AU"/>
        </w:rPr>
      </w:pPr>
      <w:r>
        <w:rPr>
          <w:lang w:val="en-AU"/>
        </w:rPr>
        <w:t>The proposed initiatives should improve the market develo</w:t>
      </w:r>
      <w:r w:rsidR="00CA2524">
        <w:rPr>
          <w:lang w:val="en-AU"/>
        </w:rPr>
        <w:t xml:space="preserve">pment of </w:t>
      </w:r>
      <w:r w:rsidR="00FB4CCA">
        <w:rPr>
          <w:lang w:val="en-AU"/>
        </w:rPr>
        <w:t>assistive technology, increase</w:t>
      </w:r>
      <w:r w:rsidR="00CA2524">
        <w:rPr>
          <w:lang w:val="en-AU"/>
        </w:rPr>
        <w:t xml:space="preserve"> investment into innovative technology that will be of greatest benefit</w:t>
      </w:r>
      <w:r w:rsidR="00245018">
        <w:rPr>
          <w:lang w:val="en-AU"/>
        </w:rPr>
        <w:t xml:space="preserve"> to NDIS participants, improve</w:t>
      </w:r>
      <w:r w:rsidR="00CA2524">
        <w:rPr>
          <w:lang w:val="en-AU"/>
        </w:rPr>
        <w:t xml:space="preserve"> the knowledge and capacity of NDIS participants to choose the assistive technology that best meets their needs, and he</w:t>
      </w:r>
      <w:r w:rsidR="00245018">
        <w:rPr>
          <w:lang w:val="en-AU"/>
        </w:rPr>
        <w:t>l</w:t>
      </w:r>
      <w:r w:rsidR="00FB4CCA">
        <w:rPr>
          <w:lang w:val="en-AU"/>
        </w:rPr>
        <w:t xml:space="preserve">p the NDIA with its role in the </w:t>
      </w:r>
      <w:r w:rsidR="00245018">
        <w:rPr>
          <w:lang w:val="en-AU"/>
        </w:rPr>
        <w:t xml:space="preserve">different product </w:t>
      </w:r>
      <w:r w:rsidR="00CA2524">
        <w:rPr>
          <w:lang w:val="en-AU"/>
        </w:rPr>
        <w:t xml:space="preserve">markets of </w:t>
      </w:r>
      <w:r w:rsidR="00FB4CCA">
        <w:rPr>
          <w:lang w:val="en-AU"/>
        </w:rPr>
        <w:t xml:space="preserve">AT, a role ranging from no intervention </w:t>
      </w:r>
      <w:r w:rsidR="00245018">
        <w:rPr>
          <w:lang w:val="en-AU"/>
        </w:rPr>
        <w:t>to central sourcing.</w:t>
      </w:r>
    </w:p>
    <w:p w:rsidR="008911C3" w:rsidRPr="00A06392" w:rsidRDefault="00245018" w:rsidP="00A06392">
      <w:pPr>
        <w:rPr>
          <w:lang w:val="en-AU"/>
        </w:rPr>
      </w:pPr>
      <w:r>
        <w:rPr>
          <w:lang w:val="en-AU"/>
        </w:rPr>
        <w:t xml:space="preserve">A high-level implementation roadmap and a work plan for each </w:t>
      </w:r>
      <w:r w:rsidR="00A06392">
        <w:rPr>
          <w:lang w:val="en-AU"/>
        </w:rPr>
        <w:t>of the proposed initiatives has</w:t>
      </w:r>
      <w:r>
        <w:rPr>
          <w:lang w:val="en-AU"/>
        </w:rPr>
        <w:t xml:space="preserve"> been developed, along with a comprehensive stakeholder engagement strategy to ensure Scheme participants, suppliers, allied health professionals and others understand the proposed</w:t>
      </w:r>
      <w:r w:rsidR="00157764">
        <w:rPr>
          <w:lang w:val="en-AU"/>
        </w:rPr>
        <w:t xml:space="preserve"> path forward and its rationale.</w:t>
      </w:r>
    </w:p>
    <w:p w:rsidR="006340E8" w:rsidRPr="00633370" w:rsidRDefault="006A0427" w:rsidP="00E31A5F">
      <w:pPr>
        <w:pStyle w:val="Heading1"/>
      </w:pPr>
      <w:bookmarkStart w:id="1" w:name="_Toc432683863"/>
      <w:r w:rsidRPr="00633370">
        <w:lastRenderedPageBreak/>
        <w:t>Introduction</w:t>
      </w:r>
      <w:bookmarkEnd w:id="1"/>
    </w:p>
    <w:p w:rsidR="00195637" w:rsidRPr="00633370" w:rsidRDefault="00195637" w:rsidP="00195637">
      <w:r w:rsidRPr="00633370">
        <w:t xml:space="preserve">This document lays out </w:t>
      </w:r>
      <w:r w:rsidR="00472D17">
        <w:t>NDIA</w:t>
      </w:r>
      <w:r w:rsidR="002B78DB">
        <w:t xml:space="preserve">’s </w:t>
      </w:r>
      <w:r w:rsidRPr="00633370">
        <w:t xml:space="preserve">proposed strategy </w:t>
      </w:r>
      <w:r w:rsidR="006004C9" w:rsidRPr="00633370">
        <w:t>for</w:t>
      </w:r>
      <w:r w:rsidRPr="00633370">
        <w:t xml:space="preserve"> </w:t>
      </w:r>
      <w:r w:rsidR="00876B9D">
        <w:t>the provision of</w:t>
      </w:r>
      <w:r w:rsidR="00A06392">
        <w:t xml:space="preserve"> AT</w:t>
      </w:r>
      <w:r w:rsidR="00876B9D">
        <w:t xml:space="preserve">. </w:t>
      </w:r>
      <w:r w:rsidR="00A06392">
        <w:t xml:space="preserve">AT </w:t>
      </w:r>
      <w:r w:rsidR="00876B9D">
        <w:t xml:space="preserve">is used in this document as an umbrella term for </w:t>
      </w:r>
      <w:r w:rsidRPr="00633370">
        <w:t xml:space="preserve">the large and diverse group of products, </w:t>
      </w:r>
      <w:r w:rsidR="006D67D6">
        <w:t xml:space="preserve">systems, </w:t>
      </w:r>
      <w:r w:rsidR="009A28B6">
        <w:t xml:space="preserve">services, </w:t>
      </w:r>
      <w:r w:rsidRPr="00633370">
        <w:t xml:space="preserve">devices and technologies used by people with a disability to support and enhance </w:t>
      </w:r>
      <w:r w:rsidR="00054FE1" w:rsidRPr="00633370">
        <w:t xml:space="preserve">their </w:t>
      </w:r>
      <w:r w:rsidRPr="00633370">
        <w:t>economic and social participation. Assistive technologies, from the new and sophisticated (</w:t>
      </w:r>
      <w:r w:rsidR="00054FE1" w:rsidRPr="00633370">
        <w:t>smartphones</w:t>
      </w:r>
      <w:r w:rsidRPr="00633370">
        <w:t>, satellite navigation) to the old and simple (</w:t>
      </w:r>
      <w:r w:rsidR="006004C9" w:rsidRPr="00633370">
        <w:t>home telephones</w:t>
      </w:r>
      <w:r w:rsidR="003C18F2">
        <w:t xml:space="preserve">, maps) are ubiquitous and </w:t>
      </w:r>
      <w:r w:rsidRPr="00633370">
        <w:t>used by people with and without disability in th</w:t>
      </w:r>
      <w:r w:rsidR="00876B9D">
        <w:t xml:space="preserve">eir daily lives. The term is </w:t>
      </w:r>
      <w:r w:rsidRPr="00633370">
        <w:t>neutral and inclusive in the context of disability, in line with NDIA’s ph</w:t>
      </w:r>
      <w:r w:rsidR="002256F5">
        <w:t>ilosophy and approach</w:t>
      </w:r>
      <w:r w:rsidR="00C347E9">
        <w:t>.</w:t>
      </w:r>
    </w:p>
    <w:p w:rsidR="004D6F78" w:rsidRPr="00633370" w:rsidRDefault="006A0427" w:rsidP="00F20BF7">
      <w:r w:rsidRPr="00633370">
        <w:t xml:space="preserve">NDIA’s overarching vision for </w:t>
      </w:r>
      <w:r w:rsidR="00AF2CA0" w:rsidRPr="00633370">
        <w:t xml:space="preserve">AT </w:t>
      </w:r>
      <w:r w:rsidRPr="00633370">
        <w:t xml:space="preserve">is </w:t>
      </w:r>
      <w:r w:rsidRPr="00633370">
        <w:rPr>
          <w:bCs/>
          <w:i/>
          <w:iCs/>
        </w:rPr>
        <w:t>to build an empowering, sustainable and consistent approach to ensuring NDIS participants have choice in</w:t>
      </w:r>
      <w:r w:rsidR="009A28B6">
        <w:rPr>
          <w:bCs/>
          <w:i/>
          <w:iCs/>
        </w:rPr>
        <w:t>,</w:t>
      </w:r>
      <w:r w:rsidRPr="00633370">
        <w:rPr>
          <w:bCs/>
          <w:i/>
          <w:iCs/>
        </w:rPr>
        <w:t xml:space="preserve"> and access to</w:t>
      </w:r>
      <w:r w:rsidR="009A28B6">
        <w:rPr>
          <w:bCs/>
          <w:i/>
          <w:iCs/>
        </w:rPr>
        <w:t>,</w:t>
      </w:r>
      <w:r w:rsidRPr="00633370">
        <w:rPr>
          <w:bCs/>
          <w:i/>
          <w:iCs/>
        </w:rPr>
        <w:t xml:space="preserve"> individualised assistive technology solutions that enable and enhance economic and community participation. </w:t>
      </w:r>
      <w:r w:rsidRPr="00633370">
        <w:t>In support of th</w:t>
      </w:r>
      <w:r w:rsidR="003C40E5" w:rsidRPr="00633370">
        <w:t>e</w:t>
      </w:r>
      <w:r w:rsidRPr="00633370">
        <w:t xml:space="preserve"> vision, this</w:t>
      </w:r>
      <w:r w:rsidR="00F20BF7" w:rsidRPr="00633370">
        <w:t xml:space="preserve"> document outlines </w:t>
      </w:r>
      <w:r w:rsidR="008045A6" w:rsidRPr="00633370">
        <w:t>a strategic framework</w:t>
      </w:r>
      <w:r w:rsidRPr="00633370">
        <w:t xml:space="preserve"> and initiatives </w:t>
      </w:r>
      <w:r w:rsidR="00766420" w:rsidRPr="00633370">
        <w:t>to</w:t>
      </w:r>
      <w:r w:rsidR="00C775F1" w:rsidRPr="00633370">
        <w:t xml:space="preserve"> </w:t>
      </w:r>
      <w:r w:rsidRPr="00633370">
        <w:t>transform</w:t>
      </w:r>
      <w:r w:rsidR="00B64315" w:rsidRPr="00633370">
        <w:t xml:space="preserve"> the </w:t>
      </w:r>
      <w:r w:rsidRPr="00633370">
        <w:t xml:space="preserve">selection, </w:t>
      </w:r>
      <w:r w:rsidR="006C0CF7" w:rsidRPr="00633370">
        <w:t>sourcing</w:t>
      </w:r>
      <w:r w:rsidRPr="00633370">
        <w:t xml:space="preserve"> and </w:t>
      </w:r>
      <w:r w:rsidR="006C0CF7" w:rsidRPr="00633370">
        <w:t>supply</w:t>
      </w:r>
      <w:r w:rsidR="00B64315" w:rsidRPr="00633370">
        <w:t xml:space="preserve"> of technological solutions for </w:t>
      </w:r>
      <w:r w:rsidR="00EE4C82" w:rsidRPr="00633370">
        <w:t>people with disability</w:t>
      </w:r>
      <w:r w:rsidR="00C775F1" w:rsidRPr="00633370">
        <w:t xml:space="preserve">, </w:t>
      </w:r>
      <w:r w:rsidR="00766420" w:rsidRPr="00633370">
        <w:t>and to</w:t>
      </w:r>
      <w:r w:rsidR="00C775F1" w:rsidRPr="00633370">
        <w:t xml:space="preserve"> leverage technology to revolutionise disability service delivery and outcomes</w:t>
      </w:r>
      <w:r w:rsidRPr="00633370">
        <w:t xml:space="preserve">. </w:t>
      </w:r>
      <w:r w:rsidR="00941AA6" w:rsidRPr="00633370">
        <w:t>Execution of the</w:t>
      </w:r>
      <w:r w:rsidR="008045A6" w:rsidRPr="00633370">
        <w:t xml:space="preserve"> </w:t>
      </w:r>
      <w:r w:rsidR="00C347E9">
        <w:t xml:space="preserve">proposed </w:t>
      </w:r>
      <w:r w:rsidRPr="00633370">
        <w:t xml:space="preserve">initiatives </w:t>
      </w:r>
      <w:r w:rsidR="00941AA6" w:rsidRPr="00633370">
        <w:t>will</w:t>
      </w:r>
      <w:r w:rsidRPr="00633370">
        <w:t>:</w:t>
      </w:r>
      <w:r w:rsidR="008D3186" w:rsidRPr="00633370">
        <w:t xml:space="preserve"> </w:t>
      </w:r>
    </w:p>
    <w:p w:rsidR="002256F5" w:rsidRDefault="00072BD7" w:rsidP="000E6BAB">
      <w:pPr>
        <w:pStyle w:val="ListBullet"/>
        <w:numPr>
          <w:ilvl w:val="0"/>
          <w:numId w:val="10"/>
        </w:numPr>
      </w:pPr>
      <w:r w:rsidRPr="00072BD7">
        <w:t>Support and stimulate a vibrant and innovative supply-side market by</w:t>
      </w:r>
      <w:r>
        <w:t xml:space="preserve"> providing a conduit for innovation and promoting the take-up of technology solutions</w:t>
      </w:r>
      <w:r w:rsidR="002256F5">
        <w:t>;</w:t>
      </w:r>
    </w:p>
    <w:p w:rsidR="002256F5" w:rsidRDefault="00FB4CCA" w:rsidP="000E6BAB">
      <w:pPr>
        <w:pStyle w:val="ListBullet"/>
        <w:numPr>
          <w:ilvl w:val="0"/>
          <w:numId w:val="10"/>
        </w:numPr>
      </w:pPr>
      <w:r>
        <w:t>Support and stimulate informed, active, participant-led demand by e</w:t>
      </w:r>
      <w:r w:rsidR="002B78DB">
        <w:t>mpower</w:t>
      </w:r>
      <w:r>
        <w:t>ing</w:t>
      </w:r>
      <w:r w:rsidR="002256F5">
        <w:t xml:space="preserve"> participants to choose technology that best supports their needs; and,</w:t>
      </w:r>
    </w:p>
    <w:p w:rsidR="002256F5" w:rsidRPr="00072BD7" w:rsidRDefault="00072BD7" w:rsidP="000E6BAB">
      <w:pPr>
        <w:pStyle w:val="ListBullet"/>
        <w:numPr>
          <w:ilvl w:val="0"/>
          <w:numId w:val="10"/>
        </w:numPr>
      </w:pPr>
      <w:r w:rsidRPr="00072BD7">
        <w:t>Deliver a financially robust, sustainable scheme that generates economic and social value</w:t>
      </w:r>
      <w:r w:rsidRPr="00072BD7" w:rsidDel="00FF630A">
        <w:t xml:space="preserve"> </w:t>
      </w:r>
      <w:r w:rsidRPr="00072BD7">
        <w:t>with the Agency only intervening to optimise outcomes for participants and economic value for the Scheme</w:t>
      </w:r>
      <w:r w:rsidR="00C347E9" w:rsidRPr="00072BD7">
        <w:t xml:space="preserve">. </w:t>
      </w:r>
    </w:p>
    <w:p w:rsidR="008045A6" w:rsidRPr="00633370" w:rsidRDefault="008045A6" w:rsidP="004D6F78">
      <w:r w:rsidRPr="00194E14">
        <w:t>The strateg</w:t>
      </w:r>
      <w:r w:rsidR="00C347E9">
        <w:t>ic framework outlined here</w:t>
      </w:r>
      <w:r w:rsidRPr="00194E14">
        <w:t xml:space="preserve"> </w:t>
      </w:r>
      <w:r w:rsidR="0003327A" w:rsidRPr="00131F0A">
        <w:t>align</w:t>
      </w:r>
      <w:r w:rsidR="002D5765">
        <w:t>s</w:t>
      </w:r>
      <w:r w:rsidR="0003327A" w:rsidRPr="00131F0A">
        <w:t xml:space="preserve"> with </w:t>
      </w:r>
      <w:r w:rsidR="00C347E9">
        <w:t xml:space="preserve">the </w:t>
      </w:r>
      <w:r w:rsidRPr="00131F0A">
        <w:t xml:space="preserve">NDIA’s </w:t>
      </w:r>
      <w:r w:rsidR="00C347E9">
        <w:t xml:space="preserve">commitment to be a leader and role model in embracing </w:t>
      </w:r>
      <w:r w:rsidR="002A0901">
        <w:t>the technological advancements</w:t>
      </w:r>
      <w:r w:rsidR="00C347E9">
        <w:t xml:space="preserve"> occurring</w:t>
      </w:r>
      <w:r w:rsidR="002A0901">
        <w:t xml:space="preserve"> in society. This extends beyond AT to the </w:t>
      </w:r>
      <w:r w:rsidR="00C347E9">
        <w:t xml:space="preserve">use </w:t>
      </w:r>
      <w:r w:rsidR="002A0901">
        <w:t xml:space="preserve">of technology solutions </w:t>
      </w:r>
      <w:r w:rsidR="00A06392">
        <w:t xml:space="preserve">used by the Agency </w:t>
      </w:r>
      <w:r w:rsidR="002A0901">
        <w:t xml:space="preserve">to </w:t>
      </w:r>
      <w:r w:rsidR="00AF2CA0" w:rsidRPr="00633370">
        <w:t>deliver</w:t>
      </w:r>
      <w:r w:rsidR="002A0901">
        <w:t xml:space="preserve"> </w:t>
      </w:r>
      <w:r w:rsidR="003C40E5" w:rsidRPr="00633370">
        <w:t xml:space="preserve">effective, cost-efficient </w:t>
      </w:r>
      <w:r w:rsidR="00D562C2" w:rsidRPr="00633370">
        <w:t xml:space="preserve">interactions </w:t>
      </w:r>
      <w:r w:rsidR="00C775F1" w:rsidRPr="00633370">
        <w:t>with</w:t>
      </w:r>
      <w:r w:rsidR="00AF2CA0" w:rsidRPr="00633370">
        <w:t xml:space="preserve"> </w:t>
      </w:r>
      <w:r w:rsidR="00766420" w:rsidRPr="00633370">
        <w:t xml:space="preserve">NDIS </w:t>
      </w:r>
      <w:r w:rsidR="00AF2CA0" w:rsidRPr="00633370">
        <w:t>participants</w:t>
      </w:r>
      <w:r w:rsidR="00B64315" w:rsidRPr="00633370">
        <w:t>.</w:t>
      </w:r>
      <w:r w:rsidR="004D6F78" w:rsidRPr="00633370">
        <w:t xml:space="preserve">  </w:t>
      </w:r>
    </w:p>
    <w:p w:rsidR="00D13CBD" w:rsidRPr="00633370" w:rsidRDefault="00876FE1" w:rsidP="000D6477">
      <w:pPr>
        <w:pStyle w:val="Heading2"/>
      </w:pPr>
      <w:bookmarkStart w:id="2" w:name="_Toc432683864"/>
      <w:r>
        <w:t>1</w:t>
      </w:r>
      <w:r w:rsidR="00E31A5F" w:rsidRPr="00633370">
        <w:t xml:space="preserve">.1 </w:t>
      </w:r>
      <w:r w:rsidR="008809C6">
        <w:t>Context and background</w:t>
      </w:r>
      <w:bookmarkEnd w:id="2"/>
    </w:p>
    <w:p w:rsidR="008809C6" w:rsidRDefault="008809C6" w:rsidP="008809C6">
      <w:pPr>
        <w:pStyle w:val="Heading3"/>
      </w:pPr>
      <w:bookmarkStart w:id="3" w:name="_Toc432683865"/>
      <w:r>
        <w:t>1.</w:t>
      </w:r>
      <w:r w:rsidRPr="00F13632">
        <w:t xml:space="preserve">1.1 </w:t>
      </w:r>
      <w:r>
        <w:t>Context</w:t>
      </w:r>
      <w:bookmarkEnd w:id="3"/>
    </w:p>
    <w:p w:rsidR="0042565F" w:rsidRDefault="00A641F8" w:rsidP="002F6D80">
      <w:r>
        <w:t xml:space="preserve">Technological </w:t>
      </w:r>
      <w:r w:rsidR="0042565F">
        <w:t>transformation</w:t>
      </w:r>
      <w:r w:rsidR="00876B9D">
        <w:t xml:space="preserve"> and digital disruption</w:t>
      </w:r>
      <w:r w:rsidR="0042565F">
        <w:t xml:space="preserve"> are changing the lives of people all over the world. Opportunities that were not previously available and some that were unimaginable are now available. </w:t>
      </w:r>
      <w:r w:rsidR="002A0901">
        <w:t>Technology will continue to develop, and these</w:t>
      </w:r>
      <w:r w:rsidR="002B78DB">
        <w:t xml:space="preserve"> opportunities will </w:t>
      </w:r>
      <w:r w:rsidR="002A0901">
        <w:t xml:space="preserve">continue to </w:t>
      </w:r>
      <w:r w:rsidR="002B78DB">
        <w:t xml:space="preserve">expand. </w:t>
      </w:r>
      <w:r w:rsidR="002A0901">
        <w:t>The AT market wi</w:t>
      </w:r>
      <w:r w:rsidR="00A06392">
        <w:t>ll look very different in five</w:t>
      </w:r>
      <w:r w:rsidR="002A0901">
        <w:t xml:space="preserve"> and ten </w:t>
      </w:r>
      <w:proofErr w:type="spellStart"/>
      <w:r w:rsidR="002A0901">
        <w:t>years time</w:t>
      </w:r>
      <w:proofErr w:type="spellEnd"/>
      <w:r w:rsidR="00A06392">
        <w:t xml:space="preserve"> from what it is today</w:t>
      </w:r>
      <w:r w:rsidR="002A0901">
        <w:t xml:space="preserve">. </w:t>
      </w:r>
      <w:r w:rsidR="0042565F">
        <w:t xml:space="preserve">The NDIA wants to put people with a disability at the forefront of </w:t>
      </w:r>
      <w:r w:rsidR="002B78DB">
        <w:t xml:space="preserve">this development and </w:t>
      </w:r>
      <w:r w:rsidR="0042565F">
        <w:t xml:space="preserve">these opportunities. </w:t>
      </w:r>
    </w:p>
    <w:p w:rsidR="0042565F" w:rsidRDefault="0042565F" w:rsidP="002F6D80">
      <w:r>
        <w:t xml:space="preserve">Over the last five years, </w:t>
      </w:r>
      <w:r w:rsidRPr="00633370">
        <w:t>many new technologies have emerged to support social engagement, communication, employment, learning, memory and planning, and to meet mobility and personal care requirements. This innovation is welcome; given the tremendous value it can offe</w:t>
      </w:r>
      <w:r w:rsidR="00A641F8">
        <w:t xml:space="preserve">r participants and the NDIS. </w:t>
      </w:r>
      <w:r w:rsidR="00A06392">
        <w:t>In particular, there</w:t>
      </w:r>
      <w:r w:rsidR="002A0901">
        <w:t xml:space="preserve"> are a number of d</w:t>
      </w:r>
      <w:r w:rsidR="00A641F8">
        <w:t xml:space="preserve">isruptive </w:t>
      </w:r>
      <w:r w:rsidR="002A0901">
        <w:t xml:space="preserve">technologies </w:t>
      </w:r>
      <w:r w:rsidRPr="00633370">
        <w:t xml:space="preserve">emerging to support better lives and opportunities for people with intellectual </w:t>
      </w:r>
      <w:r w:rsidR="002A0901">
        <w:t xml:space="preserve">and </w:t>
      </w:r>
      <w:r>
        <w:t xml:space="preserve">psychosocial </w:t>
      </w:r>
      <w:r w:rsidRPr="00633370">
        <w:t xml:space="preserve">disability, </w:t>
      </w:r>
      <w:r w:rsidR="00A06392">
        <w:t xml:space="preserve">where </w:t>
      </w:r>
      <w:r w:rsidRPr="00633370">
        <w:t xml:space="preserve">traditional aids and equipment have </w:t>
      </w:r>
      <w:r w:rsidR="002A0901">
        <w:t>traditionally had nothing or very little to offer.</w:t>
      </w:r>
    </w:p>
    <w:p w:rsidR="0042565F" w:rsidRDefault="00A06392" w:rsidP="002F6D80">
      <w:r>
        <w:t>The Agency is committed to</w:t>
      </w:r>
      <w:r w:rsidR="002A0901">
        <w:t xml:space="preserve"> stay</w:t>
      </w:r>
      <w:r>
        <w:t>ing</w:t>
      </w:r>
      <w:r w:rsidR="002A0901">
        <w:t xml:space="preserve"> up-to-date with the developments of the AT market and foster its growth and development</w:t>
      </w:r>
      <w:r w:rsidR="0044595B">
        <w:t xml:space="preserve"> </w:t>
      </w:r>
      <w:r w:rsidR="002A0901">
        <w:t>in Australia.</w:t>
      </w:r>
    </w:p>
    <w:p w:rsidR="008809C6" w:rsidRDefault="008809C6" w:rsidP="008809C6">
      <w:pPr>
        <w:pStyle w:val="Heading3"/>
      </w:pPr>
      <w:bookmarkStart w:id="4" w:name="_Toc432683866"/>
      <w:r>
        <w:t>1.1.2 Background</w:t>
      </w:r>
      <w:bookmarkEnd w:id="4"/>
    </w:p>
    <w:p w:rsidR="00D13CBD" w:rsidRPr="00633370" w:rsidRDefault="0044595B" w:rsidP="002F6D80">
      <w:r>
        <w:t>Assistive</w:t>
      </w:r>
      <w:r w:rsidR="00A641F8">
        <w:t xml:space="preserve"> technology, as defined by the World Health Organisation, is </w:t>
      </w:r>
      <w:r w:rsidR="00AF2CA0" w:rsidRPr="00633370">
        <w:t xml:space="preserve">‘any </w:t>
      </w:r>
      <w:r w:rsidR="00E8794B" w:rsidRPr="00633370">
        <w:t>device or system that allows individuals to perform tasks they would otherwise be unable to do or increases the ease and safety with which tasks can be performed’</w:t>
      </w:r>
      <w:r w:rsidR="00AF2CA0" w:rsidRPr="00633370">
        <w:t>.</w:t>
      </w:r>
      <w:r w:rsidR="00AF2CA0" w:rsidRPr="00633370">
        <w:rPr>
          <w:rStyle w:val="FootnoteReference"/>
        </w:rPr>
        <w:footnoteReference w:id="1"/>
      </w:r>
      <w:r w:rsidR="00AF2CA0" w:rsidRPr="00633370">
        <w:t xml:space="preserve"> For NDIA this </w:t>
      </w:r>
      <w:r w:rsidR="002F6D80" w:rsidRPr="00633370">
        <w:t xml:space="preserve">definition </w:t>
      </w:r>
      <w:r w:rsidR="00AF2CA0" w:rsidRPr="00633370">
        <w:t xml:space="preserve">covers the </w:t>
      </w:r>
      <w:r w:rsidR="009C3EF3" w:rsidRPr="00633370">
        <w:t xml:space="preserve">full </w:t>
      </w:r>
      <w:r w:rsidR="00AF2CA0" w:rsidRPr="00633370">
        <w:t>range of technological solutions</w:t>
      </w:r>
      <w:r w:rsidR="002F6D80" w:rsidRPr="00633370">
        <w:t xml:space="preserve"> that allow </w:t>
      </w:r>
      <w:r w:rsidR="00EE4C82" w:rsidRPr="00633370">
        <w:t>people with</w:t>
      </w:r>
      <w:r w:rsidR="0003327A" w:rsidRPr="00633370">
        <w:t xml:space="preserve"> a</w:t>
      </w:r>
      <w:r w:rsidR="00EE4C82" w:rsidRPr="00633370">
        <w:t xml:space="preserve"> disability</w:t>
      </w:r>
      <w:r w:rsidR="00D13CBD" w:rsidRPr="00633370">
        <w:t xml:space="preserve"> to be more independent</w:t>
      </w:r>
      <w:r w:rsidR="007767CD" w:rsidRPr="00633370">
        <w:t xml:space="preserve"> and</w:t>
      </w:r>
      <w:r w:rsidR="00D13CBD" w:rsidRPr="00633370">
        <w:t xml:space="preserve"> connected</w:t>
      </w:r>
      <w:r w:rsidR="002F6D80" w:rsidRPr="00633370">
        <w:t xml:space="preserve">, and provide opportunities for them to </w:t>
      </w:r>
      <w:r w:rsidR="00D13CBD" w:rsidRPr="00633370">
        <w:t xml:space="preserve">realise their potential </w:t>
      </w:r>
      <w:r w:rsidR="002F6D80" w:rsidRPr="00633370">
        <w:t>as</w:t>
      </w:r>
      <w:r w:rsidR="00D13CBD" w:rsidRPr="00633370">
        <w:t xml:space="preserve"> </w:t>
      </w:r>
      <w:r w:rsidR="00A06392">
        <w:t xml:space="preserve">active members in </w:t>
      </w:r>
      <w:r w:rsidR="002F6D80" w:rsidRPr="00633370">
        <w:t>their families</w:t>
      </w:r>
      <w:r w:rsidR="00D13CBD" w:rsidRPr="00633370">
        <w:t>, school</w:t>
      </w:r>
      <w:r w:rsidR="002F6D80" w:rsidRPr="00633370">
        <w:t>s</w:t>
      </w:r>
      <w:r w:rsidR="00D13CBD" w:rsidRPr="00633370">
        <w:t>, workplace</w:t>
      </w:r>
      <w:r w:rsidR="002F6D80" w:rsidRPr="00633370">
        <w:t>s</w:t>
      </w:r>
      <w:r w:rsidR="00D13CBD" w:rsidRPr="00633370">
        <w:t xml:space="preserve"> and communit</w:t>
      </w:r>
      <w:r w:rsidR="002F6D80" w:rsidRPr="00633370">
        <w:t>ies</w:t>
      </w:r>
      <w:r w:rsidR="00D13CBD" w:rsidRPr="00633370">
        <w:t>.</w:t>
      </w:r>
    </w:p>
    <w:p w:rsidR="002F6D80" w:rsidRDefault="002F6D80" w:rsidP="002F6D80">
      <w:r w:rsidRPr="00633370">
        <w:lastRenderedPageBreak/>
        <w:t xml:space="preserve">Beyond the traditional </w:t>
      </w:r>
      <w:r w:rsidR="008278F9" w:rsidRPr="00633370">
        <w:t xml:space="preserve">aids </w:t>
      </w:r>
      <w:r w:rsidR="0003327A" w:rsidRPr="00633370">
        <w:t xml:space="preserve">and equipment </w:t>
      </w:r>
      <w:r w:rsidR="008278F9" w:rsidRPr="00633370">
        <w:t xml:space="preserve">used by </w:t>
      </w:r>
      <w:r w:rsidR="00041B3E" w:rsidRPr="00633370">
        <w:t>people with disability</w:t>
      </w:r>
      <w:r w:rsidR="008278F9" w:rsidRPr="00633370">
        <w:t>, including home and vehicle modifications, prosthetics and hearing aids</w:t>
      </w:r>
      <w:r w:rsidR="00231A52">
        <w:t>,</w:t>
      </w:r>
      <w:r w:rsidR="00D562C2" w:rsidRPr="00633370">
        <w:t xml:space="preserve"> </w:t>
      </w:r>
      <w:r w:rsidR="00195637" w:rsidRPr="00633370">
        <w:t>AT</w:t>
      </w:r>
      <w:r w:rsidR="005D780F" w:rsidRPr="00633370">
        <w:t xml:space="preserve"> </w:t>
      </w:r>
      <w:r w:rsidR="00D562C2" w:rsidRPr="00633370">
        <w:t>in the NDIS</w:t>
      </w:r>
      <w:r w:rsidRPr="00633370">
        <w:t xml:space="preserve"> includes devices used by people without disabilities (e.g. smartphones, tablets</w:t>
      </w:r>
      <w:r w:rsidR="00D562C2" w:rsidRPr="00633370">
        <w:t xml:space="preserve"> and </w:t>
      </w:r>
      <w:r w:rsidR="009A28B6">
        <w:t>“</w:t>
      </w:r>
      <w:r w:rsidR="00D562C2" w:rsidRPr="00633370">
        <w:t>apps</w:t>
      </w:r>
      <w:r w:rsidR="009A28B6">
        <w:t>”</w:t>
      </w:r>
      <w:r w:rsidRPr="00633370">
        <w:t>) that are offering new ways to form connections and increase participation</w:t>
      </w:r>
      <w:r w:rsidR="008278F9" w:rsidRPr="00633370">
        <w:t>. In addition, each year sees</w:t>
      </w:r>
      <w:r w:rsidRPr="00633370">
        <w:t xml:space="preserve"> </w:t>
      </w:r>
      <w:r w:rsidR="00766420" w:rsidRPr="00633370">
        <w:t xml:space="preserve">more </w:t>
      </w:r>
      <w:r w:rsidRPr="00633370">
        <w:t>innovative</w:t>
      </w:r>
      <w:r w:rsidR="007767CD" w:rsidRPr="00633370">
        <w:t xml:space="preserve"> and </w:t>
      </w:r>
      <w:r w:rsidRPr="00633370">
        <w:t>sophisticated devices and software developed for the disability sector</w:t>
      </w:r>
      <w:r w:rsidR="008278F9" w:rsidRPr="00633370">
        <w:t xml:space="preserve"> coming onto the market</w:t>
      </w:r>
      <w:r w:rsidRPr="00633370">
        <w:t xml:space="preserve">. </w:t>
      </w:r>
    </w:p>
    <w:p w:rsidR="00D13CBD" w:rsidRPr="00633370" w:rsidRDefault="00A641F8" w:rsidP="00D13CBD">
      <w:r>
        <w:t xml:space="preserve">The AT market though has both complexity and risks with AT provision. </w:t>
      </w:r>
      <w:r w:rsidR="009C3EF3" w:rsidRPr="00633370">
        <w:t>The strategi</w:t>
      </w:r>
      <w:r w:rsidR="00941AA6" w:rsidRPr="00633370">
        <w:t>c framework</w:t>
      </w:r>
      <w:r w:rsidR="009C3EF3" w:rsidRPr="00633370">
        <w:t xml:space="preserve"> and initiatives outlined here are designed to </w:t>
      </w:r>
      <w:r w:rsidR="00941AA6" w:rsidRPr="00633370">
        <w:t xml:space="preserve">deal with </w:t>
      </w:r>
      <w:r w:rsidR="00C116E1">
        <w:t>growing</w:t>
      </w:r>
      <w:r w:rsidR="00C116E1" w:rsidRPr="00633370">
        <w:t xml:space="preserve"> </w:t>
      </w:r>
      <w:r w:rsidR="00941AA6" w:rsidRPr="00633370">
        <w:t xml:space="preserve">complexity </w:t>
      </w:r>
      <w:r w:rsidR="00C116E1">
        <w:t xml:space="preserve">in the nature and provision of AT </w:t>
      </w:r>
      <w:r w:rsidR="00941AA6" w:rsidRPr="00633370">
        <w:t>as efficiently and effectively as possible</w:t>
      </w:r>
      <w:r w:rsidR="00A06392">
        <w:t xml:space="preserve">. This strategy aims to put the Agency in a position to meet its </w:t>
      </w:r>
      <w:r w:rsidR="007767CD" w:rsidRPr="00633370">
        <w:t>AT</w:t>
      </w:r>
      <w:r w:rsidR="00D562C2" w:rsidRPr="00633370">
        <w:t xml:space="preserve"> vision</w:t>
      </w:r>
      <w:r w:rsidR="0013784B" w:rsidRPr="00633370">
        <w:t>,</w:t>
      </w:r>
      <w:r w:rsidR="00EB4B40" w:rsidRPr="00633370">
        <w:t xml:space="preserve"> </w:t>
      </w:r>
      <w:r w:rsidR="0013784B" w:rsidRPr="00633370">
        <w:t>and to put policies, processes and pr</w:t>
      </w:r>
      <w:r w:rsidR="00A06392">
        <w:t xml:space="preserve">actices in place to ensure the Agency </w:t>
      </w:r>
      <w:r w:rsidR="0013784B" w:rsidRPr="00633370">
        <w:t>responds nimbly and effectively to participants’ changing needs and the evolving technology landscape.</w:t>
      </w:r>
      <w:r w:rsidR="00EB4B40" w:rsidRPr="00633370">
        <w:t xml:space="preserve"> </w:t>
      </w:r>
    </w:p>
    <w:p w:rsidR="00F20BF7" w:rsidRPr="00633370" w:rsidRDefault="00941AA6" w:rsidP="00F20BF7">
      <w:pPr>
        <w:spacing w:before="0" w:after="200"/>
        <w:rPr>
          <w:rFonts w:eastAsia="Times New Roman" w:cs="Arial"/>
          <w:lang w:eastAsia="en-AU"/>
        </w:rPr>
      </w:pPr>
      <w:r w:rsidRPr="00633370">
        <w:t>In addition, the AT strategic framework and initiatives</w:t>
      </w:r>
      <w:r w:rsidR="00F20BF7" w:rsidRPr="00633370">
        <w:t xml:space="preserve"> </w:t>
      </w:r>
      <w:r w:rsidRPr="00633370">
        <w:t>support the achievement of</w:t>
      </w:r>
      <w:r w:rsidR="00F20BF7" w:rsidRPr="00633370">
        <w:t xml:space="preserve"> the NDIA</w:t>
      </w:r>
      <w:r w:rsidR="00506ECB" w:rsidRPr="00633370">
        <w:rPr>
          <w:rFonts w:eastAsia="Times New Roman" w:cs="Arial"/>
          <w:lang w:eastAsia="en-AU"/>
        </w:rPr>
        <w:t xml:space="preserve">’s </w:t>
      </w:r>
      <w:r w:rsidRPr="00633370">
        <w:rPr>
          <w:rFonts w:eastAsia="Times New Roman" w:cs="Arial"/>
          <w:lang w:eastAsia="en-AU"/>
        </w:rPr>
        <w:t xml:space="preserve">overall strategic objectives, as outlined </w:t>
      </w:r>
      <w:r w:rsidR="00A06392">
        <w:rPr>
          <w:rFonts w:eastAsia="Times New Roman" w:cs="Arial"/>
          <w:lang w:eastAsia="en-AU"/>
        </w:rPr>
        <w:t xml:space="preserve">in the 2013-16 Strategic Plan, </w:t>
      </w:r>
      <w:r w:rsidR="008278F9" w:rsidRPr="00633370">
        <w:rPr>
          <w:rFonts w:eastAsia="Times New Roman" w:cs="Arial"/>
          <w:lang w:eastAsia="en-AU"/>
        </w:rPr>
        <w:t>of particular relevance are</w:t>
      </w:r>
      <w:r w:rsidR="00A06392">
        <w:rPr>
          <w:rFonts w:eastAsia="Times New Roman" w:cs="Arial"/>
          <w:lang w:eastAsia="en-AU"/>
        </w:rPr>
        <w:t xml:space="preserve"> the objectives</w:t>
      </w:r>
      <w:r w:rsidR="008278F9" w:rsidRPr="00633370">
        <w:rPr>
          <w:rFonts w:eastAsia="Times New Roman" w:cs="Arial"/>
          <w:lang w:eastAsia="en-AU"/>
        </w:rPr>
        <w:t>:</w:t>
      </w:r>
    </w:p>
    <w:p w:rsidR="00082203" w:rsidRDefault="00941AA6" w:rsidP="00082203">
      <w:pPr>
        <w:pStyle w:val="ListBullet"/>
        <w:numPr>
          <w:ilvl w:val="0"/>
          <w:numId w:val="63"/>
        </w:numPr>
        <w:rPr>
          <w:lang w:eastAsia="en-AU"/>
        </w:rPr>
      </w:pPr>
      <w:r w:rsidRPr="00633370">
        <w:rPr>
          <w:i/>
          <w:lang w:eastAsia="en-AU"/>
        </w:rPr>
        <w:t>T</w:t>
      </w:r>
      <w:r w:rsidR="00F20BF7" w:rsidRPr="00633370">
        <w:rPr>
          <w:i/>
          <w:lang w:eastAsia="en-AU"/>
        </w:rPr>
        <w:t>o promote the independence and social and economic participation of all people with disability</w:t>
      </w:r>
      <w:r w:rsidR="00082203">
        <w:rPr>
          <w:lang w:eastAsia="en-AU"/>
        </w:rPr>
        <w:t>.</w:t>
      </w:r>
    </w:p>
    <w:p w:rsidR="00F20BF7" w:rsidRPr="00633370" w:rsidRDefault="00F20BF7" w:rsidP="00082203">
      <w:pPr>
        <w:pStyle w:val="ListBullet"/>
        <w:ind w:left="1080"/>
        <w:rPr>
          <w:lang w:eastAsia="en-AU"/>
        </w:rPr>
      </w:pPr>
      <w:r w:rsidRPr="00633370">
        <w:rPr>
          <w:lang w:eastAsia="en-AU"/>
        </w:rPr>
        <w:t xml:space="preserve">AT </w:t>
      </w:r>
      <w:r w:rsidR="00941AA6" w:rsidRPr="00633370">
        <w:rPr>
          <w:lang w:eastAsia="en-AU"/>
        </w:rPr>
        <w:t xml:space="preserve">provides </w:t>
      </w:r>
      <w:r w:rsidRPr="00633370">
        <w:rPr>
          <w:lang w:eastAsia="en-AU"/>
        </w:rPr>
        <w:t xml:space="preserve">participants </w:t>
      </w:r>
      <w:r w:rsidR="00941AA6" w:rsidRPr="00633370">
        <w:rPr>
          <w:lang w:eastAsia="en-AU"/>
        </w:rPr>
        <w:t>with the means to</w:t>
      </w:r>
      <w:r w:rsidRPr="00633370">
        <w:rPr>
          <w:lang w:eastAsia="en-AU"/>
        </w:rPr>
        <w:t xml:space="preserve"> </w:t>
      </w:r>
      <w:r w:rsidR="00941AA6" w:rsidRPr="00633370">
        <w:rPr>
          <w:lang w:eastAsia="en-AU"/>
        </w:rPr>
        <w:t>grasp opportunities</w:t>
      </w:r>
      <w:r w:rsidR="00082203">
        <w:rPr>
          <w:lang w:eastAsia="en-AU"/>
        </w:rPr>
        <w:t xml:space="preserve"> and perform</w:t>
      </w:r>
      <w:r w:rsidR="00941AA6" w:rsidRPr="00633370">
        <w:rPr>
          <w:lang w:eastAsia="en-AU"/>
        </w:rPr>
        <w:t xml:space="preserve"> </w:t>
      </w:r>
      <w:r w:rsidRPr="00633370">
        <w:rPr>
          <w:lang w:eastAsia="en-AU"/>
        </w:rPr>
        <w:t>th</w:t>
      </w:r>
      <w:r w:rsidR="00941AA6" w:rsidRPr="00633370">
        <w:rPr>
          <w:lang w:eastAsia="en-AU"/>
        </w:rPr>
        <w:t>at</w:t>
      </w:r>
      <w:r w:rsidRPr="00633370">
        <w:rPr>
          <w:lang w:eastAsia="en-AU"/>
        </w:rPr>
        <w:t xml:space="preserve"> </w:t>
      </w:r>
      <w:r w:rsidR="00082203">
        <w:rPr>
          <w:lang w:eastAsia="en-AU"/>
        </w:rPr>
        <w:t>they may otherwise have been unable to take up and complete.</w:t>
      </w:r>
    </w:p>
    <w:p w:rsidR="00082203" w:rsidRDefault="00941AA6" w:rsidP="00082203">
      <w:pPr>
        <w:pStyle w:val="ListBullet"/>
        <w:numPr>
          <w:ilvl w:val="0"/>
          <w:numId w:val="63"/>
        </w:numPr>
        <w:rPr>
          <w:lang w:eastAsia="en-AU"/>
        </w:rPr>
      </w:pPr>
      <w:r w:rsidRPr="00633370">
        <w:rPr>
          <w:i/>
          <w:lang w:eastAsia="en-AU"/>
        </w:rPr>
        <w:t>T</w:t>
      </w:r>
      <w:r w:rsidR="00F20BF7" w:rsidRPr="00633370">
        <w:rPr>
          <w:i/>
          <w:lang w:eastAsia="en-AU"/>
        </w:rPr>
        <w:t>o maintain sustainability of the scheme</w:t>
      </w:r>
      <w:r w:rsidR="00082203">
        <w:rPr>
          <w:lang w:eastAsia="en-AU"/>
        </w:rPr>
        <w:t>.</w:t>
      </w:r>
    </w:p>
    <w:p w:rsidR="00F20BF7" w:rsidRPr="00633370" w:rsidRDefault="008278F9" w:rsidP="00082203">
      <w:pPr>
        <w:pStyle w:val="ListBullet"/>
        <w:ind w:left="720" w:firstLine="360"/>
        <w:rPr>
          <w:lang w:eastAsia="en-AU"/>
        </w:rPr>
      </w:pPr>
      <w:r w:rsidRPr="00633370">
        <w:rPr>
          <w:lang w:eastAsia="en-AU"/>
        </w:rPr>
        <w:t>AT</w:t>
      </w:r>
      <w:r w:rsidR="00F20BF7" w:rsidRPr="00633370">
        <w:rPr>
          <w:lang w:eastAsia="en-AU"/>
        </w:rPr>
        <w:t xml:space="preserve"> procurement </w:t>
      </w:r>
      <w:r w:rsidR="00082203">
        <w:rPr>
          <w:lang w:eastAsia="en-AU"/>
        </w:rPr>
        <w:t>and deployment will</w:t>
      </w:r>
      <w:r w:rsidR="00F20BF7" w:rsidRPr="00633370">
        <w:rPr>
          <w:lang w:eastAsia="en-AU"/>
        </w:rPr>
        <w:t xml:space="preserve"> </w:t>
      </w:r>
      <w:r w:rsidRPr="00633370">
        <w:rPr>
          <w:lang w:eastAsia="en-AU"/>
        </w:rPr>
        <w:t>deliver</w:t>
      </w:r>
      <w:r w:rsidR="00F20BF7" w:rsidRPr="00633370">
        <w:rPr>
          <w:lang w:eastAsia="en-AU"/>
        </w:rPr>
        <w:t xml:space="preserve"> value to the </w:t>
      </w:r>
      <w:r w:rsidR="00082203">
        <w:rPr>
          <w:lang w:eastAsia="en-AU"/>
        </w:rPr>
        <w:t>participants and the scheme.</w:t>
      </w:r>
    </w:p>
    <w:p w:rsidR="003C40E5" w:rsidRPr="00633370" w:rsidRDefault="00876FE1" w:rsidP="000D6477">
      <w:pPr>
        <w:pStyle w:val="Heading2"/>
      </w:pPr>
      <w:bookmarkStart w:id="5" w:name="_Toc432683867"/>
      <w:r>
        <w:t>1</w:t>
      </w:r>
      <w:r w:rsidR="00E31A5F" w:rsidRPr="00633370">
        <w:t xml:space="preserve">.2 </w:t>
      </w:r>
      <w:r w:rsidR="003C40E5" w:rsidRPr="00633370">
        <w:t>Strategy development</w:t>
      </w:r>
      <w:bookmarkEnd w:id="5"/>
    </w:p>
    <w:p w:rsidR="00055FFE" w:rsidRPr="00633370" w:rsidRDefault="008809C6" w:rsidP="002C5477">
      <w:r>
        <w:t xml:space="preserve">Appendix 1 provides </w:t>
      </w:r>
      <w:r w:rsidR="00FF630A">
        <w:t>a list</w:t>
      </w:r>
      <w:r>
        <w:t xml:space="preserve"> of </w:t>
      </w:r>
      <w:r w:rsidR="00FF630A">
        <w:t>the previous work</w:t>
      </w:r>
      <w:r w:rsidR="00082203">
        <w:t xml:space="preserve"> undertaken </w:t>
      </w:r>
      <w:r w:rsidR="00FF630A">
        <w:t xml:space="preserve">by this Agency, as well as by others, to inform development of the </w:t>
      </w:r>
      <w:r w:rsidR="00082203">
        <w:t xml:space="preserve"> Agency’s first Assistive Technology Strategy, which is explained in this document.</w:t>
      </w:r>
      <w:r w:rsidR="00055FFE">
        <w:br w:type="page"/>
      </w:r>
    </w:p>
    <w:p w:rsidR="00943FD4" w:rsidRDefault="00B264C7" w:rsidP="003E37D1">
      <w:pPr>
        <w:pStyle w:val="Heading1"/>
      </w:pPr>
      <w:bookmarkStart w:id="6" w:name="_Toc432683868"/>
      <w:r w:rsidRPr="00633370">
        <w:lastRenderedPageBreak/>
        <w:t>Rationale for an AT strategy</w:t>
      </w:r>
      <w:bookmarkEnd w:id="6"/>
    </w:p>
    <w:p w:rsidR="001821A9" w:rsidRDefault="00082203" w:rsidP="008D3186">
      <w:r>
        <w:t xml:space="preserve">AT enables </w:t>
      </w:r>
      <w:r w:rsidR="00055FFE">
        <w:t>people with disability to live a better, more independent and</w:t>
      </w:r>
      <w:r>
        <w:t xml:space="preserve"> more</w:t>
      </w:r>
      <w:r w:rsidR="00055FFE">
        <w:t xml:space="preserve"> inclusive life. It enables people with disability to maximise their abilities at home, in the community and in the workplace</w:t>
      </w:r>
      <w:r w:rsidR="00C37074">
        <w:t>,</w:t>
      </w:r>
      <w:r w:rsidR="00055FFE">
        <w:t xml:space="preserve"> ensuring greater economic and social participation. </w:t>
      </w:r>
    </w:p>
    <w:p w:rsidR="00055FFE" w:rsidRDefault="001821A9" w:rsidP="008D3186">
      <w:r>
        <w:t>The rationale fo</w:t>
      </w:r>
      <w:r w:rsidR="00082203">
        <w:t xml:space="preserve">r </w:t>
      </w:r>
      <w:r w:rsidR="00061DE7">
        <w:t>the</w:t>
      </w:r>
      <w:r w:rsidR="00082203">
        <w:t xml:space="preserve"> AT strategy </w:t>
      </w:r>
      <w:r>
        <w:t>and the Agency’s commitm</w:t>
      </w:r>
      <w:r w:rsidR="002F1E0A">
        <w:t xml:space="preserve">ent to develop </w:t>
      </w:r>
      <w:r>
        <w:t>the strategy over time is due to a number of external and internal factors.</w:t>
      </w:r>
      <w:r w:rsidR="000C2E81">
        <w:t xml:space="preserve"> Below is a brief outline of these factors.</w:t>
      </w:r>
    </w:p>
    <w:p w:rsidR="001821A9" w:rsidRPr="00BC3662" w:rsidRDefault="001821A9" w:rsidP="001821A9">
      <w:pPr>
        <w:pStyle w:val="Heading2"/>
      </w:pPr>
      <w:bookmarkStart w:id="7" w:name="_Toc432683869"/>
      <w:r>
        <w:t>2.1</w:t>
      </w:r>
      <w:r w:rsidRPr="00F13632">
        <w:t xml:space="preserve"> </w:t>
      </w:r>
      <w:r>
        <w:t>External factors</w:t>
      </w:r>
      <w:bookmarkEnd w:id="7"/>
    </w:p>
    <w:p w:rsidR="002F1E0A" w:rsidRDefault="002F1E0A" w:rsidP="00E917B1">
      <w:pPr>
        <w:pStyle w:val="Heading3"/>
      </w:pPr>
      <w:bookmarkStart w:id="8" w:name="_Toc432683870"/>
      <w:r>
        <w:t>2.</w:t>
      </w:r>
      <w:r w:rsidRPr="00F13632">
        <w:t xml:space="preserve">1.1 </w:t>
      </w:r>
      <w:r>
        <w:t>Mainstream technological advancements</w:t>
      </w:r>
      <w:bookmarkEnd w:id="8"/>
    </w:p>
    <w:p w:rsidR="001821A9" w:rsidRDefault="001821A9" w:rsidP="008D3186">
      <w:r>
        <w:t>Technology is advancing at a rapid rate.</w:t>
      </w:r>
      <w:r w:rsidR="00C37074">
        <w:t xml:space="preserve"> It is enhancing the lives and </w:t>
      </w:r>
      <w:r w:rsidR="00082203">
        <w:t xml:space="preserve">the opportunities </w:t>
      </w:r>
      <w:r>
        <w:t>of the entire Australian community –</w:t>
      </w:r>
      <w:r w:rsidR="00082203">
        <w:t xml:space="preserve"> for example, smart phones can be </w:t>
      </w:r>
      <w:r>
        <w:t xml:space="preserve">used for shopping or banking on the go, satellite navigation to </w:t>
      </w:r>
      <w:r w:rsidR="00355ACC">
        <w:t>find a way to a destinatio</w:t>
      </w:r>
      <w:r w:rsidR="00903D79">
        <w:t>n, and video technology allow</w:t>
      </w:r>
      <w:r w:rsidR="002F1E0A">
        <w:t>ing people</w:t>
      </w:r>
      <w:r w:rsidR="00355ACC">
        <w:t xml:space="preserve"> to stay in touch with overseas relatives and friends</w:t>
      </w:r>
      <w:r w:rsidR="002F1E0A">
        <w:t>.</w:t>
      </w:r>
    </w:p>
    <w:p w:rsidR="001821A9" w:rsidRDefault="00903D79" w:rsidP="008D3186">
      <w:r>
        <w:t xml:space="preserve">These advances in mainstream technology, both in </w:t>
      </w:r>
      <w:r w:rsidR="002F1E0A">
        <w:t xml:space="preserve">devices – hardware – </w:t>
      </w:r>
      <w:r>
        <w:t>such</w:t>
      </w:r>
      <w:r w:rsidR="002F1E0A">
        <w:t xml:space="preserve"> </w:t>
      </w:r>
      <w:r>
        <w:t>as tablets and smart</w:t>
      </w:r>
      <w:r w:rsidR="002F1E0A">
        <w:t xml:space="preserve"> phones, and software including a range of </w:t>
      </w:r>
      <w:r>
        <w:t>apps</w:t>
      </w:r>
      <w:r w:rsidR="002F1E0A">
        <w:t xml:space="preserve">, </w:t>
      </w:r>
      <w:r w:rsidR="00C37074">
        <w:t xml:space="preserve">can be of </w:t>
      </w:r>
      <w:r w:rsidR="002F1E0A">
        <w:t xml:space="preserve">great benefit to people with disability. The technological developments will continue and the Agency </w:t>
      </w:r>
      <w:r w:rsidR="00082203">
        <w:t>is committed to keeping</w:t>
      </w:r>
      <w:r w:rsidR="002F1E0A">
        <w:t xml:space="preserve"> </w:t>
      </w:r>
      <w:r w:rsidR="00082203">
        <w:t>up-to-date with these changes to mainstream technology</w:t>
      </w:r>
      <w:r w:rsidR="0031389E">
        <w:t xml:space="preserve"> and how they can benefit people with disability.</w:t>
      </w:r>
    </w:p>
    <w:p w:rsidR="002F1E0A" w:rsidRDefault="002F1E0A" w:rsidP="00E917B1">
      <w:pPr>
        <w:pStyle w:val="Heading3"/>
      </w:pPr>
      <w:bookmarkStart w:id="9" w:name="_Toc432683871"/>
      <w:r>
        <w:t>2.</w:t>
      </w:r>
      <w:r w:rsidRPr="00F13632">
        <w:t>1.</w:t>
      </w:r>
      <w:r>
        <w:t>2</w:t>
      </w:r>
      <w:r w:rsidRPr="00F13632">
        <w:t xml:space="preserve"> </w:t>
      </w:r>
      <w:r>
        <w:t>Emerging technologies in aged care and health sectors</w:t>
      </w:r>
      <w:bookmarkEnd w:id="9"/>
    </w:p>
    <w:p w:rsidR="00F969D5" w:rsidRDefault="00C37074" w:rsidP="00F969D5">
      <w:r>
        <w:t>There are common needs in the disability, health and aged care s</w:t>
      </w:r>
      <w:r w:rsidR="0031389E">
        <w:t>ectors. S</w:t>
      </w:r>
      <w:r>
        <w:t>olutions in one sector can often</w:t>
      </w:r>
      <w:r w:rsidR="0031389E">
        <w:t xml:space="preserve"> be used across the other sectors</w:t>
      </w:r>
      <w:r>
        <w:t xml:space="preserve">. </w:t>
      </w:r>
      <w:r w:rsidR="002F1E0A">
        <w:t>The aged care and healt</w:t>
      </w:r>
      <w:r>
        <w:t xml:space="preserve">h sectors </w:t>
      </w:r>
      <w:r w:rsidR="0031389E">
        <w:t>are large and growing. A</w:t>
      </w:r>
      <w:r>
        <w:t>s they</w:t>
      </w:r>
      <w:r w:rsidR="002F1E0A">
        <w:t xml:space="preserve"> </w:t>
      </w:r>
      <w:r>
        <w:t xml:space="preserve">continue to grow </w:t>
      </w:r>
      <w:r w:rsidR="00E406D3">
        <w:t xml:space="preserve">they will attract </w:t>
      </w:r>
      <w:r w:rsidR="002F1E0A">
        <w:t>i</w:t>
      </w:r>
      <w:r w:rsidR="00E406D3">
        <w:t>ncreasing amounts of investment</w:t>
      </w:r>
      <w:r w:rsidR="0031389E">
        <w:t>,</w:t>
      </w:r>
      <w:r w:rsidR="00E406D3">
        <w:t xml:space="preserve"> leading to</w:t>
      </w:r>
      <w:r w:rsidR="0031389E">
        <w:t xml:space="preserve"> </w:t>
      </w:r>
      <w:r w:rsidR="00E406D3">
        <w:t>more</w:t>
      </w:r>
      <w:r w:rsidR="0031389E">
        <w:t xml:space="preserve"> innovation and more emerging technology solutions. There is </w:t>
      </w:r>
      <w:r w:rsidR="00E406D3">
        <w:t>opportunity for the Agency to</w:t>
      </w:r>
      <w:r w:rsidR="0031389E">
        <w:t>: (1)</w:t>
      </w:r>
      <w:r w:rsidR="00E406D3">
        <w:t xml:space="preserve"> embrace technological</w:t>
      </w:r>
      <w:r w:rsidR="0031389E">
        <w:t xml:space="preserve"> developments in the aged care and health sectors; (2) collaborate with </w:t>
      </w:r>
      <w:r>
        <w:t>stakeholders</w:t>
      </w:r>
      <w:r w:rsidR="0031389E">
        <w:t xml:space="preserve"> in these sectors; and (3) to co-invest in AT with aged and health care bodies.</w:t>
      </w:r>
    </w:p>
    <w:p w:rsidR="00E406D3" w:rsidRPr="00BC3662" w:rsidRDefault="00E406D3" w:rsidP="00E406D3">
      <w:pPr>
        <w:pStyle w:val="Heading2"/>
      </w:pPr>
      <w:bookmarkStart w:id="10" w:name="_Toc432683872"/>
      <w:r>
        <w:t>2.2</w:t>
      </w:r>
      <w:r w:rsidRPr="00F13632">
        <w:t xml:space="preserve"> </w:t>
      </w:r>
      <w:r>
        <w:t>Internal factors</w:t>
      </w:r>
      <w:bookmarkEnd w:id="10"/>
    </w:p>
    <w:p w:rsidR="00F969D5" w:rsidRDefault="00F969D5" w:rsidP="00E917B1">
      <w:pPr>
        <w:pStyle w:val="Heading3"/>
      </w:pPr>
      <w:bookmarkStart w:id="11" w:name="_Toc432683873"/>
      <w:r>
        <w:t xml:space="preserve">2.2.1 </w:t>
      </w:r>
      <w:r w:rsidR="00C37074">
        <w:t xml:space="preserve">Demonstrated importance of AT </w:t>
      </w:r>
      <w:r w:rsidR="00EF178C">
        <w:t xml:space="preserve">in </w:t>
      </w:r>
      <w:r>
        <w:t>trial sites</w:t>
      </w:r>
      <w:bookmarkEnd w:id="11"/>
    </w:p>
    <w:p w:rsidR="0031389E" w:rsidRDefault="00F969D5" w:rsidP="00F969D5">
      <w:r w:rsidRPr="00633370">
        <w:t>AT is very important for a large number of participants</w:t>
      </w:r>
      <w:r w:rsidR="0031389E">
        <w:t xml:space="preserve"> across the existing seven trial sites. Experiences from these trial sites indicate that AT will be </w:t>
      </w:r>
      <w:r w:rsidR="00C37074">
        <w:t xml:space="preserve">very important as the scheme rolls out nationally from July 2016. </w:t>
      </w:r>
    </w:p>
    <w:p w:rsidR="00F969D5" w:rsidRDefault="00C37074" w:rsidP="00F969D5">
      <w:r>
        <w:t>At</w:t>
      </w:r>
      <w:r w:rsidR="00F969D5" w:rsidRPr="00633370">
        <w:t xml:space="preserve"> the NDIS trial sites, AT is included in 39% of participants’ broader plans, rising to over 50% for</w:t>
      </w:r>
      <w:r w:rsidR="0031389E">
        <w:t xml:space="preserve"> </w:t>
      </w:r>
      <w:r w:rsidR="00F969D5" w:rsidRPr="00633370">
        <w:t>participants who are over 45 years old</w:t>
      </w:r>
      <w:r w:rsidR="00F969D5">
        <w:t>,</w:t>
      </w:r>
      <w:r w:rsidR="00F969D5" w:rsidRPr="00633370">
        <w:t xml:space="preserve"> and for children.  </w:t>
      </w:r>
      <w:r w:rsidR="00F969D5" w:rsidRPr="00F13632">
        <w:rPr>
          <w:bCs/>
        </w:rPr>
        <w:t xml:space="preserve">Of over 400 AT </w:t>
      </w:r>
      <w:r w:rsidR="00F969D5">
        <w:rPr>
          <w:bCs/>
        </w:rPr>
        <w:t xml:space="preserve">support </w:t>
      </w:r>
      <w:r w:rsidR="00F969D5" w:rsidRPr="00F13632">
        <w:rPr>
          <w:bCs/>
        </w:rPr>
        <w:t>item</w:t>
      </w:r>
      <w:r w:rsidR="00F969D5">
        <w:rPr>
          <w:bCs/>
        </w:rPr>
        <w:t xml:space="preserve"> types</w:t>
      </w:r>
      <w:r w:rsidR="00F969D5" w:rsidRPr="00B00CEF">
        <w:rPr>
          <w:bCs/>
        </w:rPr>
        <w:t>, t</w:t>
      </w:r>
      <w:r w:rsidR="00F969D5" w:rsidRPr="003C18F2">
        <w:rPr>
          <w:bCs/>
        </w:rPr>
        <w:t xml:space="preserve">he two largest value clusters </w:t>
      </w:r>
      <w:r w:rsidR="00F969D5" w:rsidRPr="00823315">
        <w:rPr>
          <w:bCs/>
        </w:rPr>
        <w:t xml:space="preserve">coming out of the trial sites </w:t>
      </w:r>
      <w:r w:rsidR="00F969D5" w:rsidRPr="009D317C">
        <w:rPr>
          <w:bCs/>
        </w:rPr>
        <w:t xml:space="preserve">are </w:t>
      </w:r>
      <w:r w:rsidR="00F969D5" w:rsidRPr="00D851DF">
        <w:rPr>
          <w:bCs/>
        </w:rPr>
        <w:t>a</w:t>
      </w:r>
      <w:r w:rsidR="00F969D5" w:rsidRPr="004E254D">
        <w:rPr>
          <w:bCs/>
        </w:rPr>
        <w:t>ssistive produc</w:t>
      </w:r>
      <w:r w:rsidR="00F969D5" w:rsidRPr="000D0B36">
        <w:rPr>
          <w:bCs/>
        </w:rPr>
        <w:t>t</w:t>
      </w:r>
      <w:r w:rsidR="00F969D5" w:rsidRPr="00194E14">
        <w:rPr>
          <w:bCs/>
        </w:rPr>
        <w:t>s</w:t>
      </w:r>
      <w:r w:rsidR="00F969D5" w:rsidRPr="00131F0A">
        <w:rPr>
          <w:bCs/>
        </w:rPr>
        <w:t xml:space="preserve"> for </w:t>
      </w:r>
      <w:r w:rsidR="00F969D5" w:rsidRPr="00633370">
        <w:rPr>
          <w:bCs/>
        </w:rPr>
        <w:t>personal care and safety, and for personal mobility</w:t>
      </w:r>
      <w:r w:rsidR="00F969D5">
        <w:rPr>
          <w:bCs/>
        </w:rPr>
        <w:t xml:space="preserve"> (Figure 1)</w:t>
      </w:r>
      <w:r w:rsidR="00F969D5" w:rsidRPr="00633370">
        <w:rPr>
          <w:bCs/>
        </w:rPr>
        <w:t xml:space="preserve">.  </w:t>
      </w:r>
      <w:r w:rsidR="00F969D5" w:rsidRPr="00633370">
        <w:t xml:space="preserve">Personal care and safety products include consumables such as home enteral nutrition (HEN) and continence products, as well as capital items such as bathroom and bedroom equipment.  Personal mobility equipment includes capital items such as wheelchairs, walkers, hoists and transfer equipment. </w:t>
      </w:r>
    </w:p>
    <w:p w:rsidR="00F969D5" w:rsidRPr="00633370" w:rsidRDefault="00F969D5" w:rsidP="00F969D5">
      <w:r w:rsidRPr="00633370">
        <w:t>The highest committed AT expenditure from the trial sites to date is for participants with ‘oth</w:t>
      </w:r>
      <w:r w:rsidR="0031389E">
        <w:t xml:space="preserve">er neurological disabilities’ (approx. </w:t>
      </w:r>
      <w:r w:rsidRPr="00633370">
        <w:t>$8.7m), followed</w:t>
      </w:r>
      <w:r w:rsidR="0031389E">
        <w:t xml:space="preserve"> by those with cerebral palsy (approx. </w:t>
      </w:r>
      <w:r w:rsidRPr="00633370">
        <w:t>$6.8m</w:t>
      </w:r>
      <w:r w:rsidR="0031389E">
        <w:t xml:space="preserve">) and intellectual disability (approx. </w:t>
      </w:r>
      <w:r w:rsidRPr="00633370">
        <w:t xml:space="preserve">$3.0m). While approximately 70% of scheme participants have an intellectual disability, AT spend in this area has historically been low, but new technologies—many used in the mainstream, such as </w:t>
      </w:r>
      <w:r>
        <w:t>tablet</w:t>
      </w:r>
      <w:r w:rsidRPr="00633370">
        <w:t xml:space="preserve"> and smartphone applications—are offering opportunities to enhance independence, confidence and participation outcomes for this group. </w:t>
      </w:r>
    </w:p>
    <w:p w:rsidR="00F969D5" w:rsidRPr="00633370" w:rsidRDefault="00F969D5" w:rsidP="00F969D5"/>
    <w:p w:rsidR="00F969D5" w:rsidRDefault="00F969D5" w:rsidP="00F969D5"/>
    <w:p w:rsidR="00F969D5" w:rsidRPr="00F969D5" w:rsidRDefault="00F969D5" w:rsidP="00F969D5"/>
    <w:p w:rsidR="00F969D5" w:rsidRDefault="00F969D5" w:rsidP="00F90857">
      <w:pPr>
        <w:jc w:val="center"/>
      </w:pPr>
      <w:r>
        <w:rPr>
          <w:noProof/>
          <w:lang w:val="en-AU" w:eastAsia="en-AU"/>
        </w:rPr>
        <w:lastRenderedPageBreak/>
        <w:drawing>
          <wp:inline distT="0" distB="0" distL="0" distR="0" wp14:anchorId="58AA5387" wp14:editId="19534C5E">
            <wp:extent cx="4048125" cy="3289484"/>
            <wp:effectExtent l="19050" t="19050" r="9525" b="254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4492" cy="3294657"/>
                    </a:xfrm>
                    <a:prstGeom prst="rect">
                      <a:avLst/>
                    </a:prstGeom>
                    <a:noFill/>
                    <a:ln>
                      <a:solidFill>
                        <a:srgbClr val="4F81BD"/>
                      </a:solidFill>
                    </a:ln>
                  </pic:spPr>
                </pic:pic>
              </a:graphicData>
            </a:graphic>
          </wp:inline>
        </w:drawing>
      </w:r>
    </w:p>
    <w:p w:rsidR="00F969D5" w:rsidRDefault="00F969D5" w:rsidP="00E917B1">
      <w:pPr>
        <w:pStyle w:val="Heading3"/>
      </w:pPr>
    </w:p>
    <w:p w:rsidR="00F969D5" w:rsidRPr="00F969D5" w:rsidRDefault="00F969D5" w:rsidP="00F969D5">
      <w:pPr>
        <w:pStyle w:val="Caption"/>
        <w:jc w:val="center"/>
      </w:pPr>
      <w:r w:rsidRPr="00B00CEF">
        <w:t xml:space="preserve">Figure </w:t>
      </w:r>
      <w:r w:rsidRPr="00823315">
        <w:fldChar w:fldCharType="begin"/>
      </w:r>
      <w:r w:rsidRPr="00AC4405">
        <w:instrText xml:space="preserve"> SEQ Figure \* ARABIC </w:instrText>
      </w:r>
      <w:r w:rsidRPr="00823315">
        <w:fldChar w:fldCharType="separate"/>
      </w:r>
      <w:r w:rsidR="007717DF">
        <w:rPr>
          <w:noProof/>
        </w:rPr>
        <w:t>1</w:t>
      </w:r>
      <w:r w:rsidRPr="00823315">
        <w:fldChar w:fldCharType="end"/>
      </w:r>
      <w:r w:rsidRPr="009D317C">
        <w:t xml:space="preserve">: AT </w:t>
      </w:r>
      <w:r>
        <w:t>supports</w:t>
      </w:r>
      <w:r w:rsidRPr="00BC3662">
        <w:t xml:space="preserve"> and </w:t>
      </w:r>
      <w:r>
        <w:t>expenditure</w:t>
      </w:r>
      <w:r w:rsidRPr="00BC3662">
        <w:t xml:space="preserve"> by </w:t>
      </w:r>
      <w:r>
        <w:t>cluster</w:t>
      </w:r>
      <w:r w:rsidRPr="00BC3662">
        <w:t xml:space="preserve"> at full scheme</w:t>
      </w:r>
    </w:p>
    <w:p w:rsidR="00F969D5" w:rsidRPr="00F969D5" w:rsidRDefault="00F969D5" w:rsidP="00F969D5"/>
    <w:p w:rsidR="00F2093A" w:rsidRDefault="00F2093A" w:rsidP="00E917B1">
      <w:pPr>
        <w:pStyle w:val="Heading3"/>
      </w:pPr>
      <w:bookmarkStart w:id="12" w:name="_Toc432683874"/>
      <w:r>
        <w:t>2.2</w:t>
      </w:r>
      <w:r w:rsidR="00F969D5">
        <w:t>.2</w:t>
      </w:r>
      <w:r w:rsidRPr="00F13632">
        <w:t xml:space="preserve"> </w:t>
      </w:r>
      <w:r>
        <w:t>NDIA investment in AT</w:t>
      </w:r>
      <w:bookmarkEnd w:id="12"/>
    </w:p>
    <w:p w:rsidR="00B67C5B" w:rsidRDefault="00B67C5B" w:rsidP="008D3186">
      <w:r>
        <w:t xml:space="preserve">Spending on AT is </w:t>
      </w:r>
      <w:r w:rsidRPr="00823315">
        <w:t>expected to reach $1</w:t>
      </w:r>
      <w:r w:rsidRPr="009D317C">
        <w:t>.06</w:t>
      </w:r>
      <w:r w:rsidRPr="00BC3662">
        <w:t xml:space="preserve"> </w:t>
      </w:r>
      <w:r w:rsidRPr="00D851DF">
        <w:t>b</w:t>
      </w:r>
      <w:r w:rsidRPr="004E254D">
        <w:t>illion</w:t>
      </w:r>
      <w:r w:rsidRPr="000D0B36">
        <w:t xml:space="preserve"> </w:t>
      </w:r>
      <w:r w:rsidRPr="00194E14">
        <w:t>per annum</w:t>
      </w:r>
      <w:r>
        <w:t xml:space="preserve"> when </w:t>
      </w:r>
      <w:r w:rsidR="0031389E">
        <w:t>the scheme is fully rolled out in 2019-20,</w:t>
      </w:r>
      <w:r w:rsidR="0085012B" w:rsidRPr="00633370">
        <w:rPr>
          <w:rStyle w:val="FootnoteReference"/>
        </w:rPr>
        <w:footnoteReference w:id="2"/>
      </w:r>
      <w:r w:rsidR="00F2093A">
        <w:t xml:space="preserve"> </w:t>
      </w:r>
      <w:r>
        <w:t>Spending of this size will develop the AT market in Australia, encouraging investment, and the development of emerging technology solutions. As knowledge of this spend filters through the Australian and global technology community, the expectation is that Australia could become a hub of AT innovation.</w:t>
      </w:r>
    </w:p>
    <w:p w:rsidR="00F969D5" w:rsidRDefault="00B67C5B" w:rsidP="008D3186">
      <w:r>
        <w:t xml:space="preserve">There is already evidence of interest from global technology companies. </w:t>
      </w:r>
      <w:r w:rsidR="00C37074">
        <w:t xml:space="preserve">Attendants at the upcoming </w:t>
      </w:r>
      <w:r w:rsidR="00C37074">
        <w:rPr>
          <w:i/>
        </w:rPr>
        <w:t>NDIS New World Conference: Disability in the 21</w:t>
      </w:r>
      <w:r w:rsidR="00C37074" w:rsidRPr="00C37074">
        <w:rPr>
          <w:i/>
          <w:vertAlign w:val="superscript"/>
        </w:rPr>
        <w:t>st</w:t>
      </w:r>
      <w:r w:rsidR="00C37074">
        <w:rPr>
          <w:i/>
        </w:rPr>
        <w:t xml:space="preserve"> Century</w:t>
      </w:r>
      <w:r>
        <w:t xml:space="preserve"> – which focuses on the role of technology in bettering the lives of people with disability – </w:t>
      </w:r>
      <w:proofErr w:type="gramStart"/>
      <w:r>
        <w:t>include</w:t>
      </w:r>
      <w:proofErr w:type="gramEnd"/>
      <w:r>
        <w:t xml:space="preserve"> representatives and Chief Accessibility Officers from leading technology companies such as Apple, Microsoft, and IBM. T</w:t>
      </w:r>
      <w:r w:rsidR="00C37074">
        <w:t xml:space="preserve">he </w:t>
      </w:r>
      <w:r w:rsidR="00F2093A" w:rsidRPr="003C18F2">
        <w:t xml:space="preserve">global AT </w:t>
      </w:r>
      <w:r w:rsidR="00687C26">
        <w:t xml:space="preserve">will </w:t>
      </w:r>
      <w:r>
        <w:t xml:space="preserve">increasingly </w:t>
      </w:r>
      <w:r w:rsidR="00F2093A" w:rsidRPr="00735903">
        <w:t xml:space="preserve">see </w:t>
      </w:r>
      <w:r w:rsidR="00F2093A" w:rsidRPr="00823315">
        <w:t>the Australian market as a potentia</w:t>
      </w:r>
      <w:r w:rsidR="000C2E81">
        <w:t xml:space="preserve">l </w:t>
      </w:r>
      <w:r>
        <w:t>incubator for new technologies and will explore</w:t>
      </w:r>
      <w:r w:rsidR="00F969D5">
        <w:t xml:space="preserve"> the market opportunities presented by the NDIS.</w:t>
      </w:r>
      <w:r>
        <w:t xml:space="preserve"> </w:t>
      </w:r>
    </w:p>
    <w:p w:rsidR="00F969D5" w:rsidRDefault="00675754" w:rsidP="00E917B1">
      <w:pPr>
        <w:pStyle w:val="Heading3"/>
      </w:pPr>
      <w:bookmarkStart w:id="13" w:name="_Toc432683875"/>
      <w:r>
        <w:t>2.2.3</w:t>
      </w:r>
      <w:r w:rsidR="00F969D5" w:rsidRPr="00F13632">
        <w:t xml:space="preserve"> </w:t>
      </w:r>
      <w:r w:rsidR="000C2E81">
        <w:t>C</w:t>
      </w:r>
      <w:r>
        <w:t>hallenge of uptake of AT by participants</w:t>
      </w:r>
      <w:bookmarkEnd w:id="13"/>
    </w:p>
    <w:p w:rsidR="00675754" w:rsidRDefault="000C2E81" w:rsidP="00F969D5">
      <w:r>
        <w:t>People with a disability</w:t>
      </w:r>
      <w:r w:rsidR="00F969D5">
        <w:t xml:space="preserve"> have a wide range of levels of understanding</w:t>
      </w:r>
      <w:r w:rsidR="00675754">
        <w:t xml:space="preserve"> of the AT options available to</w:t>
      </w:r>
      <w:r w:rsidR="00F969D5">
        <w:t xml:space="preserve"> them and </w:t>
      </w:r>
      <w:r w:rsidR="00687C26">
        <w:t>a wide range of capacities to choose</w:t>
      </w:r>
      <w:r w:rsidR="00F969D5">
        <w:t xml:space="preserve"> the best technology for them. The Agency’s strategy therefore needs to focus on how </w:t>
      </w:r>
      <w:r w:rsidR="00675754">
        <w:t>to provide better information of the options available, then determine the participa</w:t>
      </w:r>
      <w:r w:rsidR="00687C26">
        <w:t xml:space="preserve">nt’s capacity for choice and </w:t>
      </w:r>
      <w:r w:rsidR="00675754">
        <w:t>build upon this capacity to maximise choice and control for participants.</w:t>
      </w:r>
    </w:p>
    <w:p w:rsidR="000C2E81" w:rsidRDefault="000C2E81" w:rsidP="000C2E81">
      <w:pPr>
        <w:pStyle w:val="Heading3"/>
      </w:pPr>
      <w:bookmarkStart w:id="14" w:name="_Toc432683876"/>
      <w:r>
        <w:t>2.2.4</w:t>
      </w:r>
      <w:r w:rsidRPr="00F13632">
        <w:t xml:space="preserve"> </w:t>
      </w:r>
      <w:r>
        <w:t>Value creation</w:t>
      </w:r>
      <w:bookmarkEnd w:id="14"/>
    </w:p>
    <w:p w:rsidR="00687C26" w:rsidRPr="00633370" w:rsidRDefault="005E2E1D" w:rsidP="00D75498">
      <w:r w:rsidRPr="00F13632">
        <w:t>The rationale for developing a robust, clearly articulated AT strategy is</w:t>
      </w:r>
      <w:r w:rsidR="000C2E81">
        <w:t xml:space="preserve"> also </w:t>
      </w:r>
      <w:r w:rsidR="00687C26">
        <w:t xml:space="preserve">to enhance the </w:t>
      </w:r>
      <w:r w:rsidR="000C2E81">
        <w:t>value creation</w:t>
      </w:r>
      <w:r w:rsidRPr="00B00CEF">
        <w:t xml:space="preserve"> it offers </w:t>
      </w:r>
      <w:r w:rsidR="00F46BCA" w:rsidRPr="003C18F2">
        <w:t>both for</w:t>
      </w:r>
      <w:r w:rsidRPr="00823315">
        <w:t xml:space="preserve"> participants and </w:t>
      </w:r>
      <w:r w:rsidR="00F46BCA" w:rsidRPr="009D317C">
        <w:t xml:space="preserve">for </w:t>
      </w:r>
      <w:r w:rsidRPr="00BC3662">
        <w:t xml:space="preserve">the scheme. </w:t>
      </w:r>
      <w:r w:rsidR="000C2E81">
        <w:t xml:space="preserve">The </w:t>
      </w:r>
      <w:r w:rsidR="00D75498" w:rsidRPr="000D0B36">
        <w:t xml:space="preserve">strategy development process took into account opportunities to decrease </w:t>
      </w:r>
      <w:r w:rsidR="00224C2E" w:rsidRPr="00194E14">
        <w:t xml:space="preserve">AT </w:t>
      </w:r>
      <w:r w:rsidR="00D75498" w:rsidRPr="00131F0A">
        <w:t>costs where this could be achieved while delivering</w:t>
      </w:r>
      <w:r w:rsidR="000D0978" w:rsidRPr="00131F0A">
        <w:t xml:space="preserve"> </w:t>
      </w:r>
      <w:r w:rsidR="00C640FD" w:rsidRPr="00633370">
        <w:t xml:space="preserve">the </w:t>
      </w:r>
      <w:r w:rsidR="000D0978" w:rsidRPr="00633370">
        <w:t xml:space="preserve">same </w:t>
      </w:r>
      <w:r w:rsidR="00D75498" w:rsidRPr="00633370">
        <w:t>or</w:t>
      </w:r>
      <w:r w:rsidR="00C640FD" w:rsidRPr="00633370">
        <w:t xml:space="preserve"> better </w:t>
      </w:r>
      <w:r w:rsidR="000D0978" w:rsidRPr="00633370">
        <w:t>outcomes for participants</w:t>
      </w:r>
      <w:r w:rsidR="00D75498" w:rsidRPr="00633370">
        <w:t>. Many of these opportunities come from changes to sourcing</w:t>
      </w:r>
      <w:r w:rsidR="00CF7FD5" w:rsidRPr="00633370">
        <w:t>.</w:t>
      </w:r>
      <w:r w:rsidR="00687C26">
        <w:t xml:space="preserve"> </w:t>
      </w:r>
      <w:r w:rsidR="00687C26" w:rsidRPr="00687C26">
        <w:t xml:space="preserve">Its </w:t>
      </w:r>
      <w:r w:rsidR="00687C26" w:rsidRPr="00687C26">
        <w:rPr>
          <w:lang w:val="en-AU"/>
        </w:rPr>
        <w:lastRenderedPageBreak/>
        <w:t xml:space="preserve">implementation is expected to deliver the </w:t>
      </w:r>
      <w:r w:rsidR="00687C26" w:rsidRPr="00687C26">
        <w:t xml:space="preserve">scheme </w:t>
      </w:r>
      <w:r w:rsidR="00687C26" w:rsidRPr="00687C26">
        <w:rPr>
          <w:bCs/>
          <w:lang w:val="en-AU"/>
        </w:rPr>
        <w:t>net inc</w:t>
      </w:r>
      <w:r w:rsidR="00687C26">
        <w:rPr>
          <w:bCs/>
          <w:lang w:val="en-AU"/>
        </w:rPr>
        <w:t xml:space="preserve">remental financial benefits of approximately </w:t>
      </w:r>
      <w:r w:rsidR="00687C26" w:rsidRPr="00687C26">
        <w:rPr>
          <w:bCs/>
          <w:lang w:val="en-AU"/>
        </w:rPr>
        <w:t>$161 million per annum by FY19-20 and $1.2 billion over 10 years.</w:t>
      </w:r>
    </w:p>
    <w:p w:rsidR="00D75498" w:rsidRDefault="001D1AE7" w:rsidP="00D75498">
      <w:r>
        <w:t>Efficiency gains are expected from the</w:t>
      </w:r>
      <w:r w:rsidR="00D75498" w:rsidRPr="00633370">
        <w:t xml:space="preserve"> potential for new and emerging technologies to disrupt support and service delivery</w:t>
      </w:r>
      <w:r w:rsidR="00224C2E" w:rsidRPr="00633370">
        <w:t>,</w:t>
      </w:r>
      <w:r w:rsidR="00D75498" w:rsidRPr="00F13632">
        <w:rPr>
          <w:rStyle w:val="FootnoteReference"/>
        </w:rPr>
        <w:footnoteReference w:id="3"/>
      </w:r>
      <w:r w:rsidR="00D75498" w:rsidRPr="00F13632">
        <w:t xml:space="preserve"> and increase participants’ independence and capacity</w:t>
      </w:r>
      <w:r w:rsidR="00224C2E" w:rsidRPr="00B00CEF">
        <w:t xml:space="preserve"> for active social and economic participation. This could </w:t>
      </w:r>
      <w:r w:rsidR="000A5EDA" w:rsidRPr="003C18F2">
        <w:t xml:space="preserve">potentially </w:t>
      </w:r>
      <w:r w:rsidR="00224C2E" w:rsidRPr="00823315">
        <w:t xml:space="preserve">have a significant impact on Agency </w:t>
      </w:r>
      <w:r w:rsidRPr="00823315">
        <w:t>ex</w:t>
      </w:r>
      <w:r w:rsidRPr="009D317C">
        <w:t>penditure</w:t>
      </w:r>
      <w:r>
        <w:t>;</w:t>
      </w:r>
      <w:r w:rsidR="006F4F77">
        <w:t xml:space="preserve"> for example</w:t>
      </w:r>
      <w:r>
        <w:t>,</w:t>
      </w:r>
      <w:r w:rsidR="006F4F77">
        <w:t xml:space="preserve"> </w:t>
      </w:r>
      <w:r w:rsidR="00224C2E" w:rsidRPr="009D317C">
        <w:t xml:space="preserve">by </w:t>
      </w:r>
      <w:r w:rsidR="006F4F77">
        <w:t>r</w:t>
      </w:r>
      <w:r w:rsidR="00224C2E" w:rsidRPr="009D317C">
        <w:t xml:space="preserve">educing the </w:t>
      </w:r>
      <w:r w:rsidR="006C0CF7" w:rsidRPr="00BC3662">
        <w:t>cost</w:t>
      </w:r>
      <w:r w:rsidR="00224C2E" w:rsidRPr="00D851DF">
        <w:t xml:space="preserve"> </w:t>
      </w:r>
      <w:r w:rsidR="00BD18BA" w:rsidRPr="004E254D">
        <w:t xml:space="preserve">of </w:t>
      </w:r>
      <w:r w:rsidR="0003327A" w:rsidRPr="000D0B36">
        <w:t>personal and community supports</w:t>
      </w:r>
      <w:r w:rsidR="00224C2E" w:rsidRPr="00194E14">
        <w:t xml:space="preserve">, which at </w:t>
      </w:r>
      <w:r w:rsidR="0003327A" w:rsidRPr="00131F0A">
        <w:t>45</w:t>
      </w:r>
      <w:r w:rsidR="00224C2E" w:rsidRPr="00131F0A">
        <w:t xml:space="preserve">% of spend </w:t>
      </w:r>
      <w:r w:rsidR="00F46BCA" w:rsidRPr="00633370">
        <w:t xml:space="preserve">on </w:t>
      </w:r>
      <w:r w:rsidR="00AD7F92" w:rsidRPr="00633370">
        <w:t>average,</w:t>
      </w:r>
      <w:r w:rsidR="00F46BCA" w:rsidRPr="00633370">
        <w:t xml:space="preserve"> </w:t>
      </w:r>
      <w:r w:rsidR="00224C2E" w:rsidRPr="00633370">
        <w:t xml:space="preserve">is the biggest annual </w:t>
      </w:r>
      <w:r w:rsidR="000A5EDA" w:rsidRPr="00633370">
        <w:t>expenditure item in participants’ plans</w:t>
      </w:r>
      <w:r w:rsidR="00224C2E" w:rsidRPr="00633370">
        <w:t xml:space="preserve">. </w:t>
      </w:r>
    </w:p>
    <w:p w:rsidR="001D1AE7" w:rsidRDefault="001D1AE7" w:rsidP="00D75498">
      <w:r>
        <w:t xml:space="preserve">Further, </w:t>
      </w:r>
      <w:r w:rsidRPr="00B00CEF">
        <w:t xml:space="preserve">technology </w:t>
      </w:r>
      <w:r w:rsidRPr="003C18F2">
        <w:t>solutions offer the potential to increase</w:t>
      </w:r>
      <w:r w:rsidRPr="00823315">
        <w:t xml:space="preserve"> economic participation </w:t>
      </w:r>
      <w:r w:rsidRPr="009D317C">
        <w:t xml:space="preserve">for participants, </w:t>
      </w:r>
      <w:r w:rsidRPr="00BC3662">
        <w:t xml:space="preserve">which will </w:t>
      </w:r>
      <w:r w:rsidRPr="00D851DF">
        <w:t>deliver significant benefits in confidence, independence and self-esteem for participants; diversity benefits for businesses and communities</w:t>
      </w:r>
      <w:r w:rsidRPr="004E254D">
        <w:t>;</w:t>
      </w:r>
      <w:r w:rsidRPr="00194E14">
        <w:t xml:space="preserve"> and economic benefits for the nation.</w:t>
      </w:r>
    </w:p>
    <w:p w:rsidR="001831EE" w:rsidRPr="00633370" w:rsidRDefault="001831EE" w:rsidP="00D75498">
      <w:r w:rsidRPr="00633370">
        <w:t>In addition, implementatio</w:t>
      </w:r>
      <w:r>
        <w:t>n</w:t>
      </w:r>
      <w:r w:rsidRPr="00633370">
        <w:t xml:space="preserve"> of the AT strategy will support the achievement of the Technology Authority Strategy to lead in the use of technology to oversight and manage the scheme.</w:t>
      </w:r>
    </w:p>
    <w:p w:rsidR="001D1AE7" w:rsidRDefault="001D1AE7" w:rsidP="001D1AE7">
      <w:pPr>
        <w:pStyle w:val="Heading3"/>
      </w:pPr>
      <w:bookmarkStart w:id="15" w:name="_Toc432683877"/>
      <w:r>
        <w:t>2.2.5 Rural and remote areas</w:t>
      </w:r>
      <w:bookmarkEnd w:id="15"/>
    </w:p>
    <w:p w:rsidR="00C640FD" w:rsidRPr="00633370" w:rsidRDefault="00FA7094" w:rsidP="003B0F44">
      <w:r>
        <w:rPr>
          <w:noProof/>
          <w:lang w:val="en-AU" w:eastAsia="en-AU"/>
        </w:rPr>
        <w:pict w14:anchorId="5609DDDE">
          <v:shapetype id="_x0000_t202" coordsize="21600,21600" o:spt="202" path="m,l,21600r21600,l21600,xe">
            <v:stroke joinstyle="miter"/>
            <v:path gradientshapeok="t" o:connecttype="rect"/>
          </v:shapetype>
          <v:shape id="Text Box 4" o:spid="_x0000_s1026" type="#_x0000_t202" style="position:absolute;margin-left:0;margin-top:77.35pt;width:6in;height:31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" fillcolor="#d8d8d8 [2732]" stroked="f">
            <v:textbox style="mso-next-textbox:#Text Box 4">
              <w:txbxContent>
                <w:p w:rsidR="00AA75D5" w:rsidRPr="003B0F44" w:rsidRDefault="00AA75D5" w:rsidP="002A5CB4">
                  <w:pPr>
                    <w:rPr>
                      <w:rFonts w:asciiTheme="majorHAnsi" w:hAnsiTheme="majorHAnsi"/>
                      <w:b/>
                      <w:sz w:val="18"/>
                      <w:szCs w:val="18"/>
                    </w:rPr>
                  </w:pPr>
                  <w:r w:rsidRPr="003B0F44">
                    <w:rPr>
                      <w:rFonts w:asciiTheme="majorHAnsi" w:hAnsiTheme="majorHAnsi"/>
                      <w:b/>
                      <w:sz w:val="18"/>
                      <w:szCs w:val="18"/>
                    </w:rPr>
                    <w:t xml:space="preserve">Case Study </w:t>
                  </w:r>
                </w:p>
                <w:p w:rsidR="00AA75D5" w:rsidRPr="003B0F44" w:rsidRDefault="00AA75D5" w:rsidP="002A5CB4">
                  <w:pPr>
                    <w:rPr>
                      <w:rFonts w:asciiTheme="majorHAnsi" w:hAnsiTheme="majorHAnsi"/>
                      <w:sz w:val="18"/>
                      <w:szCs w:val="18"/>
                    </w:rPr>
                  </w:pPr>
                  <w:r w:rsidRPr="003B0F44">
                    <w:rPr>
                      <w:rFonts w:asciiTheme="majorHAnsi" w:hAnsiTheme="majorHAnsi"/>
                      <w:sz w:val="18"/>
                      <w:szCs w:val="18"/>
                    </w:rPr>
                    <w:t xml:space="preserve">Dean, 13, has a moderate intellectual disability.  To attend a weekly post-school swimming lesson, he has a support worker for 2 hours to take him from school to the pool and then home, though he doesn’t actually need the support for the bulk of that time, when he’s in the pool.  </w:t>
                  </w:r>
                </w:p>
                <w:p w:rsidR="00AA75D5" w:rsidRPr="003B0F44" w:rsidRDefault="00AA75D5" w:rsidP="002A5CB4">
                  <w:pPr>
                    <w:rPr>
                      <w:rFonts w:asciiTheme="majorHAnsi" w:hAnsiTheme="majorHAnsi"/>
                      <w:sz w:val="18"/>
                      <w:szCs w:val="18"/>
                    </w:rPr>
                  </w:pPr>
                  <w:r w:rsidRPr="003B0F44">
                    <w:rPr>
                      <w:rFonts w:asciiTheme="majorHAnsi" w:hAnsiTheme="majorHAnsi"/>
                      <w:sz w:val="18"/>
                      <w:szCs w:val="18"/>
                    </w:rPr>
                    <w:t>Dean’s mother Maria is a member of an online network of parents with children whose needs and goals are similar to Dean’s. When another mother described how a smartphone was allowing her daughter to catch the bus to and from her dancing classes without a support worker, Maria investigated the possibilities for Dean.  She found she could use GPS technology and video ca</w:t>
                  </w:r>
                  <w:r>
                    <w:rPr>
                      <w:rFonts w:asciiTheme="majorHAnsi" w:hAnsiTheme="majorHAnsi"/>
                      <w:sz w:val="18"/>
                      <w:szCs w:val="18"/>
                    </w:rPr>
                    <w:t>lls to ensure he was safe and t</w:t>
                  </w:r>
                  <w:r w:rsidRPr="003B0F44">
                    <w:rPr>
                      <w:rFonts w:asciiTheme="majorHAnsi" w:hAnsiTheme="majorHAnsi"/>
                      <w:sz w:val="18"/>
                      <w:szCs w:val="18"/>
                    </w:rPr>
                    <w:t xml:space="preserve">o easily locate him if he got lost.  </w:t>
                  </w:r>
                </w:p>
                <w:p w:rsidR="00AA75D5" w:rsidRPr="003B0F44" w:rsidRDefault="00AA75D5" w:rsidP="002A5CB4">
                  <w:pPr>
                    <w:rPr>
                      <w:rFonts w:asciiTheme="majorHAnsi" w:hAnsiTheme="majorHAnsi"/>
                      <w:sz w:val="18"/>
                      <w:szCs w:val="18"/>
                    </w:rPr>
                  </w:pPr>
                  <w:r w:rsidRPr="003B0F44">
                    <w:rPr>
                      <w:rFonts w:asciiTheme="majorHAnsi" w:hAnsiTheme="majorHAnsi"/>
                      <w:sz w:val="18"/>
                      <w:szCs w:val="18"/>
                    </w:rPr>
                    <w:t xml:space="preserve">Once the smart phone was configured, the support worker helped Dean use it and within four weeks he was travelling independently to and </w:t>
                  </w:r>
                  <w:r>
                    <w:rPr>
                      <w:rFonts w:asciiTheme="majorHAnsi" w:hAnsiTheme="majorHAnsi"/>
                      <w:sz w:val="18"/>
                      <w:szCs w:val="18"/>
                    </w:rPr>
                    <w:t xml:space="preserve">from his swimming lessons, text </w:t>
                  </w:r>
                  <w:r w:rsidRPr="003B0F44">
                    <w:rPr>
                      <w:rFonts w:asciiTheme="majorHAnsi" w:hAnsiTheme="majorHAnsi"/>
                      <w:sz w:val="18"/>
                      <w:szCs w:val="18"/>
                    </w:rPr>
                    <w:t>messaging Maria when he arrived at his destination. When the bus was detoured for road</w:t>
                  </w:r>
                  <w:r w:rsidR="008A0C76">
                    <w:rPr>
                      <w:rFonts w:asciiTheme="majorHAnsi" w:hAnsiTheme="majorHAnsi"/>
                      <w:sz w:val="18"/>
                      <w:szCs w:val="18"/>
                    </w:rPr>
                    <w:t xml:space="preserve"> </w:t>
                  </w:r>
                  <w:r w:rsidRPr="003B0F44">
                    <w:rPr>
                      <w:rFonts w:asciiTheme="majorHAnsi" w:hAnsiTheme="majorHAnsi"/>
                      <w:sz w:val="18"/>
                      <w:szCs w:val="18"/>
                    </w:rPr>
                    <w:t xml:space="preserve">works, Dean was able to send his mother a picture of where he was and she used the GPS technology and video messaging to make sure he got home safely. </w:t>
                  </w:r>
                </w:p>
                <w:p w:rsidR="00AA75D5" w:rsidRPr="003B0F44" w:rsidRDefault="00AA75D5" w:rsidP="002A5CB4">
                  <w:pPr>
                    <w:spacing w:after="0"/>
                    <w:rPr>
                      <w:rFonts w:asciiTheme="majorHAnsi" w:hAnsiTheme="majorHAnsi"/>
                      <w:sz w:val="18"/>
                      <w:szCs w:val="18"/>
                    </w:rPr>
                  </w:pPr>
                  <w:r w:rsidRPr="003B0F44">
                    <w:rPr>
                      <w:rFonts w:asciiTheme="majorHAnsi" w:hAnsiTheme="majorHAnsi"/>
                      <w:sz w:val="18"/>
                      <w:szCs w:val="18"/>
                    </w:rPr>
                    <w:t xml:space="preserve">Investment:  </w:t>
                  </w:r>
                </w:p>
                <w:p w:rsidR="00AA75D5" w:rsidRPr="003B0F44" w:rsidRDefault="00AA75D5" w:rsidP="00D605BC">
                  <w:pPr>
                    <w:pStyle w:val="ListParagraph"/>
                    <w:numPr>
                      <w:ilvl w:val="0"/>
                      <w:numId w:val="6"/>
                    </w:numPr>
                    <w:spacing w:before="0" w:after="0"/>
                    <w:contextualSpacing w:val="0"/>
                    <w:rPr>
                      <w:rFonts w:asciiTheme="majorHAnsi" w:hAnsiTheme="majorHAnsi"/>
                      <w:sz w:val="18"/>
                      <w:szCs w:val="18"/>
                    </w:rPr>
                  </w:pPr>
                  <w:r w:rsidRPr="003B0F44">
                    <w:rPr>
                      <w:rFonts w:asciiTheme="majorHAnsi" w:hAnsiTheme="majorHAnsi"/>
                      <w:sz w:val="18"/>
                      <w:szCs w:val="18"/>
                    </w:rPr>
                    <w:t xml:space="preserve">Smartphone= $450 (based on iPhone5- </w:t>
                  </w:r>
                  <w:r>
                    <w:rPr>
                      <w:rFonts w:asciiTheme="majorHAnsi" w:hAnsiTheme="majorHAnsi"/>
                      <w:sz w:val="18"/>
                      <w:szCs w:val="18"/>
                    </w:rPr>
                    <w:t xml:space="preserve">replaced every </w:t>
                  </w:r>
                  <w:r w:rsidRPr="003B0F44">
                    <w:rPr>
                      <w:rFonts w:asciiTheme="majorHAnsi" w:hAnsiTheme="majorHAnsi"/>
                      <w:sz w:val="18"/>
                      <w:szCs w:val="18"/>
                    </w:rPr>
                    <w:t>2 year</w:t>
                  </w:r>
                  <w:r>
                    <w:rPr>
                      <w:rFonts w:asciiTheme="majorHAnsi" w:hAnsiTheme="majorHAnsi"/>
                      <w:sz w:val="18"/>
                      <w:szCs w:val="18"/>
                    </w:rPr>
                    <w:t>s</w:t>
                  </w:r>
                  <w:r w:rsidRPr="003B0F44">
                    <w:rPr>
                      <w:rFonts w:asciiTheme="majorHAnsi" w:hAnsiTheme="majorHAnsi"/>
                      <w:sz w:val="18"/>
                      <w:szCs w:val="18"/>
                    </w:rPr>
                    <w:t>)</w:t>
                  </w:r>
                </w:p>
                <w:p w:rsidR="00AA75D5" w:rsidRPr="003B0F44" w:rsidRDefault="00AA75D5" w:rsidP="00D605BC">
                  <w:pPr>
                    <w:pStyle w:val="ListParagraph"/>
                    <w:numPr>
                      <w:ilvl w:val="0"/>
                      <w:numId w:val="6"/>
                    </w:numPr>
                    <w:spacing w:before="0" w:after="0"/>
                    <w:contextualSpacing w:val="0"/>
                    <w:rPr>
                      <w:rFonts w:asciiTheme="majorHAnsi" w:hAnsiTheme="majorHAnsi"/>
                      <w:sz w:val="18"/>
                      <w:szCs w:val="18"/>
                    </w:rPr>
                  </w:pPr>
                  <w:r w:rsidRPr="003B0F44">
                    <w:rPr>
                      <w:rFonts w:asciiTheme="majorHAnsi" w:hAnsiTheme="majorHAnsi"/>
                      <w:sz w:val="18"/>
                      <w:szCs w:val="18"/>
                    </w:rPr>
                    <w:t>Data plan= $40 per month</w:t>
                  </w:r>
                </w:p>
                <w:p w:rsidR="00AA75D5" w:rsidRPr="003B0F44" w:rsidRDefault="00AA75D5" w:rsidP="00D605BC">
                  <w:pPr>
                    <w:pStyle w:val="ListParagraph"/>
                    <w:numPr>
                      <w:ilvl w:val="0"/>
                      <w:numId w:val="6"/>
                    </w:numPr>
                    <w:spacing w:before="0" w:after="0"/>
                    <w:contextualSpacing w:val="0"/>
                    <w:rPr>
                      <w:rFonts w:asciiTheme="majorHAnsi" w:hAnsiTheme="majorHAnsi"/>
                      <w:sz w:val="18"/>
                      <w:szCs w:val="18"/>
                    </w:rPr>
                  </w:pPr>
                  <w:r w:rsidRPr="003B0F44">
                    <w:rPr>
                      <w:rFonts w:asciiTheme="majorHAnsi" w:hAnsiTheme="majorHAnsi"/>
                      <w:sz w:val="18"/>
                      <w:szCs w:val="18"/>
                    </w:rPr>
                    <w:t>GPS= $0 (built-in functionality)</w:t>
                  </w:r>
                </w:p>
                <w:p w:rsidR="00AA75D5" w:rsidRPr="003B0F44" w:rsidRDefault="00AA75D5" w:rsidP="002A5CB4">
                  <w:pPr>
                    <w:spacing w:after="0"/>
                    <w:rPr>
                      <w:rFonts w:asciiTheme="majorHAnsi" w:hAnsiTheme="majorHAnsi"/>
                      <w:sz w:val="18"/>
                      <w:szCs w:val="18"/>
                    </w:rPr>
                  </w:pPr>
                  <w:r w:rsidRPr="003B0F44">
                    <w:rPr>
                      <w:rFonts w:asciiTheme="majorHAnsi" w:hAnsiTheme="majorHAnsi"/>
                      <w:sz w:val="18"/>
                      <w:szCs w:val="18"/>
                    </w:rPr>
                    <w:t>Participant outcomes:</w:t>
                  </w:r>
                </w:p>
                <w:p w:rsidR="00AA75D5" w:rsidRPr="003B0F44" w:rsidRDefault="00AA75D5" w:rsidP="00D605BC">
                  <w:pPr>
                    <w:pStyle w:val="ListParagraph"/>
                    <w:numPr>
                      <w:ilvl w:val="0"/>
                      <w:numId w:val="7"/>
                    </w:numPr>
                    <w:spacing w:before="0" w:after="0"/>
                    <w:contextualSpacing w:val="0"/>
                    <w:rPr>
                      <w:rFonts w:asciiTheme="majorHAnsi" w:hAnsiTheme="majorHAnsi"/>
                      <w:sz w:val="18"/>
                      <w:szCs w:val="18"/>
                    </w:rPr>
                  </w:pPr>
                  <w:r w:rsidRPr="003B0F44">
                    <w:rPr>
                      <w:rFonts w:asciiTheme="majorHAnsi" w:hAnsiTheme="majorHAnsi"/>
                      <w:sz w:val="18"/>
                      <w:szCs w:val="18"/>
                    </w:rPr>
                    <w:t>increased independence and confidence</w:t>
                  </w:r>
                </w:p>
                <w:p w:rsidR="00AA75D5" w:rsidRPr="003B0F44" w:rsidRDefault="00AA75D5" w:rsidP="00D605BC">
                  <w:pPr>
                    <w:pStyle w:val="ListParagraph"/>
                    <w:numPr>
                      <w:ilvl w:val="0"/>
                      <w:numId w:val="7"/>
                    </w:numPr>
                    <w:spacing w:before="0" w:after="0"/>
                    <w:contextualSpacing w:val="0"/>
                    <w:rPr>
                      <w:rFonts w:asciiTheme="majorHAnsi" w:hAnsiTheme="majorHAnsi"/>
                      <w:sz w:val="18"/>
                      <w:szCs w:val="18"/>
                    </w:rPr>
                  </w:pPr>
                  <w:r w:rsidRPr="003B0F44">
                    <w:rPr>
                      <w:rFonts w:asciiTheme="majorHAnsi" w:hAnsiTheme="majorHAnsi"/>
                      <w:sz w:val="18"/>
                      <w:szCs w:val="18"/>
                    </w:rPr>
                    <w:t xml:space="preserve">use of a mainstream device (not disability-specific or </w:t>
                  </w:r>
                  <w:r>
                    <w:rPr>
                      <w:rFonts w:asciiTheme="majorHAnsi" w:hAnsiTheme="majorHAnsi"/>
                      <w:sz w:val="18"/>
                      <w:szCs w:val="18"/>
                    </w:rPr>
                    <w:t>stigmatising)</w:t>
                  </w:r>
                </w:p>
                <w:p w:rsidR="00AA75D5" w:rsidRPr="003B0F44" w:rsidRDefault="00AA75D5" w:rsidP="00D605BC">
                  <w:pPr>
                    <w:pStyle w:val="ListParagraph"/>
                    <w:numPr>
                      <w:ilvl w:val="0"/>
                      <w:numId w:val="7"/>
                    </w:numPr>
                    <w:spacing w:before="0" w:after="0"/>
                    <w:contextualSpacing w:val="0"/>
                    <w:rPr>
                      <w:rFonts w:asciiTheme="majorHAnsi" w:hAnsiTheme="majorHAnsi"/>
                      <w:sz w:val="18"/>
                      <w:szCs w:val="18"/>
                    </w:rPr>
                  </w:pPr>
                  <w:r w:rsidRPr="003B0F44">
                    <w:rPr>
                      <w:rFonts w:asciiTheme="majorHAnsi" w:hAnsiTheme="majorHAnsi"/>
                      <w:sz w:val="18"/>
                      <w:szCs w:val="18"/>
                    </w:rPr>
                    <w:t>reduced need for family support</w:t>
                  </w:r>
                </w:p>
                <w:p w:rsidR="00AA75D5" w:rsidRPr="003B0F44" w:rsidRDefault="00AA75D5" w:rsidP="00D605BC">
                  <w:pPr>
                    <w:pStyle w:val="ListParagraph"/>
                    <w:numPr>
                      <w:ilvl w:val="0"/>
                      <w:numId w:val="7"/>
                    </w:numPr>
                    <w:spacing w:before="0" w:after="0"/>
                    <w:contextualSpacing w:val="0"/>
                    <w:rPr>
                      <w:rFonts w:asciiTheme="majorHAnsi" w:hAnsiTheme="majorHAnsi"/>
                      <w:sz w:val="18"/>
                      <w:szCs w:val="18"/>
                    </w:rPr>
                  </w:pPr>
                  <w:r w:rsidRPr="003B0F44">
                    <w:rPr>
                      <w:rFonts w:asciiTheme="majorHAnsi" w:hAnsiTheme="majorHAnsi"/>
                      <w:sz w:val="18"/>
                      <w:szCs w:val="18"/>
                    </w:rPr>
                    <w:t>inclusion and integration opportunity into mainstream community</w:t>
                  </w:r>
                </w:p>
                <w:p w:rsidR="00AA75D5" w:rsidRPr="003B0F44" w:rsidRDefault="00AA75D5" w:rsidP="002A5CB4">
                  <w:pPr>
                    <w:spacing w:after="0"/>
                    <w:rPr>
                      <w:rFonts w:asciiTheme="majorHAnsi" w:hAnsiTheme="majorHAnsi"/>
                      <w:sz w:val="18"/>
                      <w:szCs w:val="18"/>
                    </w:rPr>
                  </w:pPr>
                  <w:r w:rsidRPr="003B0F44">
                    <w:rPr>
                      <w:rFonts w:asciiTheme="majorHAnsi" w:hAnsiTheme="majorHAnsi"/>
                      <w:sz w:val="18"/>
                      <w:szCs w:val="18"/>
                    </w:rPr>
                    <w:t xml:space="preserve">Scheme outcomes: </w:t>
                  </w:r>
                </w:p>
                <w:p w:rsidR="00AA75D5" w:rsidRPr="00AD7F92" w:rsidRDefault="00B62D0B" w:rsidP="00B62D0B">
                  <w:pPr>
                    <w:pStyle w:val="ListParagraph"/>
                    <w:numPr>
                      <w:ilvl w:val="0"/>
                      <w:numId w:val="8"/>
                    </w:numPr>
                    <w:spacing w:before="0" w:after="0"/>
                    <w:contextualSpacing w:val="0"/>
                    <w:rPr>
                      <w:rFonts w:asciiTheme="majorHAnsi" w:hAnsiTheme="majorHAnsi"/>
                      <w:sz w:val="18"/>
                      <w:szCs w:val="18"/>
                    </w:rPr>
                  </w:pPr>
                  <w:r w:rsidRPr="00B62D0B">
                    <w:rPr>
                      <w:rFonts w:asciiTheme="majorHAnsi" w:hAnsiTheme="majorHAnsi"/>
                      <w:sz w:val="18"/>
                      <w:szCs w:val="18"/>
                    </w:rPr>
                    <w:t>Net cumulative savings for the Sc</w:t>
                  </w:r>
                  <w:r>
                    <w:rPr>
                      <w:rFonts w:asciiTheme="majorHAnsi" w:hAnsiTheme="majorHAnsi"/>
                      <w:sz w:val="18"/>
                      <w:szCs w:val="18"/>
                    </w:rPr>
                    <w:t>heme of $44,580 by age 25 years</w:t>
                  </w:r>
                  <w:r w:rsidR="00AA75D5">
                    <w:rPr>
                      <w:rFonts w:asciiTheme="majorHAnsi" w:hAnsiTheme="majorHAnsi"/>
                      <w:sz w:val="18"/>
                      <w:szCs w:val="18"/>
                    </w:rPr>
                    <w:t xml:space="preserve"> </w:t>
                  </w:r>
                </w:p>
              </w:txbxContent>
            </v:textbox>
            <w10:wrap type="square"/>
          </v:shape>
        </w:pict>
      </w:r>
      <w:r w:rsidR="00224C2E" w:rsidRPr="00633370">
        <w:t xml:space="preserve">Technology solutions </w:t>
      </w:r>
      <w:r w:rsidR="001D1AE7">
        <w:t xml:space="preserve">will </w:t>
      </w:r>
      <w:r w:rsidR="00224C2E" w:rsidRPr="00633370">
        <w:t xml:space="preserve">be valuable in addressing some market supply gaps, particularly in rural and remote areas.  For example, </w:t>
      </w:r>
      <w:proofErr w:type="spellStart"/>
      <w:r w:rsidR="00224C2E" w:rsidRPr="00633370">
        <w:t>telehealth</w:t>
      </w:r>
      <w:proofErr w:type="spellEnd"/>
      <w:r w:rsidR="00224C2E" w:rsidRPr="00633370">
        <w:t xml:space="preserve"> functionality could be used to supply some services and supports from allied health professionals.  Such functionality will never fully replace the personal delivery of </w:t>
      </w:r>
      <w:r w:rsidR="00F46BCA" w:rsidRPr="00633370">
        <w:t xml:space="preserve">these kinds of </w:t>
      </w:r>
      <w:r w:rsidR="00224C2E" w:rsidRPr="00633370">
        <w:t>services</w:t>
      </w:r>
      <w:r w:rsidR="00901F35" w:rsidRPr="00633370">
        <w:t xml:space="preserve"> and supports</w:t>
      </w:r>
      <w:r w:rsidR="008E0EBF" w:rsidRPr="00633370">
        <w:t>,</w:t>
      </w:r>
      <w:r w:rsidR="00901F35" w:rsidRPr="00633370">
        <w:t xml:space="preserve"> but could be used in a complementary way to increase access frequency for participants in rural and remote settings</w:t>
      </w:r>
      <w:r w:rsidR="00AC4405">
        <w:t>,</w:t>
      </w:r>
      <w:r w:rsidR="000A5EDA" w:rsidRPr="00633370">
        <w:t xml:space="preserve"> while supporting scheme sustainability. </w:t>
      </w:r>
    </w:p>
    <w:p w:rsidR="002A5CB4" w:rsidRPr="00633370" w:rsidRDefault="002A5CB4" w:rsidP="00577787"/>
    <w:p w:rsidR="000F5694" w:rsidRPr="00633370" w:rsidRDefault="00AA1BD4" w:rsidP="001D1AE7">
      <w:pPr>
        <w:pStyle w:val="ListParagraph"/>
        <w:ind w:left="1440"/>
      </w:pPr>
      <w:r w:rsidRPr="00633370">
        <w:br w:type="page"/>
      </w:r>
    </w:p>
    <w:p w:rsidR="00EB0E2C" w:rsidRPr="00633370" w:rsidRDefault="00EB0E2C" w:rsidP="003E37D1">
      <w:pPr>
        <w:pStyle w:val="Heading1"/>
      </w:pPr>
      <w:bookmarkStart w:id="16" w:name="_Toc432683878"/>
      <w:r w:rsidRPr="00633370">
        <w:lastRenderedPageBreak/>
        <w:t xml:space="preserve">AT </w:t>
      </w:r>
      <w:r w:rsidR="00577787" w:rsidRPr="00633370">
        <w:t>s</w:t>
      </w:r>
      <w:r w:rsidRPr="00633370">
        <w:t>trategy</w:t>
      </w:r>
      <w:bookmarkEnd w:id="16"/>
      <w:r w:rsidRPr="00633370">
        <w:t xml:space="preserve"> </w:t>
      </w:r>
    </w:p>
    <w:p w:rsidR="00844187" w:rsidRDefault="00F072CE" w:rsidP="003C40E5">
      <w:pPr>
        <w:rPr>
          <w:bCs/>
          <w:i/>
          <w:iCs/>
        </w:rPr>
      </w:pPr>
      <w:r w:rsidRPr="00633370">
        <w:t xml:space="preserve">The overarching vision for the AT strategy is </w:t>
      </w:r>
      <w:r w:rsidRPr="00633370">
        <w:rPr>
          <w:bCs/>
          <w:i/>
          <w:iCs/>
        </w:rPr>
        <w:t>to build an empowering, sustainable and consistent approach to ensuring NDIS participants have choice in</w:t>
      </w:r>
      <w:r w:rsidR="00AC4405">
        <w:rPr>
          <w:bCs/>
          <w:i/>
          <w:iCs/>
        </w:rPr>
        <w:t>,</w:t>
      </w:r>
      <w:r w:rsidRPr="00633370">
        <w:rPr>
          <w:bCs/>
          <w:i/>
          <w:iCs/>
        </w:rPr>
        <w:t xml:space="preserve"> and access to</w:t>
      </w:r>
      <w:r w:rsidR="00AC4405">
        <w:rPr>
          <w:bCs/>
          <w:i/>
          <w:iCs/>
        </w:rPr>
        <w:t>,</w:t>
      </w:r>
      <w:r w:rsidRPr="00633370">
        <w:rPr>
          <w:bCs/>
          <w:i/>
          <w:iCs/>
        </w:rPr>
        <w:t xml:space="preserve"> individualised assistive technology solutions that enable and enhance economic and community participation. </w:t>
      </w:r>
    </w:p>
    <w:p w:rsidR="00F072CE" w:rsidRPr="00633370" w:rsidRDefault="00F072CE" w:rsidP="003C40E5">
      <w:pPr>
        <w:rPr>
          <w:bCs/>
          <w:iCs/>
        </w:rPr>
      </w:pPr>
      <w:r w:rsidRPr="00633370">
        <w:rPr>
          <w:bCs/>
          <w:iCs/>
        </w:rPr>
        <w:t xml:space="preserve">The strategic priorities to support the </w:t>
      </w:r>
      <w:r w:rsidR="00334037" w:rsidRPr="00633370">
        <w:rPr>
          <w:bCs/>
          <w:iCs/>
        </w:rPr>
        <w:t>vision</w:t>
      </w:r>
      <w:r w:rsidRPr="00633370">
        <w:rPr>
          <w:bCs/>
          <w:iCs/>
        </w:rPr>
        <w:t xml:space="preserve"> and the areas in which opportunities and initiatives have been identified are:</w:t>
      </w:r>
    </w:p>
    <w:p w:rsidR="006F4F77" w:rsidRDefault="006F4F77" w:rsidP="000E6BAB">
      <w:pPr>
        <w:pStyle w:val="ListBullet"/>
        <w:numPr>
          <w:ilvl w:val="0"/>
          <w:numId w:val="56"/>
        </w:numPr>
      </w:pPr>
      <w:r>
        <w:t>To support and stimulate a vibrant, innovative supply-side market;</w:t>
      </w:r>
    </w:p>
    <w:p w:rsidR="006F4F77" w:rsidRDefault="006F4F77" w:rsidP="000E6BAB">
      <w:pPr>
        <w:pStyle w:val="ListBullet"/>
        <w:numPr>
          <w:ilvl w:val="0"/>
          <w:numId w:val="56"/>
        </w:numPr>
      </w:pPr>
      <w:r>
        <w:t>To support and stimulate informed, active, participant-led demand; and</w:t>
      </w:r>
    </w:p>
    <w:p w:rsidR="00F072CE" w:rsidRPr="00633370" w:rsidRDefault="006F4F77" w:rsidP="000E6BAB">
      <w:pPr>
        <w:pStyle w:val="ListBullet"/>
        <w:numPr>
          <w:ilvl w:val="0"/>
          <w:numId w:val="56"/>
        </w:numPr>
      </w:pPr>
      <w:r>
        <w:t>To deliver a financially robust, sustainable scheme that generates economic and social value.</w:t>
      </w:r>
    </w:p>
    <w:p w:rsidR="00C855F5" w:rsidRPr="00633370" w:rsidRDefault="000D6477" w:rsidP="003C40E5">
      <w:r>
        <w:t>Work is underway on the first two</w:t>
      </w:r>
      <w:r w:rsidRPr="00633370">
        <w:t xml:space="preserve"> priorities to </w:t>
      </w:r>
      <w:r w:rsidR="00332D54">
        <w:t>scope initiatives and</w:t>
      </w:r>
      <w:r w:rsidRPr="00633370">
        <w:t xml:space="preserve"> put detailed implementation plans in place.</w:t>
      </w:r>
      <w:r>
        <w:t xml:space="preserve"> The</w:t>
      </w:r>
      <w:r w:rsidR="008E0EBF" w:rsidRPr="00633370">
        <w:t xml:space="preserve"> </w:t>
      </w:r>
      <w:r w:rsidR="00C855F5" w:rsidRPr="00633370">
        <w:t xml:space="preserve">work on </w:t>
      </w:r>
      <w:r w:rsidR="00687C26">
        <w:t xml:space="preserve">the third strategic priority – </w:t>
      </w:r>
      <w:r w:rsidR="00C855F5" w:rsidRPr="00633370">
        <w:t>scheme</w:t>
      </w:r>
      <w:r w:rsidR="00687C26">
        <w:t xml:space="preserve"> </w:t>
      </w:r>
      <w:r w:rsidR="00C855F5" w:rsidRPr="00633370">
        <w:t>sustainability and value delivery</w:t>
      </w:r>
      <w:r w:rsidR="00687C26">
        <w:t xml:space="preserve"> – </w:t>
      </w:r>
      <w:r w:rsidR="00C855F5" w:rsidRPr="00633370">
        <w:t>is</w:t>
      </w:r>
      <w:r w:rsidR="00687C26">
        <w:t xml:space="preserve"> </w:t>
      </w:r>
      <w:r w:rsidR="00C855F5" w:rsidRPr="00633370">
        <w:t xml:space="preserve">most advanced, with sourcing initiatives </w:t>
      </w:r>
      <w:proofErr w:type="spellStart"/>
      <w:r w:rsidR="00C855F5" w:rsidRPr="00633370">
        <w:t>costed</w:t>
      </w:r>
      <w:proofErr w:type="spellEnd"/>
      <w:r w:rsidR="00C855F5" w:rsidRPr="00633370">
        <w:t xml:space="preserve"> and ready to </w:t>
      </w:r>
      <w:r w:rsidR="005D18C0">
        <w:t xml:space="preserve">begin implementation </w:t>
      </w:r>
      <w:r w:rsidR="006F4F77">
        <w:t xml:space="preserve">in </w:t>
      </w:r>
      <w:r w:rsidR="005D18C0">
        <w:t>2015-16</w:t>
      </w:r>
      <w:r>
        <w:t xml:space="preserve">. </w:t>
      </w:r>
    </w:p>
    <w:p w:rsidR="00F072CE" w:rsidRDefault="00F072CE" w:rsidP="003C40E5">
      <w:r w:rsidRPr="00256236">
        <w:t>Figure</w:t>
      </w:r>
      <w:r w:rsidR="00605C7A" w:rsidRPr="00256236">
        <w:t xml:space="preserve"> 2</w:t>
      </w:r>
      <w:r w:rsidR="00DD7073" w:rsidRPr="00256236">
        <w:t xml:space="preserve"> </w:t>
      </w:r>
      <w:r w:rsidR="00C855F5" w:rsidRPr="00256236">
        <w:t xml:space="preserve">shows the overall strategic framework, the individual elements of which are </w:t>
      </w:r>
      <w:r w:rsidRPr="00256236">
        <w:t>described in detail in the following sections.</w:t>
      </w:r>
      <w:r w:rsidR="000A5EDA" w:rsidRPr="00633370">
        <w:t xml:space="preserve"> </w:t>
      </w:r>
    </w:p>
    <w:p w:rsidR="00256236" w:rsidRDefault="00256236" w:rsidP="003C40E5"/>
    <w:p w:rsidR="00256236" w:rsidRDefault="00256236" w:rsidP="003C40E5">
      <w:r>
        <w:rPr>
          <w:noProof/>
          <w:lang w:val="en-AU" w:eastAsia="en-AU"/>
        </w:rPr>
        <w:drawing>
          <wp:inline distT="0" distB="0" distL="0" distR="0" wp14:anchorId="2BA58253" wp14:editId="07856B45">
            <wp:extent cx="5791200" cy="268271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5550" cy="2689367"/>
                    </a:xfrm>
                    <a:prstGeom prst="rect">
                      <a:avLst/>
                    </a:prstGeom>
                    <a:noFill/>
                  </pic:spPr>
                </pic:pic>
              </a:graphicData>
            </a:graphic>
          </wp:inline>
        </w:drawing>
      </w:r>
    </w:p>
    <w:p w:rsidR="00256236" w:rsidRPr="00F13632" w:rsidRDefault="00256236" w:rsidP="003C40E5">
      <w:pPr>
        <w:rPr>
          <w:i/>
        </w:rPr>
      </w:pPr>
    </w:p>
    <w:p w:rsidR="00F072CE" w:rsidRPr="00194E14" w:rsidRDefault="00033BE9">
      <w:pPr>
        <w:pStyle w:val="Caption"/>
        <w:jc w:val="center"/>
      </w:pPr>
      <w:r>
        <w:t xml:space="preserve">Figure </w:t>
      </w:r>
      <w:r w:rsidR="00D77382">
        <w:fldChar w:fldCharType="begin"/>
      </w:r>
      <w:r>
        <w:instrText xml:space="preserve"> SEQ Figure \* ARABIC </w:instrText>
      </w:r>
      <w:r w:rsidR="00D77382">
        <w:fldChar w:fldCharType="separate"/>
      </w:r>
      <w:r w:rsidR="007717DF">
        <w:rPr>
          <w:noProof/>
        </w:rPr>
        <w:t>2</w:t>
      </w:r>
      <w:r w:rsidR="00D77382">
        <w:fldChar w:fldCharType="end"/>
      </w:r>
      <w:r>
        <w:t xml:space="preserve">: </w:t>
      </w:r>
      <w:r w:rsidR="00F67743" w:rsidRPr="00D851DF">
        <w:t>AT s</w:t>
      </w:r>
      <w:r w:rsidR="00F072CE" w:rsidRPr="004E254D">
        <w:t>trateg</w:t>
      </w:r>
      <w:r w:rsidR="00F67743" w:rsidRPr="000D0B36">
        <w:t>y</w:t>
      </w:r>
      <w:r w:rsidR="00F072CE" w:rsidRPr="00194E14">
        <w:t xml:space="preserve"> framework</w:t>
      </w:r>
    </w:p>
    <w:p w:rsidR="000D6477" w:rsidRPr="00354C18" w:rsidRDefault="000D6477" w:rsidP="00354C18">
      <w:pPr>
        <w:rPr>
          <w:rStyle w:val="Strong"/>
          <w:sz w:val="22"/>
          <w:szCs w:val="22"/>
        </w:rPr>
      </w:pPr>
      <w:bookmarkStart w:id="17" w:name="_Toc432680991"/>
      <w:r w:rsidRPr="00354C18">
        <w:rPr>
          <w:rStyle w:val="Strong"/>
          <w:sz w:val="22"/>
          <w:szCs w:val="22"/>
        </w:rPr>
        <w:t xml:space="preserve">The principles of the </w:t>
      </w:r>
      <w:r w:rsidR="00844187" w:rsidRPr="00354C18">
        <w:rPr>
          <w:rStyle w:val="Strong"/>
          <w:sz w:val="22"/>
          <w:szCs w:val="22"/>
        </w:rPr>
        <w:t xml:space="preserve">strategic </w:t>
      </w:r>
      <w:r w:rsidRPr="00354C18">
        <w:rPr>
          <w:rStyle w:val="Strong"/>
          <w:sz w:val="22"/>
          <w:szCs w:val="22"/>
        </w:rPr>
        <w:t>framework</w:t>
      </w:r>
      <w:bookmarkEnd w:id="17"/>
    </w:p>
    <w:p w:rsidR="003C40E5" w:rsidRPr="00633370" w:rsidRDefault="00761C1B" w:rsidP="003C40E5">
      <w:r w:rsidRPr="00131F0A">
        <w:t>T</w:t>
      </w:r>
      <w:r w:rsidR="00577787" w:rsidRPr="00131F0A">
        <w:t>he following principles</w:t>
      </w:r>
      <w:r w:rsidRPr="00633370">
        <w:t xml:space="preserve"> </w:t>
      </w:r>
      <w:r w:rsidR="00F072CE" w:rsidRPr="00633370">
        <w:t xml:space="preserve">apply </w:t>
      </w:r>
      <w:r w:rsidR="00C855F5" w:rsidRPr="00633370">
        <w:t>to</w:t>
      </w:r>
      <w:r w:rsidR="00F072CE" w:rsidRPr="00633370">
        <w:t xml:space="preserve"> all components of the framework</w:t>
      </w:r>
      <w:r w:rsidR="00577787" w:rsidRPr="00633370">
        <w:t>:</w:t>
      </w:r>
    </w:p>
    <w:p w:rsidR="003C40E5" w:rsidRPr="00633370" w:rsidRDefault="003C40E5" w:rsidP="000E6BAB">
      <w:pPr>
        <w:pStyle w:val="ListBullet"/>
        <w:numPr>
          <w:ilvl w:val="0"/>
          <w:numId w:val="4"/>
        </w:numPr>
      </w:pPr>
      <w:r w:rsidRPr="00633370">
        <w:t>Participants can</w:t>
      </w:r>
      <w:r w:rsidR="00577787" w:rsidRPr="00633370">
        <w:t xml:space="preserve"> be empowered </w:t>
      </w:r>
      <w:r w:rsidRPr="00633370">
        <w:t>by building their capacity to make</w:t>
      </w:r>
      <w:r w:rsidR="00577787" w:rsidRPr="00633370">
        <w:t xml:space="preserve"> decisions about their AT needs;</w:t>
      </w:r>
      <w:r w:rsidRPr="00633370">
        <w:t xml:space="preserve"> </w:t>
      </w:r>
    </w:p>
    <w:p w:rsidR="003C40E5" w:rsidRPr="00633370" w:rsidRDefault="003C40E5" w:rsidP="000E6BAB">
      <w:pPr>
        <w:pStyle w:val="ListBullet"/>
        <w:numPr>
          <w:ilvl w:val="0"/>
          <w:numId w:val="4"/>
        </w:numPr>
      </w:pPr>
      <w:r w:rsidRPr="00633370">
        <w:t xml:space="preserve">Participants have access to all the information they require to identify AT options and explore the ‘fit-for-purpose’, relevance and utility of potential </w:t>
      </w:r>
      <w:r w:rsidR="00761C1B" w:rsidRPr="00633370">
        <w:t xml:space="preserve">technology </w:t>
      </w:r>
      <w:r w:rsidRPr="00633370">
        <w:t>solutions</w:t>
      </w:r>
      <w:r w:rsidR="00761C1B" w:rsidRPr="00633370">
        <w:t>;</w:t>
      </w:r>
      <w:r w:rsidRPr="00633370">
        <w:t xml:space="preserve"> </w:t>
      </w:r>
    </w:p>
    <w:p w:rsidR="003C40E5" w:rsidRPr="00633370" w:rsidRDefault="003C40E5" w:rsidP="000E6BAB">
      <w:pPr>
        <w:pStyle w:val="ListBullet"/>
        <w:numPr>
          <w:ilvl w:val="0"/>
          <w:numId w:val="4"/>
        </w:numPr>
      </w:pPr>
      <w:r w:rsidRPr="00633370">
        <w:t>The range of A</w:t>
      </w:r>
      <w:r w:rsidR="00761C1B" w:rsidRPr="00633370">
        <w:t>T</w:t>
      </w:r>
      <w:r w:rsidRPr="00633370">
        <w:t xml:space="preserve"> options to explore and choose from is broad enough to offer real choice and ensure quality</w:t>
      </w:r>
      <w:r w:rsidR="00761C1B" w:rsidRPr="00633370">
        <w:t>,</w:t>
      </w:r>
      <w:r w:rsidRPr="00633370">
        <w:t xml:space="preserve"> </w:t>
      </w:r>
      <w:r w:rsidR="00761C1B" w:rsidRPr="00633370">
        <w:t>informed by</w:t>
      </w:r>
      <w:r w:rsidRPr="00633370">
        <w:t xml:space="preserve"> direct engagement </w:t>
      </w:r>
      <w:r w:rsidR="00761C1B" w:rsidRPr="00633370">
        <w:t>with</w:t>
      </w:r>
      <w:r w:rsidR="00844187">
        <w:t>,</w:t>
      </w:r>
      <w:r w:rsidR="00761C1B" w:rsidRPr="00633370">
        <w:t xml:space="preserve"> </w:t>
      </w:r>
      <w:r w:rsidRPr="00633370">
        <w:t>and input from</w:t>
      </w:r>
      <w:r w:rsidR="00844187">
        <w:t>,</w:t>
      </w:r>
      <w:r w:rsidRPr="00633370">
        <w:t xml:space="preserve"> </w:t>
      </w:r>
      <w:r w:rsidR="00EE4C82" w:rsidRPr="00633370">
        <w:t>people with disability</w:t>
      </w:r>
      <w:r w:rsidR="00761C1B" w:rsidRPr="00633370">
        <w:t>;</w:t>
      </w:r>
      <w:r w:rsidRPr="00633370">
        <w:t xml:space="preserve"> </w:t>
      </w:r>
    </w:p>
    <w:p w:rsidR="003C40E5" w:rsidRPr="00633370" w:rsidRDefault="003C40E5" w:rsidP="000E6BAB">
      <w:pPr>
        <w:pStyle w:val="ListBullet"/>
        <w:numPr>
          <w:ilvl w:val="0"/>
          <w:numId w:val="4"/>
        </w:numPr>
      </w:pPr>
      <w:r w:rsidRPr="00633370">
        <w:t xml:space="preserve">AT solutions are affordable for participants and provide </w:t>
      </w:r>
      <w:r w:rsidR="00761C1B" w:rsidRPr="00633370">
        <w:t xml:space="preserve">both </w:t>
      </w:r>
      <w:r w:rsidRPr="00633370">
        <w:t xml:space="preserve">financial and </w:t>
      </w:r>
      <w:r w:rsidR="00761C1B" w:rsidRPr="00633370">
        <w:t>participant ou</w:t>
      </w:r>
      <w:r w:rsidR="008E0EBF" w:rsidRPr="00633370">
        <w:t>t</w:t>
      </w:r>
      <w:r w:rsidR="00761C1B" w:rsidRPr="00633370">
        <w:t xml:space="preserve">comes </w:t>
      </w:r>
      <w:r w:rsidR="00844187">
        <w:t xml:space="preserve">and </w:t>
      </w:r>
      <w:r w:rsidR="00761C1B" w:rsidRPr="00633370">
        <w:t xml:space="preserve">returns to </w:t>
      </w:r>
      <w:r w:rsidRPr="00633370">
        <w:t xml:space="preserve">NDIA, and all costs associated with </w:t>
      </w:r>
      <w:r w:rsidR="00761C1B" w:rsidRPr="00633370">
        <w:t>AT</w:t>
      </w:r>
      <w:r w:rsidRPr="00633370">
        <w:t xml:space="preserve"> assessment, trial, delivery, set-up, fitting, impl</w:t>
      </w:r>
      <w:r w:rsidR="00761C1B" w:rsidRPr="00633370">
        <w:t>ementation and on-going support</w:t>
      </w:r>
      <w:r w:rsidRPr="00633370">
        <w:t xml:space="preserve"> can be ide</w:t>
      </w:r>
      <w:r w:rsidR="002D5765">
        <w:t>ntified and effectively managed; and</w:t>
      </w:r>
      <w:r w:rsidRPr="00633370">
        <w:t xml:space="preserve"> </w:t>
      </w:r>
    </w:p>
    <w:p w:rsidR="003C40E5" w:rsidRDefault="003C40E5" w:rsidP="000E6BAB">
      <w:pPr>
        <w:pStyle w:val="ListBullet"/>
        <w:numPr>
          <w:ilvl w:val="0"/>
          <w:numId w:val="4"/>
        </w:numPr>
      </w:pPr>
      <w:r w:rsidRPr="00633370">
        <w:t xml:space="preserve">Innovation in product design </w:t>
      </w:r>
      <w:r w:rsidR="00F072CE" w:rsidRPr="00633370">
        <w:t>is market-driven</w:t>
      </w:r>
      <w:r w:rsidRPr="00633370">
        <w:t xml:space="preserve"> and harnessed to optim</w:t>
      </w:r>
      <w:r w:rsidR="00CE2C9A" w:rsidRPr="00633370">
        <w:t>is</w:t>
      </w:r>
      <w:r w:rsidRPr="00633370">
        <w:t xml:space="preserve">e AT products </w:t>
      </w:r>
      <w:r w:rsidR="00F072CE" w:rsidRPr="00633370">
        <w:t xml:space="preserve">and their value to participants </w:t>
      </w:r>
      <w:r w:rsidRPr="00633370">
        <w:t xml:space="preserve">wherever possible. </w:t>
      </w:r>
    </w:p>
    <w:p w:rsidR="000D6477" w:rsidRPr="00354C18" w:rsidRDefault="000D6477" w:rsidP="00354C18">
      <w:pPr>
        <w:rPr>
          <w:rStyle w:val="Strong"/>
          <w:sz w:val="22"/>
          <w:szCs w:val="22"/>
        </w:rPr>
      </w:pPr>
      <w:bookmarkStart w:id="18" w:name="_Toc432680992"/>
      <w:r w:rsidRPr="00354C18">
        <w:rPr>
          <w:rStyle w:val="Strong"/>
          <w:sz w:val="22"/>
          <w:szCs w:val="22"/>
        </w:rPr>
        <w:lastRenderedPageBreak/>
        <w:t>Stakeholder engagement</w:t>
      </w:r>
      <w:bookmarkEnd w:id="18"/>
    </w:p>
    <w:p w:rsidR="001831EE" w:rsidRPr="00633370" w:rsidRDefault="001831EE" w:rsidP="001831EE">
      <w:pPr>
        <w:rPr>
          <w:rFonts w:cs="Calibri"/>
        </w:rPr>
      </w:pPr>
      <w:r w:rsidRPr="00633370">
        <w:t xml:space="preserve">The </w:t>
      </w:r>
      <w:r>
        <w:t>strategy development</w:t>
      </w:r>
      <w:r w:rsidRPr="00633370">
        <w:t xml:space="preserve"> was informed by consultation with</w:t>
      </w:r>
      <w:r w:rsidR="00F90857">
        <w:t>,</w:t>
      </w:r>
      <w:r w:rsidRPr="00633370">
        <w:t xml:space="preserve"> and contributions from</w:t>
      </w:r>
      <w:r w:rsidR="00F90857">
        <w:t>,</w:t>
      </w:r>
      <w:r w:rsidRPr="00633370">
        <w:t xml:space="preserve"> stakeholders, including the AT Sector Reference Group and the Aids and Equipment </w:t>
      </w:r>
      <w:r>
        <w:t xml:space="preserve">Services </w:t>
      </w:r>
      <w:r w:rsidRPr="00633370">
        <w:t xml:space="preserve">Working Group (State Managers of Equipment Schemes). </w:t>
      </w:r>
      <w:r>
        <w:rPr>
          <w:rFonts w:cs="Calibri"/>
        </w:rPr>
        <w:t>Appendix 2</w:t>
      </w:r>
      <w:r w:rsidRPr="00DA7ED3">
        <w:rPr>
          <w:rFonts w:cs="Calibri"/>
        </w:rPr>
        <w:t xml:space="preserve"> </w:t>
      </w:r>
      <w:r>
        <w:rPr>
          <w:rFonts w:cs="Calibri"/>
        </w:rPr>
        <w:t>lists the membership of each group.</w:t>
      </w:r>
      <w:r w:rsidRPr="00633370">
        <w:rPr>
          <w:rFonts w:cs="Calibri"/>
        </w:rPr>
        <w:t xml:space="preserve"> </w:t>
      </w:r>
      <w:r>
        <w:rPr>
          <w:rFonts w:cs="Calibri"/>
        </w:rPr>
        <w:t xml:space="preserve">Data to inform the strategy were also gathered from a number of like agencies in Australia (Department for Veteran’s Affairs and Victoria’s Transport Accident Commission), as well as overseas (Enable New Zealand). </w:t>
      </w:r>
    </w:p>
    <w:p w:rsidR="001831EE" w:rsidRDefault="001831EE" w:rsidP="001831EE">
      <w:r w:rsidRPr="00633370">
        <w:rPr>
          <w:rFonts w:cs="Calibri"/>
        </w:rPr>
        <w:t xml:space="preserve">The NDIA’s discussion paper </w:t>
      </w:r>
      <w:r w:rsidRPr="00633370">
        <w:t>‘Towards Solutions for Assistive Technology’</w:t>
      </w:r>
      <w:r w:rsidRPr="00633370">
        <w:rPr>
          <w:rFonts w:cs="Calibri"/>
        </w:rPr>
        <w:t>, attracted 70 submissions in response (</w:t>
      </w:r>
      <w:r w:rsidRPr="00633370">
        <w:t xml:space="preserve">35% from disability service providers </w:t>
      </w:r>
      <w:r>
        <w:t>[</w:t>
      </w:r>
      <w:r w:rsidRPr="00633370">
        <w:t>DSPs</w:t>
      </w:r>
      <w:r>
        <w:t>]</w:t>
      </w:r>
      <w:r w:rsidRPr="00633370">
        <w:t>, 25% from suppliers, 14% from allied health professionals and 8% from participants or family members).</w:t>
      </w:r>
      <w:r>
        <w:t xml:space="preserve"> </w:t>
      </w:r>
      <w:r w:rsidRPr="00633370">
        <w:t>This feedback</w:t>
      </w:r>
      <w:r>
        <w:t>, along with</w:t>
      </w:r>
      <w:r w:rsidRPr="00633370">
        <w:t xml:space="preserve"> follow-up stakeholder consultation, </w:t>
      </w:r>
      <w:r>
        <w:t xml:space="preserve">and </w:t>
      </w:r>
      <w:r w:rsidRPr="00633370">
        <w:t>engagement with the NDIA’s Independent Advisory Council, also informed strategy development.</w:t>
      </w:r>
    </w:p>
    <w:p w:rsidR="001831EE" w:rsidRDefault="001831EE" w:rsidP="001831EE">
      <w:r w:rsidRPr="00633370">
        <w:t xml:space="preserve">Co-design with people with a disability </w:t>
      </w:r>
      <w:r>
        <w:t xml:space="preserve">and other sector </w:t>
      </w:r>
      <w:r w:rsidRPr="00633370">
        <w:t xml:space="preserve">stakeholders, was and will continue to be a fundamental element of strategy development and implementation. The NDIA has developed an engagement program to be rolled out in coming months that will lock in consultation, collaboration and co-design with </w:t>
      </w:r>
      <w:r>
        <w:t xml:space="preserve">participant </w:t>
      </w:r>
      <w:r w:rsidRPr="00633370">
        <w:t xml:space="preserve">advisory groups, trial sites, peak bodies and others. In addition, if central sourcing is selected as the best solution for some types of AT, NDIA will include participants </w:t>
      </w:r>
      <w:r>
        <w:t xml:space="preserve">at each stage </w:t>
      </w:r>
      <w:r w:rsidRPr="00633370">
        <w:t>to inform the end-to-end procurement process.</w:t>
      </w:r>
    </w:p>
    <w:p w:rsidR="00F4428F" w:rsidRPr="00633370" w:rsidRDefault="00870089" w:rsidP="001831EE">
      <w:r w:rsidRPr="00633370">
        <w:t>The stakeholders engaged will include</w:t>
      </w:r>
      <w:r w:rsidR="00F46C64">
        <w:t>,</w:t>
      </w:r>
      <w:r w:rsidRPr="00633370">
        <w:t xml:space="preserve"> but not </w:t>
      </w:r>
      <w:r w:rsidR="009C668B">
        <w:t xml:space="preserve">be </w:t>
      </w:r>
      <w:r w:rsidRPr="00633370">
        <w:t>limited to:</w:t>
      </w:r>
    </w:p>
    <w:p w:rsidR="00870089" w:rsidRPr="00633370" w:rsidRDefault="00870089" w:rsidP="00385D1E">
      <w:pPr>
        <w:pStyle w:val="ListBullet"/>
        <w:numPr>
          <w:ilvl w:val="0"/>
          <w:numId w:val="60"/>
        </w:numPr>
      </w:pPr>
      <w:r w:rsidRPr="00633370">
        <w:t>Scheme participants, AT users and their peak bodies;</w:t>
      </w:r>
    </w:p>
    <w:p w:rsidR="00870089" w:rsidRPr="00633370" w:rsidRDefault="00870089" w:rsidP="00385D1E">
      <w:pPr>
        <w:pStyle w:val="ListBullet"/>
        <w:numPr>
          <w:ilvl w:val="0"/>
          <w:numId w:val="60"/>
        </w:numPr>
      </w:pPr>
      <w:r w:rsidRPr="00633370">
        <w:t>Practising and specialist clinicians and others using current AT systems, and their peak bodies;</w:t>
      </w:r>
    </w:p>
    <w:p w:rsidR="00870089" w:rsidRPr="00633370" w:rsidRDefault="00870089" w:rsidP="00385D1E">
      <w:pPr>
        <w:pStyle w:val="ListBullet"/>
        <w:numPr>
          <w:ilvl w:val="0"/>
          <w:numId w:val="60"/>
        </w:numPr>
      </w:pPr>
      <w:r w:rsidRPr="00633370">
        <w:t>The Aids and Equipment Services Working Group (current state and territory programs);</w:t>
      </w:r>
    </w:p>
    <w:p w:rsidR="00870089" w:rsidRPr="00633370" w:rsidRDefault="00870089" w:rsidP="00385D1E">
      <w:pPr>
        <w:pStyle w:val="ListBullet"/>
        <w:numPr>
          <w:ilvl w:val="0"/>
          <w:numId w:val="60"/>
        </w:numPr>
      </w:pPr>
      <w:r w:rsidRPr="00633370">
        <w:t>Representatives of adjacent sectors and programs (e.g. aged care, veterans’ affairs, similar insurance schemes)</w:t>
      </w:r>
      <w:r w:rsidR="002D5765">
        <w:t>;</w:t>
      </w:r>
    </w:p>
    <w:p w:rsidR="00870089" w:rsidRPr="00633370" w:rsidRDefault="00870089" w:rsidP="00385D1E">
      <w:pPr>
        <w:pStyle w:val="ListBullet"/>
        <w:numPr>
          <w:ilvl w:val="0"/>
          <w:numId w:val="60"/>
        </w:numPr>
      </w:pPr>
      <w:r w:rsidRPr="00633370">
        <w:t>R&amp;D partners (e.g. universities, private sector developers);</w:t>
      </w:r>
    </w:p>
    <w:p w:rsidR="00870089" w:rsidRPr="00633370" w:rsidRDefault="00870089" w:rsidP="00385D1E">
      <w:pPr>
        <w:pStyle w:val="ListBullet"/>
        <w:numPr>
          <w:ilvl w:val="0"/>
          <w:numId w:val="60"/>
        </w:numPr>
      </w:pPr>
      <w:r w:rsidRPr="00633370">
        <w:t xml:space="preserve">AT suppliers and their peak bodies; </w:t>
      </w:r>
    </w:p>
    <w:p w:rsidR="00772CFD" w:rsidRPr="00633370" w:rsidRDefault="00870089" w:rsidP="00385D1E">
      <w:pPr>
        <w:pStyle w:val="ListBullet"/>
        <w:numPr>
          <w:ilvl w:val="0"/>
          <w:numId w:val="60"/>
        </w:numPr>
      </w:pPr>
      <w:r w:rsidRPr="00633370">
        <w:t>NDIA management and staff</w:t>
      </w:r>
      <w:r w:rsidR="00772CFD" w:rsidRPr="00633370">
        <w:t>; and</w:t>
      </w:r>
    </w:p>
    <w:p w:rsidR="00870089" w:rsidRPr="00633370" w:rsidRDefault="00772CFD" w:rsidP="00385D1E">
      <w:pPr>
        <w:pStyle w:val="ListBullet"/>
        <w:numPr>
          <w:ilvl w:val="0"/>
          <w:numId w:val="60"/>
        </w:numPr>
      </w:pPr>
      <w:r w:rsidRPr="00633370">
        <w:t>The broader community</w:t>
      </w:r>
      <w:r w:rsidR="00870089" w:rsidRPr="00633370">
        <w:t>.</w:t>
      </w:r>
    </w:p>
    <w:p w:rsidR="000D6477" w:rsidRPr="00633370" w:rsidRDefault="00844187" w:rsidP="00BC53AE">
      <w:pPr>
        <w:rPr>
          <w:i/>
        </w:rPr>
      </w:pPr>
      <w:r>
        <w:t xml:space="preserve">The sections that follow </w:t>
      </w:r>
      <w:r w:rsidR="000D6477" w:rsidRPr="00385D1E">
        <w:t xml:space="preserve">describe the context for NDIA’s three strategic priorities in AT, the opportunities raised for the </w:t>
      </w:r>
      <w:r w:rsidR="00F90857">
        <w:t>Scheme</w:t>
      </w:r>
      <w:r w:rsidR="00F90857" w:rsidRPr="00385D1E">
        <w:t xml:space="preserve"> </w:t>
      </w:r>
      <w:r w:rsidR="000D6477" w:rsidRPr="00385D1E">
        <w:t>in that context, and the initiatives proposed to realise the opportunities.</w:t>
      </w:r>
    </w:p>
    <w:p w:rsidR="00844187" w:rsidRDefault="00844187">
      <w:pPr>
        <w:spacing w:before="0" w:after="0"/>
        <w:rPr>
          <w:rFonts w:ascii="Arial Bold" w:eastAsia="MS Gothic" w:hAnsi="Arial Bold" w:cs="Times New Roman"/>
          <w:b/>
          <w:bCs/>
          <w:color w:val="54A0CF"/>
          <w:sz w:val="24"/>
          <w:szCs w:val="24"/>
        </w:rPr>
      </w:pPr>
      <w:r>
        <w:br w:type="page"/>
      </w:r>
    </w:p>
    <w:p w:rsidR="00F336AA" w:rsidRPr="00BC3662" w:rsidRDefault="00095073" w:rsidP="000D6477">
      <w:pPr>
        <w:pStyle w:val="Heading2"/>
      </w:pPr>
      <w:bookmarkStart w:id="19" w:name="_Toc432683879"/>
      <w:r>
        <w:lastRenderedPageBreak/>
        <w:t>3</w:t>
      </w:r>
      <w:r w:rsidR="004558E1" w:rsidRPr="00F13632">
        <w:t xml:space="preserve">.1 </w:t>
      </w:r>
      <w:r w:rsidR="00EB0E2C" w:rsidRPr="00B00CEF">
        <w:t xml:space="preserve">Support and stimulate </w:t>
      </w:r>
      <w:r w:rsidR="00805810" w:rsidRPr="009D317C">
        <w:t>a vibrant, innovative supply-side market</w:t>
      </w:r>
      <w:bookmarkEnd w:id="19"/>
    </w:p>
    <w:p w:rsidR="00055FFE" w:rsidRPr="00E917B1" w:rsidRDefault="005517EB" w:rsidP="00E917B1">
      <w:pPr>
        <w:pStyle w:val="Heading3"/>
      </w:pPr>
      <w:bookmarkStart w:id="20" w:name="_Toc432683880"/>
      <w:r>
        <w:t>3.1.1</w:t>
      </w:r>
      <w:r w:rsidR="00055FFE" w:rsidRPr="00E917B1">
        <w:t xml:space="preserve"> Context</w:t>
      </w:r>
      <w:bookmarkEnd w:id="20"/>
    </w:p>
    <w:p w:rsidR="00C855F5" w:rsidRPr="000D0B36" w:rsidRDefault="00844187" w:rsidP="00C855F5">
      <w:r>
        <w:t>With $1bn per annum expected to be spent on AT from 2019-20, the</w:t>
      </w:r>
      <w:r w:rsidR="000A5EDA" w:rsidRPr="003C18F2">
        <w:t xml:space="preserve"> global AT sector </w:t>
      </w:r>
      <w:r w:rsidR="00080759">
        <w:t>is beginning to</w:t>
      </w:r>
      <w:r w:rsidR="00735903" w:rsidRPr="00735903">
        <w:t xml:space="preserve"> see </w:t>
      </w:r>
      <w:r w:rsidR="003E37D1" w:rsidRPr="00823315">
        <w:t>the Australian market as a potential</w:t>
      </w:r>
      <w:r>
        <w:t xml:space="preserve"> incubator for new technologies. This makes the Agency</w:t>
      </w:r>
      <w:r w:rsidR="003342C9" w:rsidRPr="009D317C">
        <w:t xml:space="preserve"> </w:t>
      </w:r>
      <w:r w:rsidR="00C855F5" w:rsidRPr="00BC3662">
        <w:t>uniquely positioned</w:t>
      </w:r>
      <w:r w:rsidR="003342C9" w:rsidRPr="00D851DF">
        <w:t xml:space="preserve"> to</w:t>
      </w:r>
      <w:r w:rsidR="003342C9" w:rsidRPr="004E254D">
        <w:t xml:space="preserve"> stimulate and support innovation in </w:t>
      </w:r>
      <w:r w:rsidR="00C855F5" w:rsidRPr="000D0B36">
        <w:t>AT services and product design</w:t>
      </w:r>
      <w:r>
        <w:t>. The Agency</w:t>
      </w:r>
      <w:r w:rsidR="002460FB">
        <w:t xml:space="preserve"> can stimulate investment and innovation in AT because:</w:t>
      </w:r>
    </w:p>
    <w:p w:rsidR="00C855F5" w:rsidRPr="00633370" w:rsidRDefault="002460FB" w:rsidP="00D605BC">
      <w:pPr>
        <w:pStyle w:val="ListParagraph"/>
        <w:numPr>
          <w:ilvl w:val="0"/>
          <w:numId w:val="5"/>
        </w:numPr>
      </w:pPr>
      <w:r>
        <w:t>It is</w:t>
      </w:r>
      <w:r w:rsidR="00D47558" w:rsidRPr="00194E14">
        <w:t xml:space="preserve"> a</w:t>
      </w:r>
      <w:r w:rsidR="00C855F5" w:rsidRPr="00131F0A">
        <w:t xml:space="preserve"> national </w:t>
      </w:r>
      <w:r>
        <w:t xml:space="preserve">body with </w:t>
      </w:r>
      <w:r w:rsidR="00801B63" w:rsidRPr="00633370">
        <w:t>significant</w:t>
      </w:r>
      <w:r w:rsidR="000A5EDA" w:rsidRPr="00633370">
        <w:t xml:space="preserve"> </w:t>
      </w:r>
      <w:r w:rsidR="00C855F5" w:rsidRPr="00633370">
        <w:t>market scale</w:t>
      </w:r>
      <w:r w:rsidR="00D47558" w:rsidRPr="00633370">
        <w:t>;</w:t>
      </w:r>
      <w:r w:rsidR="00C855F5" w:rsidRPr="00633370">
        <w:t xml:space="preserve"> </w:t>
      </w:r>
    </w:p>
    <w:p w:rsidR="00C855F5" w:rsidRPr="00633370" w:rsidRDefault="002460FB" w:rsidP="00D605BC">
      <w:pPr>
        <w:pStyle w:val="ListParagraph"/>
        <w:numPr>
          <w:ilvl w:val="0"/>
          <w:numId w:val="5"/>
        </w:numPr>
      </w:pPr>
      <w:r>
        <w:t>It has a large investment commitment to AT;</w:t>
      </w:r>
    </w:p>
    <w:p w:rsidR="00C855F5" w:rsidRPr="00633370" w:rsidRDefault="00D47558" w:rsidP="00D605BC">
      <w:pPr>
        <w:pStyle w:val="ListParagraph"/>
        <w:numPr>
          <w:ilvl w:val="0"/>
          <w:numId w:val="5"/>
        </w:numPr>
      </w:pPr>
      <w:r w:rsidRPr="00633370">
        <w:t>Its</w:t>
      </w:r>
      <w:r w:rsidR="00C855F5" w:rsidRPr="00633370">
        <w:t xml:space="preserve"> </w:t>
      </w:r>
      <w:r w:rsidRPr="00633370">
        <w:t>commitment to</w:t>
      </w:r>
      <w:r w:rsidR="00C855F5" w:rsidRPr="00633370">
        <w:t xml:space="preserve"> </w:t>
      </w:r>
      <w:r w:rsidRPr="00633370">
        <w:t>participant</w:t>
      </w:r>
      <w:r w:rsidR="00C855F5" w:rsidRPr="00633370">
        <w:t xml:space="preserve"> choice and control</w:t>
      </w:r>
      <w:r w:rsidRPr="00633370">
        <w:t xml:space="preserve"> and outcomes focus</w:t>
      </w:r>
      <w:r w:rsidR="00C855F5" w:rsidRPr="00633370">
        <w:t xml:space="preserve"> </w:t>
      </w:r>
      <w:r w:rsidRPr="00633370">
        <w:t>are creating new product/service opportunities;</w:t>
      </w:r>
      <w:r w:rsidR="00C855F5" w:rsidRPr="00633370">
        <w:t xml:space="preserve"> </w:t>
      </w:r>
    </w:p>
    <w:p w:rsidR="00C855F5" w:rsidRPr="00633370" w:rsidRDefault="00D47558" w:rsidP="00D605BC">
      <w:pPr>
        <w:pStyle w:val="ListParagraph"/>
        <w:numPr>
          <w:ilvl w:val="0"/>
          <w:numId w:val="5"/>
        </w:numPr>
      </w:pPr>
      <w:r w:rsidRPr="00633370">
        <w:t>It is committed to seeking technology solutions to ease pressure on the provision of</w:t>
      </w:r>
      <w:r w:rsidR="00C855F5" w:rsidRPr="00633370">
        <w:t xml:space="preserve"> physical supports</w:t>
      </w:r>
      <w:r w:rsidRPr="00633370">
        <w:t>;</w:t>
      </w:r>
      <w:r w:rsidR="00C855F5" w:rsidRPr="00633370">
        <w:t xml:space="preserve"> </w:t>
      </w:r>
      <w:r w:rsidR="002D5765">
        <w:t>and</w:t>
      </w:r>
      <w:r w:rsidR="00687C26">
        <w:t>,</w:t>
      </w:r>
    </w:p>
    <w:p w:rsidR="00C855F5" w:rsidRPr="00633370" w:rsidRDefault="00312F6B" w:rsidP="00D605BC">
      <w:pPr>
        <w:pStyle w:val="ListParagraph"/>
        <w:numPr>
          <w:ilvl w:val="0"/>
          <w:numId w:val="5"/>
        </w:numPr>
      </w:pPr>
      <w:r w:rsidRPr="00633370">
        <w:t>Scheme e</w:t>
      </w:r>
      <w:r w:rsidR="00D47558" w:rsidRPr="00633370">
        <w:t>stablishment has</w:t>
      </w:r>
      <w:r w:rsidR="00C855F5" w:rsidRPr="00633370">
        <w:t xml:space="preserve"> increased public awareness of </w:t>
      </w:r>
      <w:r w:rsidR="00D47558" w:rsidRPr="00633370">
        <w:t xml:space="preserve">and interest in </w:t>
      </w:r>
      <w:r w:rsidR="00C855F5" w:rsidRPr="00633370">
        <w:t xml:space="preserve">the </w:t>
      </w:r>
      <w:r w:rsidR="00D47558" w:rsidRPr="00633370">
        <w:t xml:space="preserve">disability </w:t>
      </w:r>
      <w:r w:rsidR="00C855F5" w:rsidRPr="00633370">
        <w:t>sector</w:t>
      </w:r>
      <w:r w:rsidR="00D47558" w:rsidRPr="00633370">
        <w:t>, leading to</w:t>
      </w:r>
      <w:r w:rsidR="00C855F5" w:rsidRPr="00633370">
        <w:t xml:space="preserve"> </w:t>
      </w:r>
      <w:r w:rsidR="00D47558" w:rsidRPr="00633370">
        <w:t>entrepreneurship and innovation in</w:t>
      </w:r>
      <w:r w:rsidR="00C855F5" w:rsidRPr="00633370">
        <w:t xml:space="preserve"> product development</w:t>
      </w:r>
      <w:r w:rsidR="00D47558" w:rsidRPr="00633370">
        <w:t>.</w:t>
      </w:r>
    </w:p>
    <w:p w:rsidR="00E917B1" w:rsidRDefault="00844187" w:rsidP="00E917B1">
      <w:proofErr w:type="gramStart"/>
      <w:r>
        <w:t>O</w:t>
      </w:r>
      <w:r w:rsidR="0006010C" w:rsidRPr="00633370">
        <w:t>bserved market developments make innovation a strategic priority for NDIA.</w:t>
      </w:r>
      <w:proofErr w:type="gramEnd"/>
      <w:r w:rsidR="0006010C" w:rsidRPr="00633370">
        <w:t xml:space="preserve"> For example, </w:t>
      </w:r>
      <w:r w:rsidR="006B2C3E" w:rsidRPr="00633370">
        <w:t>many</w:t>
      </w:r>
      <w:r w:rsidR="0006010C" w:rsidRPr="00633370">
        <w:t xml:space="preserve"> </w:t>
      </w:r>
      <w:r w:rsidR="003D064B" w:rsidRPr="00633370">
        <w:t xml:space="preserve">advances </w:t>
      </w:r>
      <w:r w:rsidR="008D7777" w:rsidRPr="00633370">
        <w:t>in mainstream technolog</w:t>
      </w:r>
      <w:r w:rsidR="006B2C3E" w:rsidRPr="00633370">
        <w:t>ies, particularly in communications and robotics,</w:t>
      </w:r>
      <w:r w:rsidR="008D7777" w:rsidRPr="00633370">
        <w:t xml:space="preserve"> </w:t>
      </w:r>
      <w:r w:rsidR="006B2C3E" w:rsidRPr="00633370">
        <w:t>are likely to prove</w:t>
      </w:r>
      <w:r w:rsidR="003D064B" w:rsidRPr="00633370">
        <w:t xml:space="preserve"> us</w:t>
      </w:r>
      <w:r w:rsidR="008D7777" w:rsidRPr="00633370">
        <w:t xml:space="preserve">eful for </w:t>
      </w:r>
      <w:r w:rsidR="00EE4C82" w:rsidRPr="00633370">
        <w:t>people with disability</w:t>
      </w:r>
      <w:r w:rsidR="006B2C3E" w:rsidRPr="00633370">
        <w:t>.</w:t>
      </w:r>
      <w:r w:rsidR="008D7777" w:rsidRPr="00633370">
        <w:t xml:space="preserve"> </w:t>
      </w:r>
      <w:r w:rsidR="006B2C3E" w:rsidRPr="00633370">
        <w:t xml:space="preserve">This is also true of emerging technology solutions in </w:t>
      </w:r>
      <w:r w:rsidR="008D7777" w:rsidRPr="00633370">
        <w:t>t</w:t>
      </w:r>
      <w:r w:rsidR="003D064B" w:rsidRPr="00633370">
        <w:t xml:space="preserve">he large and growing aged care </w:t>
      </w:r>
      <w:r w:rsidR="008D7777" w:rsidRPr="00633370">
        <w:t>and health sectors</w:t>
      </w:r>
      <w:r w:rsidR="00E11C35" w:rsidRPr="00633370">
        <w:t>.</w:t>
      </w:r>
      <w:r w:rsidR="008D7777" w:rsidRPr="00633370">
        <w:t xml:space="preserve"> </w:t>
      </w:r>
    </w:p>
    <w:p w:rsidR="003D064B" w:rsidRPr="00354C18" w:rsidRDefault="00E917B1" w:rsidP="00354C18">
      <w:pPr>
        <w:rPr>
          <w:rStyle w:val="Strong"/>
          <w:sz w:val="22"/>
          <w:szCs w:val="22"/>
        </w:rPr>
      </w:pPr>
      <w:bookmarkStart w:id="21" w:name="_Toc432680995"/>
      <w:r w:rsidRPr="00354C18">
        <w:rPr>
          <w:rStyle w:val="Strong"/>
          <w:sz w:val="22"/>
          <w:szCs w:val="22"/>
        </w:rPr>
        <w:t>Research and development</w:t>
      </w:r>
      <w:bookmarkEnd w:id="21"/>
    </w:p>
    <w:p w:rsidR="00A12C19" w:rsidRDefault="00FA7094" w:rsidP="0062640F">
      <w:r>
        <w:rPr>
          <w:noProof/>
          <w:lang w:val="en-AU" w:eastAsia="en-AU"/>
        </w:rPr>
        <w:pict w14:anchorId="4FB9765F">
          <v:shape id="Text Box 3" o:spid="_x0000_s1027" type="#_x0000_t202" style="position:absolute;margin-left:0;margin-top:43.55pt;width:225pt;height:35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" fillcolor="#bfbfbf [2412]" stroked="f">
            <v:textbox style="mso-next-textbox:#Text Box 3">
              <w:txbxContent>
                <w:p w:rsidR="00AA75D5" w:rsidRDefault="00AA75D5" w:rsidP="001C1FDE">
                  <w:pPr>
                    <w:rPr>
                      <w:rFonts w:asciiTheme="majorHAnsi" w:hAnsiTheme="majorHAnsi"/>
                      <w:b/>
                      <w:sz w:val="18"/>
                      <w:szCs w:val="18"/>
                      <w:lang w:val="en-AU"/>
                    </w:rPr>
                  </w:pPr>
                  <w:r>
                    <w:rPr>
                      <w:rFonts w:asciiTheme="majorHAnsi" w:hAnsiTheme="majorHAnsi"/>
                      <w:b/>
                      <w:sz w:val="18"/>
                      <w:szCs w:val="18"/>
                      <w:lang w:val="en-AU"/>
                    </w:rPr>
                    <w:t>Some e</w:t>
                  </w:r>
                  <w:r w:rsidRPr="001C1FDE">
                    <w:rPr>
                      <w:rFonts w:asciiTheme="majorHAnsi" w:hAnsiTheme="majorHAnsi"/>
                      <w:b/>
                      <w:sz w:val="18"/>
                      <w:szCs w:val="18"/>
                      <w:lang w:val="en-AU"/>
                    </w:rPr>
                    <w:t xml:space="preserve">xamples of disability research centres  </w:t>
                  </w:r>
                </w:p>
                <w:p w:rsidR="00AA75D5" w:rsidRPr="001C1FDE" w:rsidRDefault="00AA75D5" w:rsidP="0015098B">
                  <w:pPr>
                    <w:spacing w:after="0"/>
                    <w:rPr>
                      <w:rFonts w:asciiTheme="majorHAnsi" w:hAnsiTheme="majorHAnsi"/>
                      <w:sz w:val="18"/>
                      <w:szCs w:val="18"/>
                      <w:lang w:val="en-AU"/>
                    </w:rPr>
                  </w:pPr>
                  <w:r>
                    <w:rPr>
                      <w:rFonts w:asciiTheme="majorHAnsi" w:hAnsiTheme="majorHAnsi"/>
                      <w:sz w:val="18"/>
                      <w:szCs w:val="18"/>
                      <w:lang w:val="en-AU"/>
                    </w:rPr>
                    <w:t>Australia</w:t>
                  </w:r>
                </w:p>
                <w:p w:rsidR="00AA75D5" w:rsidRPr="001C1FDE" w:rsidRDefault="00AA75D5" w:rsidP="00D605BC">
                  <w:pPr>
                    <w:numPr>
                      <w:ilvl w:val="0"/>
                      <w:numId w:val="11"/>
                    </w:numPr>
                    <w:spacing w:before="0" w:after="0"/>
                    <w:ind w:left="357" w:hanging="357"/>
                    <w:rPr>
                      <w:rFonts w:asciiTheme="majorHAnsi" w:hAnsiTheme="majorHAnsi"/>
                      <w:sz w:val="18"/>
                      <w:szCs w:val="18"/>
                      <w:lang w:val="en-AU"/>
                    </w:rPr>
                  </w:pPr>
                  <w:r w:rsidRPr="001C1FDE">
                    <w:rPr>
                      <w:rFonts w:asciiTheme="majorHAnsi" w:hAnsiTheme="majorHAnsi"/>
                      <w:sz w:val="18"/>
                      <w:szCs w:val="18"/>
                      <w:lang w:val="en-AU"/>
                    </w:rPr>
                    <w:t>Melbourne University:</w:t>
                  </w:r>
                  <w:r w:rsidRPr="001C1FDE">
                    <w:rPr>
                      <w:rFonts w:asciiTheme="majorHAnsi" w:hAnsiTheme="majorHAnsi"/>
                      <w:sz w:val="18"/>
                      <w:szCs w:val="18"/>
                      <w:u w:val="single"/>
                      <w:lang w:val="en-AU"/>
                    </w:rPr>
                    <w:t xml:space="preserve"> </w:t>
                  </w:r>
                  <w:r w:rsidRPr="001C1FDE">
                    <w:rPr>
                      <w:rFonts w:asciiTheme="majorHAnsi" w:hAnsiTheme="majorHAnsi"/>
                      <w:sz w:val="18"/>
                      <w:szCs w:val="18"/>
                      <w:lang w:val="en-AU"/>
                    </w:rPr>
                    <w:t>Centre for Developmental Disabilities Health Victoria (CDDHV</w:t>
                  </w:r>
                  <w:r>
                    <w:rPr>
                      <w:rFonts w:asciiTheme="majorHAnsi" w:hAnsiTheme="majorHAnsi"/>
                      <w:sz w:val="18"/>
                      <w:szCs w:val="18"/>
                      <w:lang w:val="en-AU"/>
                    </w:rPr>
                    <w:t xml:space="preserve">) conducts </w:t>
                  </w:r>
                  <w:r w:rsidRPr="001C1FDE">
                    <w:rPr>
                      <w:rFonts w:asciiTheme="majorHAnsi" w:hAnsiTheme="majorHAnsi"/>
                      <w:sz w:val="18"/>
                      <w:szCs w:val="18"/>
                      <w:lang w:val="en-AU"/>
                    </w:rPr>
                    <w:t xml:space="preserve">research, education and clinical work </w:t>
                  </w:r>
                </w:p>
                <w:p w:rsidR="00AA75D5" w:rsidRPr="001C1FDE" w:rsidRDefault="00AA75D5" w:rsidP="00D605BC">
                  <w:pPr>
                    <w:numPr>
                      <w:ilvl w:val="0"/>
                      <w:numId w:val="11"/>
                    </w:numPr>
                    <w:spacing w:before="0"/>
                    <w:ind w:left="357" w:hanging="357"/>
                    <w:rPr>
                      <w:rFonts w:asciiTheme="majorHAnsi" w:hAnsiTheme="majorHAnsi"/>
                      <w:sz w:val="18"/>
                      <w:szCs w:val="18"/>
                      <w:lang w:val="en-AU"/>
                    </w:rPr>
                  </w:pPr>
                  <w:r w:rsidRPr="001C1FDE">
                    <w:rPr>
                      <w:rFonts w:asciiTheme="majorHAnsi" w:hAnsiTheme="majorHAnsi"/>
                      <w:sz w:val="18"/>
                      <w:szCs w:val="18"/>
                      <w:lang w:val="en-AU"/>
                    </w:rPr>
                    <w:t>Deakin University:</w:t>
                  </w:r>
                  <w:r>
                    <w:rPr>
                      <w:rFonts w:asciiTheme="majorHAnsi" w:hAnsiTheme="majorHAnsi"/>
                      <w:sz w:val="18"/>
                      <w:szCs w:val="18"/>
                      <w:lang w:val="en-AU"/>
                    </w:rPr>
                    <w:t xml:space="preserve"> </w:t>
                  </w:r>
                  <w:proofErr w:type="spellStart"/>
                  <w:r>
                    <w:rPr>
                      <w:rFonts w:asciiTheme="majorHAnsi" w:hAnsiTheme="majorHAnsi"/>
                      <w:sz w:val="18"/>
                      <w:szCs w:val="18"/>
                      <w:lang w:val="en-AU"/>
                    </w:rPr>
                    <w:t>Disability@Deakin</w:t>
                  </w:r>
                  <w:proofErr w:type="spellEnd"/>
                  <w:r>
                    <w:rPr>
                      <w:rFonts w:asciiTheme="majorHAnsi" w:hAnsiTheme="majorHAnsi"/>
                      <w:sz w:val="18"/>
                      <w:szCs w:val="18"/>
                      <w:lang w:val="en-AU"/>
                    </w:rPr>
                    <w:t xml:space="preserve"> researches</w:t>
                  </w:r>
                  <w:r w:rsidRPr="001C1FDE">
                    <w:rPr>
                      <w:rFonts w:asciiTheme="majorHAnsi" w:hAnsiTheme="majorHAnsi"/>
                      <w:sz w:val="18"/>
                      <w:szCs w:val="18"/>
                      <w:lang w:val="en-AU"/>
                    </w:rPr>
                    <w:t xml:space="preserve"> the </w:t>
                  </w:r>
                  <w:r>
                    <w:rPr>
                      <w:rFonts w:asciiTheme="majorHAnsi" w:hAnsiTheme="majorHAnsi"/>
                      <w:sz w:val="18"/>
                      <w:szCs w:val="18"/>
                      <w:lang w:val="en-AU"/>
                    </w:rPr>
                    <w:t>use of assistive technologies</w:t>
                  </w:r>
                </w:p>
                <w:p w:rsidR="00AA75D5" w:rsidRDefault="00AA75D5" w:rsidP="0015098B">
                  <w:pPr>
                    <w:spacing w:after="0"/>
                    <w:rPr>
                      <w:rFonts w:asciiTheme="majorHAnsi" w:hAnsiTheme="majorHAnsi"/>
                      <w:sz w:val="18"/>
                      <w:szCs w:val="18"/>
                    </w:rPr>
                  </w:pPr>
                  <w:r w:rsidRPr="001C1FDE">
                    <w:rPr>
                      <w:rFonts w:asciiTheme="majorHAnsi" w:hAnsiTheme="majorHAnsi"/>
                      <w:sz w:val="18"/>
                      <w:szCs w:val="18"/>
                    </w:rPr>
                    <w:t>UK</w:t>
                  </w:r>
                </w:p>
                <w:p w:rsidR="00AA75D5" w:rsidRPr="001C1FDE" w:rsidRDefault="00AA75D5" w:rsidP="00D605BC">
                  <w:pPr>
                    <w:pStyle w:val="ListParagraph"/>
                    <w:numPr>
                      <w:ilvl w:val="0"/>
                      <w:numId w:val="12"/>
                    </w:numPr>
                    <w:spacing w:before="0"/>
                    <w:ind w:left="357" w:hanging="357"/>
                    <w:rPr>
                      <w:rFonts w:asciiTheme="majorHAnsi" w:hAnsiTheme="majorHAnsi"/>
                      <w:sz w:val="18"/>
                      <w:szCs w:val="18"/>
                      <w:lang w:val="en-AU"/>
                    </w:rPr>
                  </w:pPr>
                  <w:r w:rsidRPr="001C1FDE">
                    <w:rPr>
                      <w:rFonts w:asciiTheme="majorHAnsi" w:hAnsiTheme="majorHAnsi"/>
                      <w:sz w:val="18"/>
                      <w:szCs w:val="18"/>
                      <w:lang w:val="en-AU"/>
                    </w:rPr>
                    <w:t>International Centre for Evidence in Disability</w:t>
                  </w:r>
                  <w:r>
                    <w:rPr>
                      <w:rFonts w:asciiTheme="majorHAnsi" w:hAnsiTheme="majorHAnsi"/>
                      <w:sz w:val="18"/>
                      <w:szCs w:val="18"/>
                      <w:lang w:val="en-AU"/>
                    </w:rPr>
                    <w:t xml:space="preserve"> researches the </w:t>
                  </w:r>
                  <w:r w:rsidRPr="001C1FDE">
                    <w:rPr>
                      <w:rFonts w:asciiTheme="majorHAnsi" w:hAnsiTheme="majorHAnsi"/>
                      <w:sz w:val="18"/>
                      <w:szCs w:val="18"/>
                      <w:lang w:val="en-AU"/>
                    </w:rPr>
                    <w:t xml:space="preserve">magnitude, causes and distribution of disability in </w:t>
                  </w:r>
                  <w:r>
                    <w:rPr>
                      <w:rFonts w:asciiTheme="majorHAnsi" w:hAnsiTheme="majorHAnsi"/>
                      <w:sz w:val="18"/>
                      <w:szCs w:val="18"/>
                      <w:lang w:val="en-AU"/>
                    </w:rPr>
                    <w:t>low and middle income countries;</w:t>
                  </w:r>
                  <w:r w:rsidRPr="001C1FDE">
                    <w:rPr>
                      <w:rFonts w:asciiTheme="majorHAnsi" w:hAnsiTheme="majorHAnsi"/>
                      <w:sz w:val="18"/>
                      <w:szCs w:val="18"/>
                      <w:lang w:val="en-AU"/>
                    </w:rPr>
                    <w:t xml:space="preserve"> </w:t>
                  </w:r>
                  <w:r>
                    <w:rPr>
                      <w:rFonts w:asciiTheme="majorHAnsi" w:hAnsiTheme="majorHAnsi"/>
                      <w:sz w:val="18"/>
                      <w:szCs w:val="18"/>
                      <w:lang w:val="en-AU"/>
                    </w:rPr>
                    <w:t xml:space="preserve">the </w:t>
                  </w:r>
                  <w:r w:rsidRPr="001C1FDE">
                    <w:rPr>
                      <w:rFonts w:asciiTheme="majorHAnsi" w:hAnsiTheme="majorHAnsi"/>
                      <w:sz w:val="18"/>
                      <w:szCs w:val="18"/>
                      <w:lang w:val="en-AU"/>
                    </w:rPr>
                    <w:t xml:space="preserve">impact </w:t>
                  </w:r>
                  <w:r>
                    <w:rPr>
                      <w:rFonts w:asciiTheme="majorHAnsi" w:hAnsiTheme="majorHAnsi"/>
                      <w:sz w:val="18"/>
                      <w:szCs w:val="18"/>
                      <w:lang w:val="en-AU"/>
                    </w:rPr>
                    <w:t>of disability on people’s lives; the</w:t>
                  </w:r>
                  <w:r w:rsidRPr="001C1FDE">
                    <w:rPr>
                      <w:rFonts w:asciiTheme="majorHAnsi" w:hAnsiTheme="majorHAnsi"/>
                      <w:sz w:val="18"/>
                      <w:szCs w:val="18"/>
                      <w:lang w:val="en-AU"/>
                    </w:rPr>
                    <w:t xml:space="preserve"> develop</w:t>
                  </w:r>
                  <w:r>
                    <w:rPr>
                      <w:rFonts w:asciiTheme="majorHAnsi" w:hAnsiTheme="majorHAnsi"/>
                      <w:sz w:val="18"/>
                      <w:szCs w:val="18"/>
                      <w:lang w:val="en-AU"/>
                    </w:rPr>
                    <w:t xml:space="preserve">ment of scalable interventions and </w:t>
                  </w:r>
                  <w:r w:rsidRPr="001C1FDE">
                    <w:rPr>
                      <w:rFonts w:asciiTheme="majorHAnsi" w:hAnsiTheme="majorHAnsi"/>
                      <w:sz w:val="18"/>
                      <w:szCs w:val="18"/>
                      <w:lang w:val="en-AU"/>
                    </w:rPr>
                    <w:t>community-based rehabilitation</w:t>
                  </w:r>
                  <w:r>
                    <w:rPr>
                      <w:rFonts w:asciiTheme="majorHAnsi" w:hAnsiTheme="majorHAnsi"/>
                      <w:sz w:val="18"/>
                      <w:szCs w:val="18"/>
                      <w:lang w:val="en-AU"/>
                    </w:rPr>
                    <w:t>;</w:t>
                  </w:r>
                  <w:r w:rsidRPr="001C1FDE">
                    <w:rPr>
                      <w:rFonts w:asciiTheme="majorHAnsi" w:hAnsiTheme="majorHAnsi"/>
                      <w:sz w:val="18"/>
                      <w:szCs w:val="18"/>
                      <w:lang w:val="en-AU"/>
                    </w:rPr>
                    <w:t xml:space="preserve"> and </w:t>
                  </w:r>
                  <w:r>
                    <w:rPr>
                      <w:rFonts w:asciiTheme="majorHAnsi" w:hAnsiTheme="majorHAnsi"/>
                      <w:sz w:val="18"/>
                      <w:szCs w:val="18"/>
                      <w:lang w:val="en-AU"/>
                    </w:rPr>
                    <w:t xml:space="preserve">the </w:t>
                  </w:r>
                  <w:r w:rsidRPr="001C1FDE">
                    <w:rPr>
                      <w:rFonts w:asciiTheme="majorHAnsi" w:hAnsiTheme="majorHAnsi"/>
                      <w:sz w:val="18"/>
                      <w:szCs w:val="18"/>
                      <w:lang w:val="en-AU"/>
                    </w:rPr>
                    <w:t xml:space="preserve">utilisation and management of health and rehabilitation services for people with </w:t>
                  </w:r>
                  <w:r>
                    <w:rPr>
                      <w:rFonts w:asciiTheme="majorHAnsi" w:hAnsiTheme="majorHAnsi"/>
                      <w:sz w:val="18"/>
                      <w:szCs w:val="18"/>
                      <w:lang w:val="en-AU"/>
                    </w:rPr>
                    <w:t>disabilities</w:t>
                  </w:r>
                </w:p>
                <w:p w:rsidR="00AA75D5" w:rsidRDefault="00AA75D5" w:rsidP="0015098B">
                  <w:pPr>
                    <w:spacing w:after="0"/>
                    <w:rPr>
                      <w:rFonts w:asciiTheme="majorHAnsi" w:hAnsiTheme="majorHAnsi"/>
                      <w:sz w:val="18"/>
                      <w:szCs w:val="18"/>
                    </w:rPr>
                  </w:pPr>
                  <w:r>
                    <w:rPr>
                      <w:rFonts w:asciiTheme="majorHAnsi" w:hAnsiTheme="majorHAnsi"/>
                      <w:sz w:val="18"/>
                      <w:szCs w:val="18"/>
                    </w:rPr>
                    <w:t>Canada</w:t>
                  </w:r>
                </w:p>
                <w:p w:rsidR="00AA75D5" w:rsidRPr="0015098B" w:rsidRDefault="00AA75D5" w:rsidP="00D605BC">
                  <w:pPr>
                    <w:pStyle w:val="ListParagraph"/>
                    <w:numPr>
                      <w:ilvl w:val="0"/>
                      <w:numId w:val="13"/>
                    </w:numPr>
                    <w:spacing w:before="0"/>
                    <w:ind w:left="357" w:hanging="357"/>
                    <w:rPr>
                      <w:rFonts w:asciiTheme="majorHAnsi" w:hAnsiTheme="majorHAnsi"/>
                      <w:sz w:val="18"/>
                      <w:szCs w:val="18"/>
                    </w:rPr>
                  </w:pPr>
                  <w:r w:rsidRPr="001C1FDE">
                    <w:rPr>
                      <w:rFonts w:asciiTheme="majorHAnsi" w:hAnsiTheme="majorHAnsi"/>
                      <w:sz w:val="18"/>
                      <w:szCs w:val="18"/>
                      <w:lang w:val="en-AU"/>
                    </w:rPr>
                    <w:t xml:space="preserve">Canadian Centre </w:t>
                  </w:r>
                  <w:r>
                    <w:rPr>
                      <w:rFonts w:asciiTheme="majorHAnsi" w:hAnsiTheme="majorHAnsi"/>
                      <w:sz w:val="18"/>
                      <w:szCs w:val="18"/>
                      <w:lang w:val="en-AU"/>
                    </w:rPr>
                    <w:t>for Disability Studies conducts research guided by ‘</w:t>
                  </w:r>
                  <w:r w:rsidRPr="001C1FDE">
                    <w:rPr>
                      <w:rFonts w:asciiTheme="majorHAnsi" w:hAnsiTheme="majorHAnsi"/>
                      <w:sz w:val="18"/>
                      <w:szCs w:val="18"/>
                      <w:lang w:val="en-AU"/>
                    </w:rPr>
                    <w:t>philosophies of independent living and community living, emphas</w:t>
                  </w:r>
                  <w:r>
                    <w:rPr>
                      <w:rFonts w:asciiTheme="majorHAnsi" w:hAnsiTheme="majorHAnsi"/>
                      <w:sz w:val="18"/>
                      <w:szCs w:val="18"/>
                      <w:lang w:val="en-AU"/>
                    </w:rPr>
                    <w:t>is</w:t>
                  </w:r>
                  <w:r w:rsidRPr="001C1FDE">
                    <w:rPr>
                      <w:rFonts w:asciiTheme="majorHAnsi" w:hAnsiTheme="majorHAnsi"/>
                      <w:sz w:val="18"/>
                      <w:szCs w:val="18"/>
                      <w:lang w:val="en-AU"/>
                    </w:rPr>
                    <w:t xml:space="preserve">ing human rights, self-determination, interdependence, equality, a cross-disability focus, and full and valued </w:t>
                  </w:r>
                  <w:r>
                    <w:rPr>
                      <w:rFonts w:asciiTheme="majorHAnsi" w:hAnsiTheme="majorHAnsi"/>
                      <w:sz w:val="18"/>
                      <w:szCs w:val="18"/>
                      <w:lang w:val="en-AU"/>
                    </w:rPr>
                    <w:t>participation of the community’</w:t>
                  </w:r>
                </w:p>
                <w:p w:rsidR="00AA75D5" w:rsidRDefault="00AA75D5" w:rsidP="0015098B">
                  <w:pPr>
                    <w:spacing w:after="0"/>
                    <w:rPr>
                      <w:rFonts w:asciiTheme="majorHAnsi" w:hAnsiTheme="majorHAnsi"/>
                      <w:sz w:val="18"/>
                      <w:szCs w:val="18"/>
                    </w:rPr>
                  </w:pPr>
                  <w:r>
                    <w:rPr>
                      <w:rFonts w:asciiTheme="majorHAnsi" w:hAnsiTheme="majorHAnsi"/>
                      <w:sz w:val="18"/>
                      <w:szCs w:val="18"/>
                    </w:rPr>
                    <w:t>US</w:t>
                  </w:r>
                </w:p>
                <w:p w:rsidR="00AA75D5" w:rsidRPr="0015098B" w:rsidRDefault="00AA75D5" w:rsidP="00D605BC">
                  <w:pPr>
                    <w:pStyle w:val="ListParagraph"/>
                    <w:numPr>
                      <w:ilvl w:val="0"/>
                      <w:numId w:val="14"/>
                    </w:numPr>
                    <w:spacing w:before="0"/>
                    <w:ind w:left="357" w:hanging="357"/>
                    <w:rPr>
                      <w:rFonts w:asciiTheme="majorHAnsi" w:hAnsiTheme="majorHAnsi"/>
                      <w:sz w:val="18"/>
                      <w:szCs w:val="18"/>
                    </w:rPr>
                  </w:pPr>
                  <w:r w:rsidRPr="0015098B">
                    <w:rPr>
                      <w:rFonts w:asciiTheme="majorHAnsi" w:hAnsiTheme="majorHAnsi"/>
                      <w:sz w:val="18"/>
                      <w:szCs w:val="18"/>
                      <w:lang w:val="en-AU"/>
                    </w:rPr>
                    <w:t>National Institute on Disability and R</w:t>
                  </w:r>
                  <w:r>
                    <w:rPr>
                      <w:rFonts w:asciiTheme="majorHAnsi" w:hAnsiTheme="majorHAnsi"/>
                      <w:sz w:val="18"/>
                      <w:szCs w:val="18"/>
                      <w:lang w:val="en-AU"/>
                    </w:rPr>
                    <w:t>ehabilitation Research (NIDRR) promotes ‘the</w:t>
                  </w:r>
                  <w:r w:rsidRPr="0015098B">
                    <w:rPr>
                      <w:rFonts w:asciiTheme="majorHAnsi" w:hAnsiTheme="majorHAnsi"/>
                      <w:sz w:val="18"/>
                      <w:szCs w:val="18"/>
                      <w:lang w:val="en-AU"/>
                    </w:rPr>
                    <w:t xml:space="preserve"> transfer of, use and adoption of rehabilitation technology for individuals with disabilities in a</w:t>
                  </w:r>
                  <w:r>
                    <w:rPr>
                      <w:rFonts w:asciiTheme="majorHAnsi" w:hAnsiTheme="majorHAnsi"/>
                      <w:sz w:val="18"/>
                      <w:szCs w:val="18"/>
                      <w:lang w:val="en-AU"/>
                    </w:rPr>
                    <w:t xml:space="preserve"> timely manner’</w:t>
                  </w:r>
                </w:p>
                <w:p w:rsidR="00AA75D5" w:rsidRPr="0015098B" w:rsidRDefault="00AA75D5" w:rsidP="0015098B">
                  <w:pPr>
                    <w:rPr>
                      <w:rFonts w:asciiTheme="majorHAnsi" w:hAnsiTheme="majorHAnsi"/>
                      <w:sz w:val="18"/>
                      <w:szCs w:val="18"/>
                    </w:rPr>
                  </w:pPr>
                </w:p>
              </w:txbxContent>
            </v:textbox>
            <w10:wrap type="square"/>
          </v:shape>
        </w:pict>
      </w:r>
      <w:r w:rsidR="006B2C3E" w:rsidRPr="00633370">
        <w:t xml:space="preserve">AT research and development is well established in Australia and internationally, though coordination is needed to </w:t>
      </w:r>
      <w:r w:rsidR="0062640F" w:rsidRPr="00633370">
        <w:t xml:space="preserve">ensure efforts are not duplicated and lessons are shared across sectors, research communities and jurisdictions. </w:t>
      </w:r>
    </w:p>
    <w:p w:rsidR="0062640F" w:rsidRPr="00633370" w:rsidRDefault="0062640F" w:rsidP="0062640F">
      <w:r w:rsidRPr="00633370">
        <w:t xml:space="preserve">In Australia, the </w:t>
      </w:r>
      <w:r w:rsidRPr="00633370">
        <w:rPr>
          <w:bCs/>
        </w:rPr>
        <w:t>National Disability Research and Development Agenda (2011)</w:t>
      </w:r>
      <w:r w:rsidRPr="00633370">
        <w:t xml:space="preserve"> outlines national priorities for disability-related research. </w:t>
      </w:r>
      <w:r w:rsidR="00E917B1">
        <w:t xml:space="preserve">The </w:t>
      </w:r>
      <w:r w:rsidRPr="00633370">
        <w:t xml:space="preserve">main finding of the recent Audit of </w:t>
      </w:r>
      <w:r w:rsidRPr="00633370">
        <w:rPr>
          <w:bCs/>
        </w:rPr>
        <w:t>Disability Research in Australia 2000-2013</w:t>
      </w:r>
      <w:r w:rsidR="003E37D1" w:rsidRPr="00633370">
        <w:rPr>
          <w:rStyle w:val="FootnoteReference"/>
          <w:bCs/>
        </w:rPr>
        <w:footnoteReference w:id="4"/>
      </w:r>
      <w:r w:rsidRPr="00633370">
        <w:t xml:space="preserve"> was that the current disability research base is not ‘fit for purpose’ in relation to the reform agenda, and is fragmented across topics and study designs. </w:t>
      </w:r>
    </w:p>
    <w:p w:rsidR="00844187" w:rsidRDefault="0062640F" w:rsidP="0062640F">
      <w:r w:rsidRPr="00633370">
        <w:t xml:space="preserve">The </w:t>
      </w:r>
      <w:r w:rsidR="00312F6B" w:rsidRPr="00633370">
        <w:t>a</w:t>
      </w:r>
      <w:r w:rsidR="00844187">
        <w:t>udit also found that:</w:t>
      </w:r>
    </w:p>
    <w:p w:rsidR="00844187" w:rsidRDefault="0062640F" w:rsidP="00844187">
      <w:pPr>
        <w:pStyle w:val="ListParagraph"/>
        <w:numPr>
          <w:ilvl w:val="0"/>
          <w:numId w:val="62"/>
        </w:numPr>
      </w:pPr>
      <w:r w:rsidRPr="00633370">
        <w:t xml:space="preserve">research on </w:t>
      </w:r>
      <w:r w:rsidR="00844187">
        <w:t xml:space="preserve">priority topics in the National </w:t>
      </w:r>
      <w:r w:rsidRPr="00633370">
        <w:t>Disability Strategy, the National Disability Research and Development Agenda and th</w:t>
      </w:r>
      <w:r w:rsidR="00844187">
        <w:t>e NDIS is not at critical mass;</w:t>
      </w:r>
    </w:p>
    <w:p w:rsidR="00844187" w:rsidRPr="00844187" w:rsidRDefault="0062640F" w:rsidP="00844187">
      <w:pPr>
        <w:pStyle w:val="ListParagraph"/>
        <w:numPr>
          <w:ilvl w:val="0"/>
          <w:numId w:val="62"/>
        </w:numPr>
      </w:pPr>
      <w:r w:rsidRPr="00844187">
        <w:rPr>
          <w:bCs/>
        </w:rPr>
        <w:t>successful disability research funding models in other countries involve investment in</w:t>
      </w:r>
      <w:r w:rsidR="00844187">
        <w:rPr>
          <w:bCs/>
        </w:rPr>
        <w:t xml:space="preserve"> strategic and priority areas;</w:t>
      </w:r>
      <w:r w:rsidR="00687C26">
        <w:rPr>
          <w:bCs/>
        </w:rPr>
        <w:t xml:space="preserve"> and,</w:t>
      </w:r>
    </w:p>
    <w:p w:rsidR="0062640F" w:rsidRPr="00633370" w:rsidRDefault="001C1FDE" w:rsidP="00844187">
      <w:pPr>
        <w:pStyle w:val="ListParagraph"/>
        <w:numPr>
          <w:ilvl w:val="0"/>
          <w:numId w:val="62"/>
        </w:numPr>
      </w:pPr>
      <w:proofErr w:type="gramStart"/>
      <w:r w:rsidRPr="00844187">
        <w:rPr>
          <w:bCs/>
        </w:rPr>
        <w:t>there</w:t>
      </w:r>
      <w:proofErr w:type="gramEnd"/>
      <w:r w:rsidRPr="00844187">
        <w:rPr>
          <w:bCs/>
        </w:rPr>
        <w:t xml:space="preserve"> was little involvement of</w:t>
      </w:r>
      <w:r w:rsidR="00F46BCA" w:rsidRPr="00844187">
        <w:rPr>
          <w:bCs/>
        </w:rPr>
        <w:t>,</w:t>
      </w:r>
      <w:r w:rsidRPr="00844187">
        <w:rPr>
          <w:bCs/>
        </w:rPr>
        <w:t xml:space="preserve"> and contribution from</w:t>
      </w:r>
      <w:r w:rsidR="00F46BCA" w:rsidRPr="00844187">
        <w:rPr>
          <w:bCs/>
        </w:rPr>
        <w:t>,</w:t>
      </w:r>
      <w:r w:rsidRPr="00844187">
        <w:rPr>
          <w:bCs/>
        </w:rPr>
        <w:t xml:space="preserve"> </w:t>
      </w:r>
      <w:r w:rsidR="00EE4C82" w:rsidRPr="00844187">
        <w:rPr>
          <w:bCs/>
        </w:rPr>
        <w:t>people with disability</w:t>
      </w:r>
      <w:r w:rsidR="0062640F" w:rsidRPr="00844187">
        <w:rPr>
          <w:bCs/>
        </w:rPr>
        <w:t xml:space="preserve"> in the research base</w:t>
      </w:r>
      <w:r w:rsidRPr="00844187">
        <w:rPr>
          <w:bCs/>
        </w:rPr>
        <w:t>.</w:t>
      </w:r>
    </w:p>
    <w:p w:rsidR="00385329" w:rsidRPr="00633370" w:rsidRDefault="0015098B" w:rsidP="00C15231">
      <w:r w:rsidRPr="00633370">
        <w:t>While</w:t>
      </w:r>
      <w:r w:rsidR="00E24BAC" w:rsidRPr="00633370">
        <w:t xml:space="preserve"> research </w:t>
      </w:r>
      <w:r w:rsidRPr="00633370">
        <w:t xml:space="preserve">in the disability sector has largely </w:t>
      </w:r>
      <w:r w:rsidR="007A6A86" w:rsidRPr="00633370">
        <w:t xml:space="preserve">been </w:t>
      </w:r>
      <w:r w:rsidRPr="00633370">
        <w:t>the province of</w:t>
      </w:r>
      <w:r w:rsidR="00E24BAC" w:rsidRPr="00633370">
        <w:t xml:space="preserve"> tertiary institutions and the National Health and Medical Research Centre (NHMRC) agenda</w:t>
      </w:r>
      <w:r w:rsidRPr="00633370">
        <w:t>,</w:t>
      </w:r>
      <w:r w:rsidR="00105B03" w:rsidRPr="00633370">
        <w:t xml:space="preserve"> </w:t>
      </w:r>
      <w:r w:rsidRPr="00633370">
        <w:t xml:space="preserve">tax incentives and initiatives like the Entrepreneur’s Infrastructure Programme </w:t>
      </w:r>
      <w:r w:rsidR="007A6A86" w:rsidRPr="00633370">
        <w:t>make it possible for</w:t>
      </w:r>
      <w:r w:rsidR="00385329" w:rsidRPr="00633370">
        <w:t xml:space="preserve"> entrepreneurs </w:t>
      </w:r>
      <w:r w:rsidR="007A6A86" w:rsidRPr="00633370">
        <w:t>to be more active in the sector. Opportunities exist to</w:t>
      </w:r>
      <w:r w:rsidR="00385329" w:rsidRPr="00633370">
        <w:t xml:space="preserve"> collaborate </w:t>
      </w:r>
      <w:r w:rsidR="007A6A86" w:rsidRPr="00633370">
        <w:t>and co-invest in</w:t>
      </w:r>
      <w:r w:rsidR="00E24BAC" w:rsidRPr="00633370">
        <w:t xml:space="preserve"> </w:t>
      </w:r>
      <w:r w:rsidR="007A6A86" w:rsidRPr="00633370">
        <w:t>research and development efforts</w:t>
      </w:r>
      <w:r w:rsidR="00312F6B" w:rsidRPr="00633370">
        <w:t>—for</w:t>
      </w:r>
      <w:r w:rsidR="007A6A86" w:rsidRPr="00633370">
        <w:t xml:space="preserve"> example, g</w:t>
      </w:r>
      <w:r w:rsidR="00105B03" w:rsidRPr="00633370">
        <w:t xml:space="preserve">eneric </w:t>
      </w:r>
      <w:r w:rsidR="00105B03" w:rsidRPr="00633370">
        <w:lastRenderedPageBreak/>
        <w:t xml:space="preserve">programmes could be extended or targeted to </w:t>
      </w:r>
      <w:r w:rsidR="007A6A86" w:rsidRPr="00633370">
        <w:t>areas of particular need</w:t>
      </w:r>
      <w:r w:rsidR="00E3675C" w:rsidRPr="00633370">
        <w:t>, and n</w:t>
      </w:r>
      <w:r w:rsidR="007A6A86" w:rsidRPr="00633370">
        <w:t xml:space="preserve">eeds that are common to the disability, health and aged care sectors could </w:t>
      </w:r>
      <w:r w:rsidR="00E3675C" w:rsidRPr="00633370">
        <w:t xml:space="preserve">be investigated in a coordinated way to generate scale economies and stimulate market activity. </w:t>
      </w:r>
      <w:r w:rsidR="00105B03" w:rsidRPr="00633370">
        <w:t xml:space="preserve"> </w:t>
      </w:r>
    </w:p>
    <w:p w:rsidR="00F30E77" w:rsidRPr="00633370" w:rsidRDefault="00F30E77" w:rsidP="00F30E77">
      <w:r w:rsidRPr="00633370">
        <w:t xml:space="preserve">Given the clear rationale for an innovation strategy and for NDIA to play a leading role in </w:t>
      </w:r>
      <w:r w:rsidR="000B44FE" w:rsidRPr="00633370">
        <w:t>supporting market-led innovation</w:t>
      </w:r>
      <w:r w:rsidRPr="00633370">
        <w:t xml:space="preserve">, the AT Sector Reference Group has developed a set of principles that have been used to guide </w:t>
      </w:r>
      <w:r w:rsidR="000B44FE" w:rsidRPr="00633370">
        <w:t>opportunity identification and strategy development</w:t>
      </w:r>
      <w:r w:rsidRPr="00633370">
        <w:t>.</w:t>
      </w:r>
      <w:r w:rsidR="000B44FE" w:rsidRPr="00633370">
        <w:t xml:space="preserve"> These principles, which define the NDIA strategy as open, leading, commercial and collaborative, are shown in </w:t>
      </w:r>
      <w:r w:rsidR="007C488D">
        <w:t>Appendix</w:t>
      </w:r>
      <w:r w:rsidR="000B44FE" w:rsidRPr="00DA7ED3">
        <w:t xml:space="preserve"> </w:t>
      </w:r>
      <w:r w:rsidR="00157764">
        <w:t>3</w:t>
      </w:r>
      <w:r w:rsidR="000B44FE" w:rsidRPr="00DA7ED3">
        <w:t>.</w:t>
      </w:r>
    </w:p>
    <w:p w:rsidR="00A65BFF" w:rsidRPr="003C18F2" w:rsidRDefault="00095073" w:rsidP="00E917B1">
      <w:pPr>
        <w:pStyle w:val="Heading3"/>
      </w:pPr>
      <w:bookmarkStart w:id="22" w:name="_Toc432683881"/>
      <w:r>
        <w:t>3</w:t>
      </w:r>
      <w:r w:rsidR="005517EB">
        <w:t>.1.2</w:t>
      </w:r>
      <w:r w:rsidR="0052118A" w:rsidRPr="00F13632">
        <w:t xml:space="preserve"> </w:t>
      </w:r>
      <w:r w:rsidR="00411B4A">
        <w:t xml:space="preserve">Opportunities identified by the </w:t>
      </w:r>
      <w:r w:rsidR="00F67743" w:rsidRPr="00B00CEF">
        <w:t>NDIA</w:t>
      </w:r>
      <w:bookmarkEnd w:id="22"/>
    </w:p>
    <w:p w:rsidR="00F67743" w:rsidRPr="00131F0A" w:rsidRDefault="00F67743" w:rsidP="00F67743">
      <w:r w:rsidRPr="00823315">
        <w:t xml:space="preserve">In the context described above, NDIA has identified </w:t>
      </w:r>
      <w:r w:rsidR="003D3322" w:rsidRPr="00BC3662">
        <w:t xml:space="preserve">two </w:t>
      </w:r>
      <w:r w:rsidRPr="00D851DF">
        <w:t xml:space="preserve">broad groups of opportunities to stimulate the </w:t>
      </w:r>
      <w:r w:rsidR="00B167F3" w:rsidRPr="004E254D">
        <w:t xml:space="preserve">market to foster the </w:t>
      </w:r>
      <w:r w:rsidRPr="000D0B36">
        <w:t xml:space="preserve">development and early adoption of innovative AT solutions, as </w:t>
      </w:r>
      <w:r w:rsidRPr="00131F0A">
        <w:t>described below.</w:t>
      </w:r>
    </w:p>
    <w:p w:rsidR="007A444A" w:rsidRPr="00A12C19" w:rsidRDefault="004726AD" w:rsidP="009614D6">
      <w:pPr>
        <w:pStyle w:val="Heading4"/>
        <w:rPr>
          <w:rFonts w:ascii="Arial Bold" w:hAnsi="Arial Bold" w:cs="Arial Bold"/>
          <w:i w:val="0"/>
          <w:lang w:val="en-GB"/>
        </w:rPr>
      </w:pPr>
      <w:r w:rsidRPr="00A12C19">
        <w:rPr>
          <w:rFonts w:ascii="Arial Bold" w:hAnsi="Arial Bold" w:cs="Arial Bold"/>
          <w:i w:val="0"/>
          <w:lang w:val="en-GB"/>
        </w:rPr>
        <w:t xml:space="preserve">a) </w:t>
      </w:r>
      <w:r w:rsidR="00F67743" w:rsidRPr="00A12C19">
        <w:rPr>
          <w:rFonts w:ascii="Arial Bold" w:hAnsi="Arial Bold" w:cs="Arial Bold"/>
          <w:i w:val="0"/>
          <w:lang w:val="en-GB"/>
        </w:rPr>
        <w:t xml:space="preserve">Provide </w:t>
      </w:r>
      <w:r w:rsidRPr="00A12C19">
        <w:rPr>
          <w:rFonts w:ascii="Arial Bold" w:hAnsi="Arial Bold" w:cs="Arial Bold"/>
          <w:i w:val="0"/>
          <w:lang w:val="en-GB"/>
        </w:rPr>
        <w:t>a conduit for innovation</w:t>
      </w:r>
      <w:r w:rsidR="003D064B" w:rsidRPr="00A12C19">
        <w:rPr>
          <w:rFonts w:ascii="Arial Bold" w:hAnsi="Arial Bold" w:cs="Arial Bold"/>
          <w:i w:val="0"/>
          <w:lang w:val="en-GB"/>
        </w:rPr>
        <w:t xml:space="preserve"> </w:t>
      </w:r>
      <w:r w:rsidR="00736488" w:rsidRPr="00A12C19">
        <w:rPr>
          <w:rFonts w:ascii="Arial Bold" w:hAnsi="Arial Bold" w:cs="Arial Bold"/>
          <w:i w:val="0"/>
          <w:lang w:val="en-GB"/>
        </w:rPr>
        <w:t xml:space="preserve"> </w:t>
      </w:r>
    </w:p>
    <w:p w:rsidR="007A444A" w:rsidRDefault="006A71A7" w:rsidP="00C15231">
      <w:pPr>
        <w:rPr>
          <w:bCs/>
        </w:rPr>
      </w:pPr>
      <w:r w:rsidRPr="00131F0A">
        <w:rPr>
          <w:bCs/>
        </w:rPr>
        <w:t xml:space="preserve">The Agency </w:t>
      </w:r>
      <w:r w:rsidR="00312F6B" w:rsidRPr="00131F0A">
        <w:rPr>
          <w:bCs/>
        </w:rPr>
        <w:t>has the opportunity to</w:t>
      </w:r>
      <w:r w:rsidRPr="00633370">
        <w:rPr>
          <w:bCs/>
        </w:rPr>
        <w:t xml:space="preserve"> </w:t>
      </w:r>
      <w:r w:rsidR="00AB18FC" w:rsidRPr="00633370">
        <w:rPr>
          <w:bCs/>
        </w:rPr>
        <w:t>create</w:t>
      </w:r>
      <w:r w:rsidR="004726AD" w:rsidRPr="00633370">
        <w:rPr>
          <w:bCs/>
        </w:rPr>
        <w:t xml:space="preserve"> a conduit for innovation by providing</w:t>
      </w:r>
      <w:r w:rsidR="00312F6B" w:rsidRPr="00633370">
        <w:t xml:space="preserve"> clear signals on</w:t>
      </w:r>
      <w:r w:rsidR="003D064B" w:rsidRPr="00633370">
        <w:t xml:space="preserve"> </w:t>
      </w:r>
      <w:r w:rsidR="00255962" w:rsidRPr="00633370">
        <w:t xml:space="preserve">market </w:t>
      </w:r>
      <w:r w:rsidR="003D064B" w:rsidRPr="00633370">
        <w:t>challenges</w:t>
      </w:r>
      <w:r w:rsidR="00312F6B" w:rsidRPr="00633370">
        <w:t>,</w:t>
      </w:r>
      <w:r w:rsidR="003D064B" w:rsidRPr="00633370">
        <w:t xml:space="preserve"> supply gaps </w:t>
      </w:r>
      <w:r w:rsidR="00312F6B" w:rsidRPr="00633370">
        <w:t xml:space="preserve">and opportunities </w:t>
      </w:r>
      <w:r w:rsidR="004726AD" w:rsidRPr="00633370">
        <w:t>that</w:t>
      </w:r>
      <w:r w:rsidR="00665380" w:rsidRPr="00633370">
        <w:t xml:space="preserve"> </w:t>
      </w:r>
      <w:r w:rsidR="003D064B" w:rsidRPr="00633370">
        <w:t>stimulate disability-specific innovation</w:t>
      </w:r>
      <w:r w:rsidR="00665380" w:rsidRPr="00633370">
        <w:t xml:space="preserve"> and potentially attract new market entrants. </w:t>
      </w:r>
      <w:r w:rsidR="00665380" w:rsidRPr="00633370">
        <w:rPr>
          <w:bCs/>
        </w:rPr>
        <w:t xml:space="preserve">Timely, accurate </w:t>
      </w:r>
      <w:r w:rsidR="007A444A" w:rsidRPr="00633370">
        <w:rPr>
          <w:bCs/>
        </w:rPr>
        <w:t xml:space="preserve">market information </w:t>
      </w:r>
      <w:r w:rsidR="00665380" w:rsidRPr="00633370">
        <w:rPr>
          <w:bCs/>
        </w:rPr>
        <w:t>will allow</w:t>
      </w:r>
      <w:r w:rsidR="00CA7BE4" w:rsidRPr="00633370">
        <w:rPr>
          <w:bCs/>
        </w:rPr>
        <w:t xml:space="preserve"> </w:t>
      </w:r>
      <w:r w:rsidR="00385329" w:rsidRPr="00633370">
        <w:rPr>
          <w:bCs/>
        </w:rPr>
        <w:t xml:space="preserve">existing </w:t>
      </w:r>
      <w:r w:rsidR="00CA7BE4" w:rsidRPr="00633370">
        <w:rPr>
          <w:bCs/>
        </w:rPr>
        <w:t xml:space="preserve">suppliers </w:t>
      </w:r>
      <w:r w:rsidR="00665380" w:rsidRPr="00633370">
        <w:rPr>
          <w:bCs/>
        </w:rPr>
        <w:t xml:space="preserve">and market entrants </w:t>
      </w:r>
      <w:r w:rsidR="00CA7BE4" w:rsidRPr="00633370">
        <w:rPr>
          <w:bCs/>
        </w:rPr>
        <w:t xml:space="preserve">to target their </w:t>
      </w:r>
      <w:r w:rsidR="00665380" w:rsidRPr="00633370">
        <w:rPr>
          <w:bCs/>
        </w:rPr>
        <w:t>products</w:t>
      </w:r>
      <w:r w:rsidR="00CA7BE4" w:rsidRPr="00633370">
        <w:rPr>
          <w:bCs/>
        </w:rPr>
        <w:t xml:space="preserve"> and services </w:t>
      </w:r>
      <w:r w:rsidR="00E24BAC" w:rsidRPr="00633370">
        <w:rPr>
          <w:bCs/>
        </w:rPr>
        <w:t xml:space="preserve">more </w:t>
      </w:r>
      <w:r w:rsidR="00665380" w:rsidRPr="00633370">
        <w:rPr>
          <w:bCs/>
        </w:rPr>
        <w:t>closely to particular needs and market segments</w:t>
      </w:r>
      <w:r w:rsidR="00CA7BE4" w:rsidRPr="00633370">
        <w:rPr>
          <w:bCs/>
        </w:rPr>
        <w:t>.</w:t>
      </w:r>
      <w:r w:rsidR="00665380" w:rsidRPr="00633370">
        <w:rPr>
          <w:bCs/>
        </w:rPr>
        <w:t xml:space="preserve"> </w:t>
      </w:r>
      <w:r w:rsidR="00624B3E">
        <w:rPr>
          <w:bCs/>
        </w:rPr>
        <w:t>Good</w:t>
      </w:r>
      <w:r w:rsidR="00665380" w:rsidRPr="00633370">
        <w:rPr>
          <w:bCs/>
        </w:rPr>
        <w:t xml:space="preserve"> information on market</w:t>
      </w:r>
      <w:r w:rsidR="007D52C0" w:rsidRPr="00633370">
        <w:rPr>
          <w:bCs/>
        </w:rPr>
        <w:t xml:space="preserve"> potential </w:t>
      </w:r>
      <w:r w:rsidR="00665380" w:rsidRPr="00633370">
        <w:rPr>
          <w:bCs/>
        </w:rPr>
        <w:t xml:space="preserve">is likely to capture the interest of suppliers </w:t>
      </w:r>
      <w:r w:rsidR="00624B3E">
        <w:rPr>
          <w:bCs/>
        </w:rPr>
        <w:t>in</w:t>
      </w:r>
      <w:r w:rsidR="00624B3E" w:rsidRPr="00633370">
        <w:rPr>
          <w:bCs/>
        </w:rPr>
        <w:t xml:space="preserve"> </w:t>
      </w:r>
      <w:r w:rsidR="007D52C0" w:rsidRPr="00633370">
        <w:rPr>
          <w:bCs/>
        </w:rPr>
        <w:t>mainstream markets</w:t>
      </w:r>
      <w:r w:rsidR="00624B3E">
        <w:rPr>
          <w:bCs/>
        </w:rPr>
        <w:t>,</w:t>
      </w:r>
      <w:r w:rsidR="007D52C0" w:rsidRPr="00633370">
        <w:rPr>
          <w:bCs/>
        </w:rPr>
        <w:t xml:space="preserve"> </w:t>
      </w:r>
      <w:r w:rsidR="00665380" w:rsidRPr="00633370">
        <w:rPr>
          <w:bCs/>
        </w:rPr>
        <w:t xml:space="preserve">whose products and services </w:t>
      </w:r>
      <w:r w:rsidR="00D86FB0" w:rsidRPr="00633370">
        <w:rPr>
          <w:bCs/>
        </w:rPr>
        <w:t>could be of value in the disability sector with minimal or no changes to functionality. This type of market-led innovation will generate significant value for scheme participants and the Agency</w:t>
      </w:r>
      <w:r w:rsidR="007D52C0" w:rsidRPr="00633370">
        <w:rPr>
          <w:bCs/>
        </w:rPr>
        <w:t>.</w:t>
      </w:r>
    </w:p>
    <w:p w:rsidR="00A12C19" w:rsidRPr="00615598" w:rsidRDefault="00A12C19" w:rsidP="00615598">
      <w:pPr>
        <w:rPr>
          <w:rFonts w:cs="Arial"/>
          <w:b/>
          <w:bCs/>
          <w:i/>
        </w:rPr>
      </w:pPr>
      <w:r w:rsidRPr="00615598">
        <w:rPr>
          <w:rFonts w:cs="Arial"/>
          <w:b/>
          <w:bCs/>
          <w:i/>
        </w:rPr>
        <w:t>Public bodies capturing &amp; disseminating information</w:t>
      </w:r>
    </w:p>
    <w:p w:rsidR="00A12C19" w:rsidRDefault="00D62AA9" w:rsidP="00C15231">
      <w:pPr>
        <w:rPr>
          <w:bCs/>
        </w:rPr>
      </w:pPr>
      <w:r>
        <w:rPr>
          <w:noProof/>
          <w:lang w:val="en-AU" w:eastAsia="en-AU"/>
        </w:rPr>
        <mc:AlternateContent>
          <mc:Choice Requires="wps">
            <w:drawing>
              <wp:anchor distT="0" distB="0" distL="114300" distR="114300" simplePos="0" relativeHeight="251682816" behindDoc="1" locked="0" layoutInCell="1" allowOverlap="1" wp14:anchorId="2470E3A0" wp14:editId="19D93563">
                <wp:simplePos x="0" y="0"/>
                <wp:positionH relativeFrom="column">
                  <wp:posOffset>0</wp:posOffset>
                </wp:positionH>
                <wp:positionV relativeFrom="paragraph">
                  <wp:posOffset>614045</wp:posOffset>
                </wp:positionV>
                <wp:extent cx="3038475" cy="4762500"/>
                <wp:effectExtent l="0" t="0" r="9525" b="0"/>
                <wp:wrapTight wrapText="bothSides">
                  <wp:wrapPolygon edited="0">
                    <wp:start x="0" y="0"/>
                    <wp:lineTo x="0" y="21514"/>
                    <wp:lineTo x="21532" y="21514"/>
                    <wp:lineTo x="21532"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8475" cy="4762500"/>
                        </a:xfrm>
                        <a:prstGeom prst="rect">
                          <a:avLst/>
                        </a:prstGeom>
                        <a:solidFill>
                          <a:schemeClr val="bg1">
                            <a:lumMod val="75000"/>
                          </a:schemeClr>
                        </a:solidFill>
                        <a:ln>
                          <a:noFill/>
                        </a:ln>
                        <a:effectLst/>
                        <a:extLst/>
                      </wps:spPr>
                      <wps:style>
                        <a:lnRef idx="0">
                          <a:schemeClr val="accent1"/>
                        </a:lnRef>
                        <a:fillRef idx="0">
                          <a:schemeClr val="accent1"/>
                        </a:fillRef>
                        <a:effectRef idx="0">
                          <a:schemeClr val="accent1"/>
                        </a:effectRef>
                        <a:fontRef idx="minor">
                          <a:schemeClr val="dk1"/>
                        </a:fontRef>
                      </wps:style>
                      <wps:txbx>
                        <w:txbxContent>
                          <w:p w:rsidR="00AA75D5" w:rsidRPr="00CE2C9A" w:rsidRDefault="00AA75D5">
                            <w:pPr>
                              <w:rPr>
                                <w:rFonts w:asciiTheme="majorHAnsi" w:hAnsiTheme="majorHAnsi"/>
                                <w:b/>
                                <w:sz w:val="18"/>
                                <w:szCs w:val="18"/>
                              </w:rPr>
                            </w:pPr>
                            <w:r w:rsidRPr="00CE2C9A">
                              <w:rPr>
                                <w:rFonts w:asciiTheme="majorHAnsi" w:hAnsiTheme="majorHAnsi"/>
                                <w:b/>
                                <w:sz w:val="18"/>
                                <w:szCs w:val="18"/>
                              </w:rPr>
                              <w:t xml:space="preserve">Example: </w:t>
                            </w:r>
                            <w:r>
                              <w:rPr>
                                <w:rFonts w:asciiTheme="majorHAnsi" w:hAnsiTheme="majorHAnsi"/>
                                <w:b/>
                                <w:sz w:val="18"/>
                                <w:szCs w:val="18"/>
                              </w:rPr>
                              <w:t>Return on innovation investment</w:t>
                            </w:r>
                          </w:p>
                          <w:p w:rsidR="00AA75D5" w:rsidRPr="00AF7391" w:rsidRDefault="00AA75D5" w:rsidP="00AF7391">
                            <w:pPr>
                              <w:rPr>
                                <w:rFonts w:asciiTheme="majorHAnsi" w:hAnsiTheme="majorHAnsi"/>
                                <w:sz w:val="18"/>
                                <w:szCs w:val="18"/>
                                <w:lang w:val="en-AU"/>
                              </w:rPr>
                            </w:pPr>
                            <w:r w:rsidRPr="00CE2C9A">
                              <w:rPr>
                                <w:rFonts w:asciiTheme="majorHAnsi" w:hAnsiTheme="majorHAnsi"/>
                                <w:bCs/>
                                <w:sz w:val="18"/>
                                <w:szCs w:val="18"/>
                                <w:lang w:val="en-AU"/>
                              </w:rPr>
                              <w:t>A</w:t>
                            </w:r>
                            <w:r>
                              <w:rPr>
                                <w:rFonts w:asciiTheme="majorHAnsi" w:hAnsiTheme="majorHAnsi"/>
                                <w:b/>
                                <w:bCs/>
                                <w:sz w:val="18"/>
                                <w:szCs w:val="18"/>
                                <w:lang w:val="en-AU"/>
                              </w:rPr>
                              <w:t xml:space="preserve"> </w:t>
                            </w:r>
                            <w:r>
                              <w:rPr>
                                <w:rFonts w:asciiTheme="majorHAnsi" w:hAnsiTheme="majorHAnsi"/>
                                <w:sz w:val="18"/>
                                <w:szCs w:val="18"/>
                                <w:lang w:val="en-AU"/>
                              </w:rPr>
                              <w:t>30-year-</w:t>
                            </w:r>
                            <w:r w:rsidRPr="00AF7391">
                              <w:rPr>
                                <w:rFonts w:asciiTheme="majorHAnsi" w:hAnsiTheme="majorHAnsi"/>
                                <w:sz w:val="18"/>
                                <w:szCs w:val="18"/>
                                <w:lang w:val="en-AU"/>
                              </w:rPr>
                              <w:t>old ma</w:t>
                            </w:r>
                            <w:r>
                              <w:rPr>
                                <w:rFonts w:asciiTheme="majorHAnsi" w:hAnsiTheme="majorHAnsi"/>
                                <w:sz w:val="18"/>
                                <w:szCs w:val="18"/>
                                <w:lang w:val="en-AU"/>
                              </w:rPr>
                              <w:t>le with high-level paraplegia n</w:t>
                            </w:r>
                            <w:r w:rsidRPr="00AF7391">
                              <w:rPr>
                                <w:rFonts w:asciiTheme="majorHAnsi" w:hAnsiTheme="majorHAnsi"/>
                                <w:sz w:val="18"/>
                                <w:szCs w:val="18"/>
                                <w:lang w:val="en-AU"/>
                              </w:rPr>
                              <w:t xml:space="preserve">eeds to stand to participate in </w:t>
                            </w:r>
                            <w:r>
                              <w:rPr>
                                <w:rFonts w:asciiTheme="majorHAnsi" w:hAnsiTheme="majorHAnsi"/>
                                <w:sz w:val="18"/>
                                <w:szCs w:val="18"/>
                                <w:lang w:val="en-AU"/>
                              </w:rPr>
                              <w:t xml:space="preserve">twice-weekly </w:t>
                            </w:r>
                            <w:r w:rsidRPr="00AF7391">
                              <w:rPr>
                                <w:rFonts w:asciiTheme="majorHAnsi" w:hAnsiTheme="majorHAnsi"/>
                                <w:sz w:val="18"/>
                                <w:szCs w:val="18"/>
                                <w:lang w:val="en-AU"/>
                              </w:rPr>
                              <w:t xml:space="preserve">vocational training. </w:t>
                            </w:r>
                            <w:r>
                              <w:rPr>
                                <w:rFonts w:asciiTheme="majorHAnsi" w:hAnsiTheme="majorHAnsi"/>
                                <w:sz w:val="18"/>
                                <w:szCs w:val="18"/>
                                <w:lang w:val="en-AU"/>
                              </w:rPr>
                              <w:t>He n</w:t>
                            </w:r>
                            <w:r w:rsidRPr="00AF7391">
                              <w:rPr>
                                <w:rFonts w:asciiTheme="majorHAnsi" w:hAnsiTheme="majorHAnsi"/>
                                <w:sz w:val="18"/>
                                <w:szCs w:val="18"/>
                                <w:lang w:val="en-AU"/>
                              </w:rPr>
                              <w:t xml:space="preserve">eeds </w:t>
                            </w:r>
                            <w:r>
                              <w:rPr>
                                <w:rFonts w:asciiTheme="majorHAnsi" w:hAnsiTheme="majorHAnsi"/>
                                <w:sz w:val="18"/>
                                <w:szCs w:val="18"/>
                                <w:lang w:val="en-AU"/>
                              </w:rPr>
                              <w:t xml:space="preserve">3 hours a week from </w:t>
                            </w:r>
                            <w:r w:rsidRPr="00AF7391">
                              <w:rPr>
                                <w:rFonts w:asciiTheme="majorHAnsi" w:hAnsiTheme="majorHAnsi"/>
                                <w:sz w:val="18"/>
                                <w:szCs w:val="18"/>
                                <w:lang w:val="en-AU"/>
                              </w:rPr>
                              <w:t>a carer to support</w:t>
                            </w:r>
                            <w:r>
                              <w:rPr>
                                <w:rFonts w:asciiTheme="majorHAnsi" w:hAnsiTheme="majorHAnsi"/>
                                <w:sz w:val="18"/>
                                <w:szCs w:val="18"/>
                                <w:lang w:val="en-AU"/>
                              </w:rPr>
                              <w:t xml:space="preserve"> the training.</w:t>
                            </w:r>
                          </w:p>
                          <w:p w:rsidR="00AA75D5" w:rsidRDefault="00AA75D5" w:rsidP="00AF7391">
                            <w:pPr>
                              <w:rPr>
                                <w:rFonts w:asciiTheme="majorHAnsi" w:hAnsiTheme="majorHAnsi"/>
                                <w:sz w:val="18"/>
                                <w:szCs w:val="18"/>
                                <w:lang w:val="en-AU"/>
                              </w:rPr>
                            </w:pPr>
                            <w:r w:rsidRPr="00AF7391">
                              <w:rPr>
                                <w:rFonts w:asciiTheme="majorHAnsi" w:hAnsiTheme="majorHAnsi"/>
                                <w:sz w:val="18"/>
                                <w:szCs w:val="18"/>
                                <w:lang w:val="en-AU"/>
                              </w:rPr>
                              <w:t>OT assessment identifie</w:t>
                            </w:r>
                            <w:r>
                              <w:rPr>
                                <w:rFonts w:asciiTheme="majorHAnsi" w:hAnsiTheme="majorHAnsi"/>
                                <w:sz w:val="18"/>
                                <w:szCs w:val="18"/>
                                <w:lang w:val="en-AU"/>
                              </w:rPr>
                              <w:t xml:space="preserve">d </w:t>
                            </w:r>
                            <w:r w:rsidRPr="00AF7391">
                              <w:rPr>
                                <w:rFonts w:asciiTheme="majorHAnsi" w:hAnsiTheme="majorHAnsi"/>
                                <w:sz w:val="18"/>
                                <w:szCs w:val="18"/>
                                <w:lang w:val="en-AU"/>
                              </w:rPr>
                              <w:t>a standing wheelchair</w:t>
                            </w:r>
                            <w:r>
                              <w:rPr>
                                <w:rFonts w:asciiTheme="majorHAnsi" w:hAnsiTheme="majorHAnsi"/>
                                <w:sz w:val="18"/>
                                <w:szCs w:val="18"/>
                                <w:lang w:val="en-AU"/>
                              </w:rPr>
                              <w:t xml:space="preserve"> as an alternative.  The trial</w:t>
                            </w:r>
                            <w:r w:rsidRPr="00AF7391">
                              <w:rPr>
                                <w:rFonts w:asciiTheme="majorHAnsi" w:hAnsiTheme="majorHAnsi"/>
                                <w:sz w:val="18"/>
                                <w:szCs w:val="18"/>
                                <w:lang w:val="en-AU"/>
                              </w:rPr>
                              <w:t xml:space="preserve"> of </w:t>
                            </w:r>
                            <w:r>
                              <w:rPr>
                                <w:rFonts w:asciiTheme="majorHAnsi" w:hAnsiTheme="majorHAnsi"/>
                                <w:sz w:val="18"/>
                                <w:szCs w:val="18"/>
                                <w:lang w:val="en-AU"/>
                              </w:rPr>
                              <w:t xml:space="preserve">the </w:t>
                            </w:r>
                            <w:r w:rsidRPr="00AF7391">
                              <w:rPr>
                                <w:rFonts w:asciiTheme="majorHAnsi" w:hAnsiTheme="majorHAnsi"/>
                                <w:sz w:val="18"/>
                                <w:szCs w:val="18"/>
                                <w:lang w:val="en-AU"/>
                              </w:rPr>
                              <w:t>chair</w:t>
                            </w:r>
                            <w:r>
                              <w:rPr>
                                <w:rFonts w:asciiTheme="majorHAnsi" w:hAnsiTheme="majorHAnsi"/>
                                <w:sz w:val="18"/>
                                <w:szCs w:val="18"/>
                                <w:lang w:val="en-AU"/>
                              </w:rPr>
                              <w:t>, which required a $32,000 investment,</w:t>
                            </w:r>
                            <w:r w:rsidRPr="00AF7391">
                              <w:rPr>
                                <w:rFonts w:asciiTheme="majorHAnsi" w:hAnsiTheme="majorHAnsi"/>
                                <w:sz w:val="18"/>
                                <w:szCs w:val="18"/>
                                <w:lang w:val="en-AU"/>
                              </w:rPr>
                              <w:t xml:space="preserve"> has been successful</w:t>
                            </w:r>
                            <w:r>
                              <w:rPr>
                                <w:rFonts w:asciiTheme="majorHAnsi" w:hAnsiTheme="majorHAnsi"/>
                                <w:sz w:val="18"/>
                                <w:szCs w:val="18"/>
                                <w:lang w:val="en-AU"/>
                              </w:rPr>
                              <w:t xml:space="preserve">. </w:t>
                            </w:r>
                          </w:p>
                          <w:p w:rsidR="00AA75D5" w:rsidRDefault="00AA75D5" w:rsidP="00AF7391">
                            <w:pPr>
                              <w:rPr>
                                <w:rFonts w:asciiTheme="majorHAnsi" w:hAnsiTheme="majorHAnsi"/>
                                <w:sz w:val="18"/>
                                <w:szCs w:val="18"/>
                                <w:lang w:val="en-AU"/>
                              </w:rPr>
                            </w:pPr>
                            <w:r>
                              <w:rPr>
                                <w:rFonts w:asciiTheme="majorHAnsi" w:hAnsiTheme="majorHAnsi"/>
                                <w:sz w:val="18"/>
                                <w:szCs w:val="18"/>
                                <w:lang w:val="en-AU"/>
                              </w:rPr>
                              <w:t>The participant has improved health, social, economic and quality of life outcomes. He no longer needs personal supports ($120 a week), standing frame replacement ($5,000) or some home modifications ($8,000). Breakeven in terms of return on investment was reached in around 3 years, after which the savings to age 60 are projected to be substantial</w:t>
                            </w:r>
                            <w:r w:rsidR="00FA7094">
                              <w:rPr>
                                <w:rFonts w:asciiTheme="majorHAnsi" w:hAnsiTheme="majorHAnsi"/>
                                <w:sz w:val="18"/>
                                <w:szCs w:val="18"/>
                                <w:lang w:val="en-AU"/>
                              </w:rPr>
                              <w:t>.</w:t>
                            </w:r>
                            <w:r>
                              <w:rPr>
                                <w:rFonts w:asciiTheme="majorHAnsi" w:hAnsiTheme="majorHAnsi"/>
                                <w:sz w:val="18"/>
                                <w:szCs w:val="18"/>
                                <w:lang w:val="en-AU"/>
                              </w:rPr>
                              <w:t xml:space="preserve"> </w:t>
                            </w:r>
                          </w:p>
                          <w:p w:rsidR="00AA75D5" w:rsidRDefault="00AA75D5">
                            <w:pPr>
                              <w:rPr>
                                <w:rFonts w:asciiTheme="majorHAnsi" w:hAnsiTheme="majorHAnsi"/>
                                <w:sz w:val="14"/>
                                <w:szCs w:val="14"/>
                              </w:rPr>
                            </w:pPr>
                            <w:r w:rsidRPr="0098291E">
                              <w:rPr>
                                <w:noProof/>
                                <w:lang w:val="en-AU" w:eastAsia="en-AU"/>
                              </w:rPr>
                              <w:drawing>
                                <wp:inline distT="0" distB="0" distL="0" distR="0" wp14:anchorId="08D1B4CF" wp14:editId="70122B0F">
                                  <wp:extent cx="2779395" cy="2246360"/>
                                  <wp:effectExtent l="19050" t="19050" r="20955"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9395" cy="2246360"/>
                                          </a:xfrm>
                                          <a:prstGeom prst="rect">
                                            <a:avLst/>
                                          </a:prstGeom>
                                          <a:noFill/>
                                          <a:ln w="3175">
                                            <a:solidFill>
                                              <a:schemeClr val="accent1"/>
                                            </a:solidFill>
                                          </a:ln>
                                        </pic:spPr>
                                      </pic:pic>
                                    </a:graphicData>
                                  </a:graphic>
                                </wp:inline>
                              </w:drawing>
                            </w:r>
                          </w:p>
                          <w:p w:rsidR="00AA75D5" w:rsidRPr="00080759" w:rsidRDefault="00AA75D5">
                            <w:r w:rsidRPr="00BC53AE">
                              <w:rPr>
                                <w:rFonts w:asciiTheme="majorHAnsi" w:hAnsiTheme="majorHAnsi"/>
                                <w:sz w:val="14"/>
                                <w:szCs w:val="14"/>
                              </w:rPr>
                              <w:t>Source: NDIA Scheme Actuary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6" type="#_x0000_t202" style="position:absolute;margin-left:0;margin-top:48.35pt;width:239.25pt;height: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" fillcolor="#bfbfbf [2412]" stroked="f">
                <v:path arrowok="t"/>
                <v:textbox>
                  <w:txbxContent>
                    <w:p w:rsidR="00AA75D5" w:rsidRPr="00CE2C9A" w:rsidRDefault="00AA75D5">
                      <w:pPr>
                        <w:rPr>
                          <w:rFonts w:asciiTheme="majorHAnsi" w:hAnsiTheme="majorHAnsi"/>
                          <w:b/>
                          <w:sz w:val="18"/>
                          <w:szCs w:val="18"/>
                        </w:rPr>
                      </w:pPr>
                      <w:r w:rsidRPr="00CE2C9A">
                        <w:rPr>
                          <w:rFonts w:asciiTheme="majorHAnsi" w:hAnsiTheme="majorHAnsi"/>
                          <w:b/>
                          <w:sz w:val="18"/>
                          <w:szCs w:val="18"/>
                        </w:rPr>
                        <w:t xml:space="preserve">Example: </w:t>
                      </w:r>
                      <w:r>
                        <w:rPr>
                          <w:rFonts w:asciiTheme="majorHAnsi" w:hAnsiTheme="majorHAnsi"/>
                          <w:b/>
                          <w:sz w:val="18"/>
                          <w:szCs w:val="18"/>
                        </w:rPr>
                        <w:t>Return on innovation investment</w:t>
                      </w:r>
                    </w:p>
                    <w:p w:rsidR="00AA75D5" w:rsidRPr="00AF7391" w:rsidRDefault="00AA75D5" w:rsidP="00AF7391">
                      <w:pPr>
                        <w:rPr>
                          <w:rFonts w:asciiTheme="majorHAnsi" w:hAnsiTheme="majorHAnsi"/>
                          <w:sz w:val="18"/>
                          <w:szCs w:val="18"/>
                          <w:lang w:val="en-AU"/>
                        </w:rPr>
                      </w:pPr>
                      <w:r w:rsidRPr="00CE2C9A">
                        <w:rPr>
                          <w:rFonts w:asciiTheme="majorHAnsi" w:hAnsiTheme="majorHAnsi"/>
                          <w:bCs/>
                          <w:sz w:val="18"/>
                          <w:szCs w:val="18"/>
                          <w:lang w:val="en-AU"/>
                        </w:rPr>
                        <w:t>A</w:t>
                      </w:r>
                      <w:r>
                        <w:rPr>
                          <w:rFonts w:asciiTheme="majorHAnsi" w:hAnsiTheme="majorHAnsi"/>
                          <w:b/>
                          <w:bCs/>
                          <w:sz w:val="18"/>
                          <w:szCs w:val="18"/>
                          <w:lang w:val="en-AU"/>
                        </w:rPr>
                        <w:t xml:space="preserve"> </w:t>
                      </w:r>
                      <w:r>
                        <w:rPr>
                          <w:rFonts w:asciiTheme="majorHAnsi" w:hAnsiTheme="majorHAnsi"/>
                          <w:sz w:val="18"/>
                          <w:szCs w:val="18"/>
                          <w:lang w:val="en-AU"/>
                        </w:rPr>
                        <w:t>30-year-</w:t>
                      </w:r>
                      <w:r w:rsidRPr="00AF7391">
                        <w:rPr>
                          <w:rFonts w:asciiTheme="majorHAnsi" w:hAnsiTheme="majorHAnsi"/>
                          <w:sz w:val="18"/>
                          <w:szCs w:val="18"/>
                          <w:lang w:val="en-AU"/>
                        </w:rPr>
                        <w:t>old ma</w:t>
                      </w:r>
                      <w:r>
                        <w:rPr>
                          <w:rFonts w:asciiTheme="majorHAnsi" w:hAnsiTheme="majorHAnsi"/>
                          <w:sz w:val="18"/>
                          <w:szCs w:val="18"/>
                          <w:lang w:val="en-AU"/>
                        </w:rPr>
                        <w:t>le with high-level paraplegia n</w:t>
                      </w:r>
                      <w:r w:rsidRPr="00AF7391">
                        <w:rPr>
                          <w:rFonts w:asciiTheme="majorHAnsi" w:hAnsiTheme="majorHAnsi"/>
                          <w:sz w:val="18"/>
                          <w:szCs w:val="18"/>
                          <w:lang w:val="en-AU"/>
                        </w:rPr>
                        <w:t xml:space="preserve">eeds to stand to participate in </w:t>
                      </w:r>
                      <w:r>
                        <w:rPr>
                          <w:rFonts w:asciiTheme="majorHAnsi" w:hAnsiTheme="majorHAnsi"/>
                          <w:sz w:val="18"/>
                          <w:szCs w:val="18"/>
                          <w:lang w:val="en-AU"/>
                        </w:rPr>
                        <w:t xml:space="preserve">twice-weekly </w:t>
                      </w:r>
                      <w:r w:rsidRPr="00AF7391">
                        <w:rPr>
                          <w:rFonts w:asciiTheme="majorHAnsi" w:hAnsiTheme="majorHAnsi"/>
                          <w:sz w:val="18"/>
                          <w:szCs w:val="18"/>
                          <w:lang w:val="en-AU"/>
                        </w:rPr>
                        <w:t xml:space="preserve">vocational training. </w:t>
                      </w:r>
                      <w:r>
                        <w:rPr>
                          <w:rFonts w:asciiTheme="majorHAnsi" w:hAnsiTheme="majorHAnsi"/>
                          <w:sz w:val="18"/>
                          <w:szCs w:val="18"/>
                          <w:lang w:val="en-AU"/>
                        </w:rPr>
                        <w:t>He n</w:t>
                      </w:r>
                      <w:r w:rsidRPr="00AF7391">
                        <w:rPr>
                          <w:rFonts w:asciiTheme="majorHAnsi" w:hAnsiTheme="majorHAnsi"/>
                          <w:sz w:val="18"/>
                          <w:szCs w:val="18"/>
                          <w:lang w:val="en-AU"/>
                        </w:rPr>
                        <w:t xml:space="preserve">eeds </w:t>
                      </w:r>
                      <w:r>
                        <w:rPr>
                          <w:rFonts w:asciiTheme="majorHAnsi" w:hAnsiTheme="majorHAnsi"/>
                          <w:sz w:val="18"/>
                          <w:szCs w:val="18"/>
                          <w:lang w:val="en-AU"/>
                        </w:rPr>
                        <w:t xml:space="preserve">3 hours a week from </w:t>
                      </w:r>
                      <w:r w:rsidRPr="00AF7391">
                        <w:rPr>
                          <w:rFonts w:asciiTheme="majorHAnsi" w:hAnsiTheme="majorHAnsi"/>
                          <w:sz w:val="18"/>
                          <w:szCs w:val="18"/>
                          <w:lang w:val="en-AU"/>
                        </w:rPr>
                        <w:t>a carer to support</w:t>
                      </w:r>
                      <w:r>
                        <w:rPr>
                          <w:rFonts w:asciiTheme="majorHAnsi" w:hAnsiTheme="majorHAnsi"/>
                          <w:sz w:val="18"/>
                          <w:szCs w:val="18"/>
                          <w:lang w:val="en-AU"/>
                        </w:rPr>
                        <w:t xml:space="preserve"> the training.</w:t>
                      </w:r>
                    </w:p>
                    <w:p w:rsidR="00AA75D5" w:rsidRDefault="00AA75D5" w:rsidP="00AF7391">
                      <w:pPr>
                        <w:rPr>
                          <w:rFonts w:asciiTheme="majorHAnsi" w:hAnsiTheme="majorHAnsi"/>
                          <w:sz w:val="18"/>
                          <w:szCs w:val="18"/>
                          <w:lang w:val="en-AU"/>
                        </w:rPr>
                      </w:pPr>
                      <w:r w:rsidRPr="00AF7391">
                        <w:rPr>
                          <w:rFonts w:asciiTheme="majorHAnsi" w:hAnsiTheme="majorHAnsi"/>
                          <w:sz w:val="18"/>
                          <w:szCs w:val="18"/>
                          <w:lang w:val="en-AU"/>
                        </w:rPr>
                        <w:t>OT assessment identifie</w:t>
                      </w:r>
                      <w:r>
                        <w:rPr>
                          <w:rFonts w:asciiTheme="majorHAnsi" w:hAnsiTheme="majorHAnsi"/>
                          <w:sz w:val="18"/>
                          <w:szCs w:val="18"/>
                          <w:lang w:val="en-AU"/>
                        </w:rPr>
                        <w:t xml:space="preserve">d </w:t>
                      </w:r>
                      <w:r w:rsidRPr="00AF7391">
                        <w:rPr>
                          <w:rFonts w:asciiTheme="majorHAnsi" w:hAnsiTheme="majorHAnsi"/>
                          <w:sz w:val="18"/>
                          <w:szCs w:val="18"/>
                          <w:lang w:val="en-AU"/>
                        </w:rPr>
                        <w:t>a standing wheelchair</w:t>
                      </w:r>
                      <w:r>
                        <w:rPr>
                          <w:rFonts w:asciiTheme="majorHAnsi" w:hAnsiTheme="majorHAnsi"/>
                          <w:sz w:val="18"/>
                          <w:szCs w:val="18"/>
                          <w:lang w:val="en-AU"/>
                        </w:rPr>
                        <w:t xml:space="preserve"> as an alternative.  The trial</w:t>
                      </w:r>
                      <w:r w:rsidRPr="00AF7391">
                        <w:rPr>
                          <w:rFonts w:asciiTheme="majorHAnsi" w:hAnsiTheme="majorHAnsi"/>
                          <w:sz w:val="18"/>
                          <w:szCs w:val="18"/>
                          <w:lang w:val="en-AU"/>
                        </w:rPr>
                        <w:t xml:space="preserve"> of </w:t>
                      </w:r>
                      <w:r>
                        <w:rPr>
                          <w:rFonts w:asciiTheme="majorHAnsi" w:hAnsiTheme="majorHAnsi"/>
                          <w:sz w:val="18"/>
                          <w:szCs w:val="18"/>
                          <w:lang w:val="en-AU"/>
                        </w:rPr>
                        <w:t xml:space="preserve">the </w:t>
                      </w:r>
                      <w:r w:rsidRPr="00AF7391">
                        <w:rPr>
                          <w:rFonts w:asciiTheme="majorHAnsi" w:hAnsiTheme="majorHAnsi"/>
                          <w:sz w:val="18"/>
                          <w:szCs w:val="18"/>
                          <w:lang w:val="en-AU"/>
                        </w:rPr>
                        <w:t>chair</w:t>
                      </w:r>
                      <w:r>
                        <w:rPr>
                          <w:rFonts w:asciiTheme="majorHAnsi" w:hAnsiTheme="majorHAnsi"/>
                          <w:sz w:val="18"/>
                          <w:szCs w:val="18"/>
                          <w:lang w:val="en-AU"/>
                        </w:rPr>
                        <w:t>, which required a $32,000 investment,</w:t>
                      </w:r>
                      <w:r w:rsidRPr="00AF7391">
                        <w:rPr>
                          <w:rFonts w:asciiTheme="majorHAnsi" w:hAnsiTheme="majorHAnsi"/>
                          <w:sz w:val="18"/>
                          <w:szCs w:val="18"/>
                          <w:lang w:val="en-AU"/>
                        </w:rPr>
                        <w:t xml:space="preserve"> has been successful</w:t>
                      </w:r>
                      <w:r>
                        <w:rPr>
                          <w:rFonts w:asciiTheme="majorHAnsi" w:hAnsiTheme="majorHAnsi"/>
                          <w:sz w:val="18"/>
                          <w:szCs w:val="18"/>
                          <w:lang w:val="en-AU"/>
                        </w:rPr>
                        <w:t xml:space="preserve">. </w:t>
                      </w:r>
                    </w:p>
                    <w:p w:rsidR="00AA75D5" w:rsidRDefault="00AA75D5" w:rsidP="00AF7391">
                      <w:pPr>
                        <w:rPr>
                          <w:rFonts w:asciiTheme="majorHAnsi" w:hAnsiTheme="majorHAnsi"/>
                          <w:sz w:val="18"/>
                          <w:szCs w:val="18"/>
                          <w:lang w:val="en-AU"/>
                        </w:rPr>
                      </w:pPr>
                      <w:r>
                        <w:rPr>
                          <w:rFonts w:asciiTheme="majorHAnsi" w:hAnsiTheme="majorHAnsi"/>
                          <w:sz w:val="18"/>
                          <w:szCs w:val="18"/>
                          <w:lang w:val="en-AU"/>
                        </w:rPr>
                        <w:t>The participant has improved health, social, economic and quality of life outcomes. He no longer needs personal supports ($120 a week), standing frame replacement ($5,000) or some home modifications ($8,000). Breakeven in terms of return on investment was reached in around 3 years, after which the savings to age 60 are projected to be substantial</w:t>
                      </w:r>
                      <w:r w:rsidR="00FA7094">
                        <w:rPr>
                          <w:rFonts w:asciiTheme="majorHAnsi" w:hAnsiTheme="majorHAnsi"/>
                          <w:sz w:val="18"/>
                          <w:szCs w:val="18"/>
                          <w:lang w:val="en-AU"/>
                        </w:rPr>
                        <w:t>.</w:t>
                      </w:r>
                      <w:r>
                        <w:rPr>
                          <w:rFonts w:asciiTheme="majorHAnsi" w:hAnsiTheme="majorHAnsi"/>
                          <w:sz w:val="18"/>
                          <w:szCs w:val="18"/>
                          <w:lang w:val="en-AU"/>
                        </w:rPr>
                        <w:t xml:space="preserve"> </w:t>
                      </w:r>
                    </w:p>
                    <w:p w:rsidR="00AA75D5" w:rsidRDefault="00AA75D5">
                      <w:pPr>
                        <w:rPr>
                          <w:rFonts w:asciiTheme="majorHAnsi" w:hAnsiTheme="majorHAnsi"/>
                          <w:sz w:val="14"/>
                          <w:szCs w:val="14"/>
                        </w:rPr>
                      </w:pPr>
                      <w:r w:rsidRPr="0098291E">
                        <w:rPr>
                          <w:noProof/>
                          <w:lang w:val="en-AU" w:eastAsia="en-AU"/>
                        </w:rPr>
                        <w:drawing>
                          <wp:inline distT="0" distB="0" distL="0" distR="0" wp14:anchorId="08D1B4CF" wp14:editId="70122B0F">
                            <wp:extent cx="2779395" cy="2246360"/>
                            <wp:effectExtent l="19050" t="19050" r="20955"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9395" cy="2246360"/>
                                    </a:xfrm>
                                    <a:prstGeom prst="rect">
                                      <a:avLst/>
                                    </a:prstGeom>
                                    <a:noFill/>
                                    <a:ln w="3175">
                                      <a:solidFill>
                                        <a:schemeClr val="accent1"/>
                                      </a:solidFill>
                                    </a:ln>
                                  </pic:spPr>
                                </pic:pic>
                              </a:graphicData>
                            </a:graphic>
                          </wp:inline>
                        </w:drawing>
                      </w:r>
                    </w:p>
                    <w:p w:rsidR="00AA75D5" w:rsidRPr="00080759" w:rsidRDefault="00AA75D5">
                      <w:r w:rsidRPr="00BC53AE">
                        <w:rPr>
                          <w:rFonts w:asciiTheme="majorHAnsi" w:hAnsiTheme="majorHAnsi"/>
                          <w:sz w:val="14"/>
                          <w:szCs w:val="14"/>
                        </w:rPr>
                        <w:t>Source: NDIA Scheme Actuary</w:t>
                      </w:r>
                    </w:p>
                  </w:txbxContent>
                </v:textbox>
                <w10:wrap type="tight"/>
              </v:shape>
            </w:pict>
          </mc:Fallback>
        </mc:AlternateContent>
      </w:r>
      <w:r w:rsidR="00D86FB0" w:rsidRPr="00633370">
        <w:rPr>
          <w:bCs/>
        </w:rPr>
        <w:t xml:space="preserve">There are clear precedents for publicly funded bodies to capture and disseminate information to stimulate </w:t>
      </w:r>
      <w:r w:rsidR="004726AD" w:rsidRPr="00633370">
        <w:rPr>
          <w:bCs/>
        </w:rPr>
        <w:t>market innovation</w:t>
      </w:r>
      <w:r w:rsidR="00E46826" w:rsidRPr="00633370">
        <w:rPr>
          <w:bCs/>
        </w:rPr>
        <w:t xml:space="preserve">; examples include </w:t>
      </w:r>
      <w:r w:rsidR="00D86FB0" w:rsidRPr="00633370">
        <w:rPr>
          <w:bCs/>
        </w:rPr>
        <w:t>the</w:t>
      </w:r>
      <w:r w:rsidR="006B0EBD" w:rsidRPr="00633370">
        <w:rPr>
          <w:bCs/>
        </w:rPr>
        <w:t xml:space="preserve"> Australian Government’s Mineral and Energy Resource assessments</w:t>
      </w:r>
      <w:r w:rsidR="00D86FB0" w:rsidRPr="00633370">
        <w:rPr>
          <w:bCs/>
        </w:rPr>
        <w:t>,</w:t>
      </w:r>
      <w:r w:rsidR="006B0EBD" w:rsidRPr="00633370">
        <w:rPr>
          <w:bCs/>
        </w:rPr>
        <w:t xml:space="preserve"> </w:t>
      </w:r>
      <w:r w:rsidR="00D86FB0" w:rsidRPr="00633370">
        <w:rPr>
          <w:bCs/>
        </w:rPr>
        <w:t>data releases from</w:t>
      </w:r>
      <w:r w:rsidR="006A71A7" w:rsidRPr="00633370">
        <w:rPr>
          <w:bCs/>
        </w:rPr>
        <w:t xml:space="preserve"> the NSW Transport Data Exchange</w:t>
      </w:r>
      <w:r w:rsidR="00D86FB0" w:rsidRPr="00633370">
        <w:rPr>
          <w:bCs/>
        </w:rPr>
        <w:t xml:space="preserve"> and government-funded trade missions. </w:t>
      </w:r>
    </w:p>
    <w:p w:rsidR="009F12C8" w:rsidRDefault="00687C26" w:rsidP="00C15231">
      <w:pPr>
        <w:rPr>
          <w:bCs/>
        </w:rPr>
      </w:pPr>
      <w:r>
        <w:rPr>
          <w:bCs/>
        </w:rPr>
        <w:t xml:space="preserve">This </w:t>
      </w:r>
      <w:r w:rsidR="00D86FB0" w:rsidRPr="00633370">
        <w:rPr>
          <w:bCs/>
        </w:rPr>
        <w:t>type of m</w:t>
      </w:r>
      <w:r w:rsidR="006B0EBD" w:rsidRPr="00633370">
        <w:rPr>
          <w:bCs/>
        </w:rPr>
        <w:t xml:space="preserve">arket analysis </w:t>
      </w:r>
      <w:r w:rsidR="00D86FB0" w:rsidRPr="00633370">
        <w:rPr>
          <w:bCs/>
        </w:rPr>
        <w:t>is</w:t>
      </w:r>
      <w:r w:rsidR="00E24BAC" w:rsidRPr="00633370">
        <w:rPr>
          <w:bCs/>
        </w:rPr>
        <w:t xml:space="preserve"> </w:t>
      </w:r>
      <w:r w:rsidR="006B0EBD" w:rsidRPr="00633370">
        <w:rPr>
          <w:bCs/>
        </w:rPr>
        <w:t>under-developed in the disability sector</w:t>
      </w:r>
      <w:r w:rsidR="00D86FB0" w:rsidRPr="00633370">
        <w:rPr>
          <w:bCs/>
        </w:rPr>
        <w:t>—a simple comparison between</w:t>
      </w:r>
      <w:r w:rsidR="006B0EBD" w:rsidRPr="00633370">
        <w:rPr>
          <w:bCs/>
        </w:rPr>
        <w:t xml:space="preserve"> </w:t>
      </w:r>
      <w:r w:rsidR="003E37D1" w:rsidRPr="00633370">
        <w:rPr>
          <w:bCs/>
        </w:rPr>
        <w:t xml:space="preserve">Australian Institute of Health and Welfare (AIHW) </w:t>
      </w:r>
      <w:r w:rsidR="006B0EBD" w:rsidRPr="00633370">
        <w:rPr>
          <w:bCs/>
        </w:rPr>
        <w:t>statistics</w:t>
      </w:r>
      <w:r w:rsidR="003E37D1" w:rsidRPr="00633370">
        <w:rPr>
          <w:bCs/>
        </w:rPr>
        <w:t xml:space="preserve"> on disability</w:t>
      </w:r>
      <w:r w:rsidR="006B0EBD" w:rsidRPr="00633370">
        <w:rPr>
          <w:bCs/>
        </w:rPr>
        <w:t xml:space="preserve"> </w:t>
      </w:r>
      <w:r w:rsidR="00D86FB0" w:rsidRPr="00633370">
        <w:rPr>
          <w:bCs/>
        </w:rPr>
        <w:t xml:space="preserve">and </w:t>
      </w:r>
      <w:r w:rsidR="006B0EBD" w:rsidRPr="00633370">
        <w:rPr>
          <w:bCs/>
        </w:rPr>
        <w:t>Bl</w:t>
      </w:r>
      <w:r w:rsidR="00E24BAC" w:rsidRPr="00633370">
        <w:rPr>
          <w:bCs/>
        </w:rPr>
        <w:t xml:space="preserve">oomberg, </w:t>
      </w:r>
      <w:proofErr w:type="spellStart"/>
      <w:r w:rsidR="00E24BAC" w:rsidRPr="00633370">
        <w:rPr>
          <w:bCs/>
        </w:rPr>
        <w:t>Euromonitor</w:t>
      </w:r>
      <w:proofErr w:type="spellEnd"/>
      <w:r w:rsidR="00E24BAC" w:rsidRPr="00633370">
        <w:rPr>
          <w:bCs/>
        </w:rPr>
        <w:t xml:space="preserve"> and IBIS</w:t>
      </w:r>
      <w:r w:rsidR="00D86FB0" w:rsidRPr="00633370">
        <w:rPr>
          <w:bCs/>
        </w:rPr>
        <w:t xml:space="preserve"> </w:t>
      </w:r>
      <w:r w:rsidR="003E37D1" w:rsidRPr="00633370">
        <w:rPr>
          <w:bCs/>
        </w:rPr>
        <w:t xml:space="preserve">data on business </w:t>
      </w:r>
      <w:r w:rsidR="00D86FB0" w:rsidRPr="00633370">
        <w:rPr>
          <w:bCs/>
        </w:rPr>
        <w:t>makes the point</w:t>
      </w:r>
      <w:r w:rsidR="006B0EBD" w:rsidRPr="00633370">
        <w:rPr>
          <w:bCs/>
        </w:rPr>
        <w:t xml:space="preserve">. This </w:t>
      </w:r>
      <w:r w:rsidR="00D86FB0" w:rsidRPr="00633370">
        <w:rPr>
          <w:bCs/>
        </w:rPr>
        <w:t xml:space="preserve">lack of good, timely </w:t>
      </w:r>
      <w:r w:rsidR="006B0EBD" w:rsidRPr="00633370">
        <w:rPr>
          <w:bCs/>
        </w:rPr>
        <w:t xml:space="preserve">information </w:t>
      </w:r>
      <w:r w:rsidR="00D86FB0" w:rsidRPr="00633370">
        <w:rPr>
          <w:bCs/>
        </w:rPr>
        <w:t xml:space="preserve">is a </w:t>
      </w:r>
      <w:r w:rsidR="006B0EBD" w:rsidRPr="00633370">
        <w:rPr>
          <w:bCs/>
        </w:rPr>
        <w:t xml:space="preserve">constraint for entrepreneurs in the disability </w:t>
      </w:r>
      <w:r w:rsidR="00D86FB0" w:rsidRPr="00633370">
        <w:rPr>
          <w:bCs/>
        </w:rPr>
        <w:t>sector</w:t>
      </w:r>
      <w:r w:rsidR="006B0EBD" w:rsidRPr="00633370">
        <w:rPr>
          <w:bCs/>
        </w:rPr>
        <w:t xml:space="preserve">.  </w:t>
      </w:r>
    </w:p>
    <w:p w:rsidR="00A12C19" w:rsidRPr="00615598" w:rsidRDefault="00A12C19" w:rsidP="00C15231">
      <w:pPr>
        <w:rPr>
          <w:b/>
          <w:bCs/>
          <w:i/>
        </w:rPr>
      </w:pPr>
      <w:r w:rsidRPr="00615598">
        <w:rPr>
          <w:b/>
          <w:bCs/>
          <w:i/>
        </w:rPr>
        <w:t>Engaging peopl</w:t>
      </w:r>
      <w:bookmarkStart w:id="23" w:name="_GoBack"/>
      <w:bookmarkEnd w:id="23"/>
      <w:r w:rsidRPr="00615598">
        <w:rPr>
          <w:b/>
          <w:bCs/>
          <w:i/>
        </w:rPr>
        <w:t>e with disability</w:t>
      </w:r>
    </w:p>
    <w:p w:rsidR="00805810" w:rsidRDefault="00255962" w:rsidP="00255962">
      <w:r w:rsidRPr="00633370">
        <w:rPr>
          <w:bCs/>
        </w:rPr>
        <w:t xml:space="preserve">The market will operate best when </w:t>
      </w:r>
      <w:r w:rsidR="00EE4C82" w:rsidRPr="00633370">
        <w:rPr>
          <w:bCs/>
        </w:rPr>
        <w:t>people with disability</w:t>
      </w:r>
      <w:r w:rsidRPr="00633370">
        <w:rPr>
          <w:bCs/>
        </w:rPr>
        <w:t xml:space="preserve"> are</w:t>
      </w:r>
      <w:r w:rsidR="009F12C8" w:rsidRPr="00633370">
        <w:rPr>
          <w:bCs/>
        </w:rPr>
        <w:t xml:space="preserve"> engaged in the innovation process. </w:t>
      </w:r>
      <w:r w:rsidRPr="00633370">
        <w:rPr>
          <w:bCs/>
        </w:rPr>
        <w:t xml:space="preserve">NDIA is well placed to ensure these voices are heard and that market information is underpinned by </w:t>
      </w:r>
      <w:r w:rsidR="009F12C8" w:rsidRPr="00633370">
        <w:rPr>
          <w:bCs/>
        </w:rPr>
        <w:t>real examples and lived experience</w:t>
      </w:r>
      <w:r w:rsidRPr="00633370">
        <w:rPr>
          <w:bCs/>
        </w:rPr>
        <w:t>.</w:t>
      </w:r>
      <w:r w:rsidR="009F12C8" w:rsidRPr="00633370">
        <w:rPr>
          <w:bCs/>
        </w:rPr>
        <w:t xml:space="preserve"> </w:t>
      </w:r>
      <w:r w:rsidRPr="00633370">
        <w:rPr>
          <w:bCs/>
        </w:rPr>
        <w:t xml:space="preserve">In addition, as a national body NDIA can highlight </w:t>
      </w:r>
      <w:r w:rsidR="006B0EBD" w:rsidRPr="00633370">
        <w:t xml:space="preserve">supply gaps and demand opportunities </w:t>
      </w:r>
      <w:r w:rsidRPr="00633370">
        <w:t>in</w:t>
      </w:r>
      <w:r w:rsidR="006B0EBD" w:rsidRPr="00633370">
        <w:t xml:space="preserve"> </w:t>
      </w:r>
      <w:r w:rsidR="00BA4E8C">
        <w:t xml:space="preserve">specific markets. For example, in </w:t>
      </w:r>
      <w:r w:rsidR="006B0EBD" w:rsidRPr="00633370">
        <w:t>rural and remote</w:t>
      </w:r>
      <w:r w:rsidR="006F4F77">
        <w:t xml:space="preserve"> </w:t>
      </w:r>
      <w:r w:rsidR="00BA4E8C">
        <w:t>areas</w:t>
      </w:r>
      <w:r w:rsidRPr="00633370">
        <w:t>,</w:t>
      </w:r>
      <w:r w:rsidR="006B0EBD" w:rsidRPr="00633370">
        <w:t xml:space="preserve"> AT products </w:t>
      </w:r>
      <w:r w:rsidR="00BA4E8C">
        <w:t>with</w:t>
      </w:r>
      <w:r w:rsidR="006B0EBD" w:rsidRPr="00633370">
        <w:t xml:space="preserve"> ultra-resilient materials and technologies </w:t>
      </w:r>
      <w:r w:rsidR="00BA4E8C">
        <w:t>are</w:t>
      </w:r>
      <w:r w:rsidRPr="00633370">
        <w:t xml:space="preserve"> needed </w:t>
      </w:r>
      <w:r w:rsidR="006B0EBD" w:rsidRPr="00633370">
        <w:t>to respond</w:t>
      </w:r>
      <w:r w:rsidRPr="00633370">
        <w:t>, in particular,</w:t>
      </w:r>
      <w:r w:rsidR="006B0EBD" w:rsidRPr="00633370">
        <w:t xml:space="preserve"> to the needs of </w:t>
      </w:r>
      <w:r w:rsidRPr="00633370">
        <w:t>I</w:t>
      </w:r>
      <w:r w:rsidR="009F12C8" w:rsidRPr="00633370">
        <w:t>ndigenous</w:t>
      </w:r>
      <w:r w:rsidRPr="00633370">
        <w:t xml:space="preserve"> </w:t>
      </w:r>
      <w:r w:rsidR="00EE4C82" w:rsidRPr="00633370">
        <w:t>people with disability</w:t>
      </w:r>
      <w:r w:rsidRPr="00633370">
        <w:t xml:space="preserve">. Entrepreneurs who take up this </w:t>
      </w:r>
      <w:r w:rsidR="006F4F77">
        <w:t xml:space="preserve">type of </w:t>
      </w:r>
      <w:r w:rsidRPr="00633370">
        <w:t>challenge may also find markets in developing countries.</w:t>
      </w:r>
      <w:r w:rsidR="006B0EBD" w:rsidRPr="00633370">
        <w:t xml:space="preserve"> </w:t>
      </w:r>
    </w:p>
    <w:p w:rsidR="00A12C19" w:rsidRPr="00615598" w:rsidRDefault="00615598" w:rsidP="00255962">
      <w:pPr>
        <w:rPr>
          <w:b/>
          <w:i/>
        </w:rPr>
      </w:pPr>
      <w:r w:rsidRPr="00615598">
        <w:rPr>
          <w:b/>
          <w:i/>
        </w:rPr>
        <w:t>Collaborating and c</w:t>
      </w:r>
      <w:r w:rsidR="00A12C19" w:rsidRPr="00615598">
        <w:rPr>
          <w:b/>
          <w:i/>
        </w:rPr>
        <w:t>o-investing</w:t>
      </w:r>
    </w:p>
    <w:p w:rsidR="009F12C8" w:rsidRDefault="003D3322" w:rsidP="00CE2C9A">
      <w:r w:rsidRPr="00633370">
        <w:t>In addition, NDIA has an opportunity to provide a conduit for</w:t>
      </w:r>
      <w:r w:rsidR="00DF7456" w:rsidRPr="00633370">
        <w:t xml:space="preserve"> innovation</w:t>
      </w:r>
      <w:r w:rsidRPr="00633370">
        <w:t xml:space="preserve"> by collaborating</w:t>
      </w:r>
      <w:r w:rsidR="009F12C8" w:rsidRPr="00633370">
        <w:t xml:space="preserve"> and co-invest</w:t>
      </w:r>
      <w:r w:rsidR="00DF7456" w:rsidRPr="00633370">
        <w:t>ing</w:t>
      </w:r>
      <w:r w:rsidR="009F12C8" w:rsidRPr="00633370">
        <w:t xml:space="preserve"> with </w:t>
      </w:r>
      <w:r w:rsidR="00DF7456" w:rsidRPr="00633370">
        <w:t>organ</w:t>
      </w:r>
      <w:r w:rsidR="00CE2C9A" w:rsidRPr="00633370">
        <w:t>is</w:t>
      </w:r>
      <w:r w:rsidR="00DF7456" w:rsidRPr="00633370">
        <w:t>ations in adjacent</w:t>
      </w:r>
      <w:r w:rsidR="009F12C8" w:rsidRPr="00633370">
        <w:t xml:space="preserve"> sectors such as aged care and health</w:t>
      </w:r>
      <w:r w:rsidR="00D5479A" w:rsidRPr="00633370">
        <w:t xml:space="preserve">. </w:t>
      </w:r>
      <w:r w:rsidR="00DF7456" w:rsidRPr="00633370">
        <w:t xml:space="preserve">This </w:t>
      </w:r>
      <w:r w:rsidR="00DF7456" w:rsidRPr="00633370">
        <w:lastRenderedPageBreak/>
        <w:t xml:space="preserve">type of collaboration is likely to </w:t>
      </w:r>
      <w:r w:rsidR="000A7677" w:rsidRPr="00633370">
        <w:t>attract innovators and investors given the s</w:t>
      </w:r>
      <w:r w:rsidR="00E46826" w:rsidRPr="00633370">
        <w:t>iz</w:t>
      </w:r>
      <w:r w:rsidR="000A7677" w:rsidRPr="00633370">
        <w:t xml:space="preserve">e and scope of the potential market, and will in turn deliver the best return on investment for participants and the Agency. In particular, </w:t>
      </w:r>
      <w:r w:rsidR="00295901" w:rsidRPr="00633370">
        <w:t xml:space="preserve">where </w:t>
      </w:r>
      <w:r w:rsidR="000A7677" w:rsidRPr="00633370">
        <w:t xml:space="preserve">technologies can be leveraged to reduce reliance on face-to-face service delivery by support workers, participants </w:t>
      </w:r>
      <w:r w:rsidR="00295901" w:rsidRPr="00633370">
        <w:t>will enjoy the benefits of increased independence and cost savings can be directed to other value-creating endeavours.</w:t>
      </w:r>
    </w:p>
    <w:p w:rsidR="00615598" w:rsidRPr="00615598" w:rsidRDefault="00615598" w:rsidP="00CE2C9A">
      <w:pPr>
        <w:rPr>
          <w:b/>
          <w:i/>
        </w:rPr>
      </w:pPr>
      <w:r w:rsidRPr="00615598">
        <w:rPr>
          <w:b/>
          <w:i/>
        </w:rPr>
        <w:t>Prioritise certain R&amp;D activities</w:t>
      </w:r>
    </w:p>
    <w:p w:rsidR="00615598" w:rsidRPr="00633370" w:rsidRDefault="0006292C" w:rsidP="00CE2C9A">
      <w:r w:rsidRPr="00633370">
        <w:t>Technology innovation—whether through novel uses for mainstream technologies</w:t>
      </w:r>
      <w:r w:rsidR="00BA4E8C">
        <w:t>,</w:t>
      </w:r>
      <w:r w:rsidRPr="00633370">
        <w:t xml:space="preserve"> or robotics to supplement </w:t>
      </w:r>
      <w:r w:rsidR="005D2EBE" w:rsidRPr="00633370">
        <w:t>(</w:t>
      </w:r>
      <w:r w:rsidRPr="00633370">
        <w:t>or potentially replace</w:t>
      </w:r>
      <w:r w:rsidR="005D2EBE" w:rsidRPr="00633370">
        <w:t>)</w:t>
      </w:r>
      <w:r w:rsidRPr="00633370">
        <w:t xml:space="preserve"> support </w:t>
      </w:r>
      <w:proofErr w:type="gramStart"/>
      <w:r w:rsidR="00AD7F92" w:rsidRPr="00633370">
        <w:t>services</w:t>
      </w:r>
      <w:r w:rsidR="002D5765">
        <w:t>,</w:t>
      </w:r>
      <w:proofErr w:type="gramEnd"/>
      <w:r w:rsidRPr="00633370">
        <w:t xml:space="preserve"> </w:t>
      </w:r>
      <w:r w:rsidR="005D2EBE" w:rsidRPr="00633370">
        <w:t>or</w:t>
      </w:r>
      <w:r w:rsidRPr="00633370">
        <w:t xml:space="preserve"> the development of exoskeletons for people with impaired mobility</w:t>
      </w:r>
      <w:r w:rsidR="005D2EBE" w:rsidRPr="00633370">
        <w:t>, to name a few</w:t>
      </w:r>
      <w:r w:rsidRPr="00633370">
        <w:t xml:space="preserve">—is fast-moving and </w:t>
      </w:r>
      <w:r w:rsidR="00801B63" w:rsidRPr="00633370">
        <w:t>leading to</w:t>
      </w:r>
      <w:r w:rsidRPr="00633370">
        <w:t xml:space="preserve"> exciting developments. </w:t>
      </w:r>
      <w:r w:rsidR="005D2EBE" w:rsidRPr="00633370">
        <w:t>However, many ideas</w:t>
      </w:r>
      <w:r w:rsidR="00BA4E8C">
        <w:t>,</w:t>
      </w:r>
      <w:r w:rsidR="005D2EBE" w:rsidRPr="00633370">
        <w:t xml:space="preserve"> with great potential</w:t>
      </w:r>
      <w:r w:rsidR="00BA4E8C">
        <w:t>,</w:t>
      </w:r>
      <w:r w:rsidR="005D2EBE" w:rsidRPr="00633370">
        <w:t xml:space="preserve"> fail to make it to the prototype stage, much less commercial rollout, because of funding constraints. </w:t>
      </w:r>
      <w:r w:rsidRPr="00633370">
        <w:t>NDIA has a role to play</w:t>
      </w:r>
      <w:r w:rsidR="005D2EBE" w:rsidRPr="00633370">
        <w:t>,</w:t>
      </w:r>
      <w:r w:rsidRPr="00633370">
        <w:t xml:space="preserve"> in </w:t>
      </w:r>
      <w:r w:rsidR="005D2EBE" w:rsidRPr="00633370">
        <w:t xml:space="preserve">conjunction with adjacent sectors, to understand what is happening in the field, </w:t>
      </w:r>
      <w:r w:rsidR="002853FF">
        <w:t>and recommend priority</w:t>
      </w:r>
      <w:r w:rsidR="002853FF" w:rsidRPr="00633370">
        <w:t xml:space="preserve"> </w:t>
      </w:r>
      <w:r w:rsidR="005D2EBE" w:rsidRPr="00633370">
        <w:t xml:space="preserve">R&amp;D activities that promise the greatest benefits. This could be as the result of advocacy efforts with governments, suppliers, </w:t>
      </w:r>
      <w:r w:rsidR="00F30E77" w:rsidRPr="00633370">
        <w:t xml:space="preserve">research bodies, </w:t>
      </w:r>
      <w:r w:rsidR="005D2EBE" w:rsidRPr="00633370">
        <w:t xml:space="preserve">health professionals and others, or </w:t>
      </w:r>
      <w:r w:rsidR="00F30E77" w:rsidRPr="00633370">
        <w:t>by</w:t>
      </w:r>
      <w:r w:rsidR="005D2EBE" w:rsidRPr="00633370">
        <w:t xml:space="preserve"> </w:t>
      </w:r>
      <w:r w:rsidR="002853FF">
        <w:t>collaborating</w:t>
      </w:r>
      <w:r w:rsidR="005D2EBE" w:rsidRPr="00633370">
        <w:t xml:space="preserve"> with the aged care sector or </w:t>
      </w:r>
      <w:r w:rsidR="002853FF">
        <w:t>other</w:t>
      </w:r>
      <w:r w:rsidR="00DF7456" w:rsidRPr="00633370">
        <w:t xml:space="preserve"> </w:t>
      </w:r>
      <w:r w:rsidR="009F12C8" w:rsidRPr="00633370">
        <w:t>centre</w:t>
      </w:r>
      <w:r w:rsidR="002853FF">
        <w:t>s</w:t>
      </w:r>
      <w:r w:rsidR="00533D34" w:rsidRPr="00633370">
        <w:t xml:space="preserve"> of excellence (e</w:t>
      </w:r>
      <w:r w:rsidR="00DF7456" w:rsidRPr="00633370">
        <w:t>.</w:t>
      </w:r>
      <w:r w:rsidR="00533D34" w:rsidRPr="00633370">
        <w:t>g</w:t>
      </w:r>
      <w:r w:rsidR="00DF7456" w:rsidRPr="00633370">
        <w:t>.</w:t>
      </w:r>
      <w:r w:rsidR="00533D34" w:rsidRPr="00633370">
        <w:t xml:space="preserve"> </w:t>
      </w:r>
      <w:r w:rsidR="005D2EBE" w:rsidRPr="00633370">
        <w:t>the Australian Industry and Disability Insurance Network</w:t>
      </w:r>
      <w:r w:rsidR="00533D34" w:rsidRPr="00633370">
        <w:t>)</w:t>
      </w:r>
      <w:r w:rsidR="002853FF">
        <w:t xml:space="preserve"> to</w:t>
      </w:r>
      <w:r w:rsidR="00097615" w:rsidRPr="00633370">
        <w:t xml:space="preserve"> support disability-specific R&amp;D.</w:t>
      </w:r>
    </w:p>
    <w:p w:rsidR="009F12C8" w:rsidRPr="00A12C19" w:rsidRDefault="00B167F3" w:rsidP="009614D6">
      <w:pPr>
        <w:pStyle w:val="Heading4"/>
        <w:rPr>
          <w:rFonts w:ascii="Arial Bold" w:hAnsi="Arial Bold" w:cs="Arial Bold"/>
          <w:i w:val="0"/>
          <w:lang w:val="en-GB"/>
        </w:rPr>
      </w:pPr>
      <w:r w:rsidRPr="00A12C19">
        <w:rPr>
          <w:rFonts w:ascii="Arial Bold" w:hAnsi="Arial Bold" w:cs="Arial Bold"/>
          <w:i w:val="0"/>
          <w:lang w:val="en-GB"/>
        </w:rPr>
        <w:t xml:space="preserve">b) </w:t>
      </w:r>
      <w:r w:rsidR="00255962" w:rsidRPr="00A12C19">
        <w:rPr>
          <w:rFonts w:ascii="Arial Bold" w:hAnsi="Arial Bold" w:cs="Arial Bold"/>
          <w:i w:val="0"/>
          <w:lang w:val="en-GB"/>
        </w:rPr>
        <w:t>Stimulate the take-up of technology</w:t>
      </w:r>
      <w:r w:rsidR="00F179E0" w:rsidRPr="00A12C19">
        <w:rPr>
          <w:rFonts w:ascii="Arial Bold" w:hAnsi="Arial Bold" w:cs="Arial Bold"/>
          <w:i w:val="0"/>
          <w:lang w:val="en-GB"/>
        </w:rPr>
        <w:t xml:space="preserve"> solutions</w:t>
      </w:r>
    </w:p>
    <w:p w:rsidR="00615598" w:rsidRPr="00615598" w:rsidRDefault="00DF7456" w:rsidP="00C15231">
      <w:pPr>
        <w:pStyle w:val="ListParagraph"/>
        <w:ind w:left="0"/>
      </w:pPr>
      <w:r w:rsidRPr="00633370">
        <w:t xml:space="preserve">NDIA has </w:t>
      </w:r>
      <w:r w:rsidR="00977E04" w:rsidRPr="00633370">
        <w:t>a</w:t>
      </w:r>
      <w:r w:rsidR="003D064B" w:rsidRPr="00633370">
        <w:t xml:space="preserve">n opportunity to </w:t>
      </w:r>
      <w:r w:rsidR="00F179E0" w:rsidRPr="00633370">
        <w:t>accelerate the</w:t>
      </w:r>
      <w:r w:rsidR="003D064B" w:rsidRPr="00633370">
        <w:t xml:space="preserve"> take-up of exist</w:t>
      </w:r>
      <w:r w:rsidR="00977E04" w:rsidRPr="00633370">
        <w:t xml:space="preserve">ing and </w:t>
      </w:r>
      <w:r w:rsidR="00F179E0" w:rsidRPr="00633370">
        <w:t>emerging</w:t>
      </w:r>
      <w:r w:rsidR="00977E04" w:rsidRPr="00633370">
        <w:t xml:space="preserve"> </w:t>
      </w:r>
      <w:r w:rsidR="009F12C8" w:rsidRPr="00633370">
        <w:t>technologies</w:t>
      </w:r>
      <w:r w:rsidR="00295901" w:rsidRPr="00633370">
        <w:t>, given the scale of demand at full scheme</w:t>
      </w:r>
      <w:r w:rsidR="00F179E0" w:rsidRPr="00633370">
        <w:t xml:space="preserve">. </w:t>
      </w:r>
      <w:r w:rsidR="00A019CC">
        <w:t>The</w:t>
      </w:r>
      <w:r w:rsidR="00F179E0" w:rsidRPr="00633370">
        <w:t xml:space="preserve"> opportunity exists to identify</w:t>
      </w:r>
      <w:r w:rsidR="009C668B">
        <w:t>,</w:t>
      </w:r>
      <w:r w:rsidR="00F179E0" w:rsidRPr="00633370">
        <w:t xml:space="preserve"> and promote</w:t>
      </w:r>
      <w:r w:rsidR="009C668B">
        <w:t>,</w:t>
      </w:r>
      <w:r w:rsidR="00F179E0" w:rsidRPr="00633370">
        <w:t xml:space="preserve"> the use of</w:t>
      </w:r>
      <w:r w:rsidR="000A65E8" w:rsidRPr="00633370">
        <w:t xml:space="preserve"> technologies</w:t>
      </w:r>
      <w:r w:rsidR="006F4F77">
        <w:t xml:space="preserve"> </w:t>
      </w:r>
      <w:r w:rsidR="00A019CC">
        <w:t>that</w:t>
      </w:r>
      <w:r w:rsidR="00033BE9">
        <w:t xml:space="preserve"> were not </w:t>
      </w:r>
      <w:r w:rsidR="00F179E0" w:rsidRPr="00633370">
        <w:t>developed for the disability secto</w:t>
      </w:r>
      <w:r w:rsidR="00033BE9">
        <w:t>r</w:t>
      </w:r>
      <w:r w:rsidR="009C668B">
        <w:t>,</w:t>
      </w:r>
      <w:r w:rsidR="00033BE9">
        <w:t xml:space="preserve"> but </w:t>
      </w:r>
      <w:r w:rsidR="00F179E0" w:rsidRPr="00633370">
        <w:t>could benefit</w:t>
      </w:r>
      <w:r w:rsidR="000A65E8" w:rsidRPr="00633370">
        <w:t xml:space="preserve"> </w:t>
      </w:r>
      <w:r w:rsidR="00EE4C82" w:rsidRPr="00633370">
        <w:t>people with disability</w:t>
      </w:r>
      <w:r w:rsidR="00033BE9">
        <w:t xml:space="preserve"> and</w:t>
      </w:r>
      <w:r w:rsidR="000A65E8" w:rsidRPr="00633370">
        <w:t xml:space="preserve"> </w:t>
      </w:r>
      <w:r w:rsidR="00295901" w:rsidRPr="00633370">
        <w:t xml:space="preserve">may </w:t>
      </w:r>
      <w:r w:rsidR="000A65E8" w:rsidRPr="00633370">
        <w:t xml:space="preserve">not </w:t>
      </w:r>
      <w:r w:rsidR="00295901" w:rsidRPr="00633370">
        <w:t xml:space="preserve">have </w:t>
      </w:r>
      <w:r w:rsidR="000A65E8" w:rsidRPr="00633370">
        <w:t>been considered</w:t>
      </w:r>
      <w:r w:rsidR="00E24BAC" w:rsidRPr="00633370">
        <w:t xml:space="preserve"> or tested</w:t>
      </w:r>
      <w:r w:rsidR="00F179E0" w:rsidRPr="00633370">
        <w:t xml:space="preserve"> in that context</w:t>
      </w:r>
      <w:r w:rsidR="000A65E8" w:rsidRPr="00633370">
        <w:t xml:space="preserve">. </w:t>
      </w:r>
      <w:r w:rsidR="00295901" w:rsidRPr="00633370">
        <w:t xml:space="preserve">While efforts to stimulate take-up in the past have largely been directed at people with physical disabilities, opportunities </w:t>
      </w:r>
      <w:r w:rsidR="00805810" w:rsidRPr="00633370">
        <w:t xml:space="preserve">exist </w:t>
      </w:r>
      <w:r w:rsidR="00295901" w:rsidRPr="00633370">
        <w:t xml:space="preserve">to </w:t>
      </w:r>
      <w:r w:rsidR="00D425D3" w:rsidRPr="00633370">
        <w:t>further promote</w:t>
      </w:r>
      <w:r w:rsidR="00295901" w:rsidRPr="00633370">
        <w:t xml:space="preserve"> the </w:t>
      </w:r>
      <w:r w:rsidR="00D425D3" w:rsidRPr="00633370">
        <w:t>use and uptake of mainstream technologies, sometimes in conjunction with specially developed apps</w:t>
      </w:r>
      <w:r w:rsidR="00A019CC">
        <w:t>,</w:t>
      </w:r>
      <w:r w:rsidR="00D425D3" w:rsidRPr="00633370">
        <w:t xml:space="preserve"> for the </w:t>
      </w:r>
      <w:r w:rsidR="00295901" w:rsidRPr="00633370">
        <w:t xml:space="preserve">70% of scheme participants with intellectual </w:t>
      </w:r>
      <w:r w:rsidR="00AD7F92" w:rsidRPr="00633370">
        <w:t>disabilities.</w:t>
      </w:r>
    </w:p>
    <w:p w:rsidR="00615598" w:rsidRDefault="00615598" w:rsidP="00C15231">
      <w:pPr>
        <w:pStyle w:val="ListParagraph"/>
        <w:ind w:left="0"/>
        <w:rPr>
          <w:b/>
          <w:i/>
        </w:rPr>
      </w:pPr>
    </w:p>
    <w:p w:rsidR="00615598" w:rsidRPr="00615598" w:rsidRDefault="00615598" w:rsidP="00C15231">
      <w:pPr>
        <w:pStyle w:val="ListParagraph"/>
        <w:ind w:left="0"/>
        <w:rPr>
          <w:b/>
          <w:i/>
        </w:rPr>
      </w:pPr>
      <w:r w:rsidRPr="00615598">
        <w:rPr>
          <w:b/>
          <w:i/>
        </w:rPr>
        <w:t>Strategies used by other government agencies</w:t>
      </w:r>
    </w:p>
    <w:p w:rsidR="004925E5" w:rsidRDefault="00E24BAC" w:rsidP="00E24BAC">
      <w:r w:rsidRPr="00633370">
        <w:t xml:space="preserve">Strategies used by other government agencies </w:t>
      </w:r>
      <w:r w:rsidR="00F179E0" w:rsidRPr="00633370">
        <w:t xml:space="preserve">to stimulate technology take-up </w:t>
      </w:r>
      <w:r w:rsidRPr="00633370">
        <w:t xml:space="preserve">include awareness building and technology demonstration programs, information search and referral services, technical assistance and consultancy, leasing, trialling and training, </w:t>
      </w:r>
      <w:r w:rsidR="00F179E0" w:rsidRPr="00633370">
        <w:t xml:space="preserve">and </w:t>
      </w:r>
      <w:r w:rsidRPr="00633370">
        <w:t xml:space="preserve">standards setting, </w:t>
      </w:r>
      <w:r w:rsidR="00F179E0" w:rsidRPr="00633370">
        <w:t>among others</w:t>
      </w:r>
      <w:r w:rsidRPr="00633370">
        <w:t xml:space="preserve">. </w:t>
      </w:r>
      <w:r w:rsidR="004925E5" w:rsidRPr="00633370">
        <w:t xml:space="preserve">NDIA has the opportunity to embed </w:t>
      </w:r>
      <w:r w:rsidRPr="00633370">
        <w:t xml:space="preserve">strategies </w:t>
      </w:r>
      <w:r w:rsidR="004925E5" w:rsidRPr="00633370">
        <w:t>like these</w:t>
      </w:r>
      <w:r w:rsidRPr="00633370">
        <w:t xml:space="preserve"> in </w:t>
      </w:r>
      <w:r w:rsidR="004925E5" w:rsidRPr="00633370">
        <w:t>participants’</w:t>
      </w:r>
      <w:r w:rsidRPr="00633370">
        <w:t xml:space="preserve"> interactions with </w:t>
      </w:r>
      <w:r w:rsidR="00097615" w:rsidRPr="00633370">
        <w:t>Local Area Coordinators (</w:t>
      </w:r>
      <w:r w:rsidRPr="00633370">
        <w:t>LACs</w:t>
      </w:r>
      <w:r w:rsidR="00097615" w:rsidRPr="00633370">
        <w:t>)</w:t>
      </w:r>
      <w:r w:rsidR="004925E5" w:rsidRPr="00633370">
        <w:t xml:space="preserve"> and</w:t>
      </w:r>
      <w:r w:rsidRPr="00633370">
        <w:t xml:space="preserve"> their planners</w:t>
      </w:r>
      <w:r w:rsidR="004925E5" w:rsidRPr="00633370">
        <w:t>,</w:t>
      </w:r>
      <w:r w:rsidRPr="00633370">
        <w:t xml:space="preserve"> and </w:t>
      </w:r>
      <w:r w:rsidR="004925E5" w:rsidRPr="00633370">
        <w:t xml:space="preserve">in scheme-deployed </w:t>
      </w:r>
      <w:r w:rsidRPr="00633370">
        <w:t>systems and tools</w:t>
      </w:r>
      <w:r w:rsidR="00097615" w:rsidRPr="00633370">
        <w:t xml:space="preserve"> to support informed choice (e.g. planning kits). </w:t>
      </w:r>
    </w:p>
    <w:p w:rsidR="00615598" w:rsidRPr="00615598" w:rsidRDefault="00615598" w:rsidP="00E24BAC">
      <w:pPr>
        <w:rPr>
          <w:b/>
          <w:i/>
        </w:rPr>
      </w:pPr>
      <w:r>
        <w:rPr>
          <w:b/>
          <w:i/>
        </w:rPr>
        <w:t>Sponsoring trials</w:t>
      </w:r>
    </w:p>
    <w:p w:rsidR="00E24BAC" w:rsidRDefault="00D62AA9" w:rsidP="00E24BAC">
      <w:r>
        <w:t>The A</w:t>
      </w:r>
      <w:r w:rsidR="00615598">
        <w:t>gency may</w:t>
      </w:r>
      <w:r w:rsidR="004925E5" w:rsidRPr="00633370">
        <w:t xml:space="preserve"> fund</w:t>
      </w:r>
      <w:r w:rsidR="00E24BAC" w:rsidRPr="00633370">
        <w:rPr>
          <w:bCs/>
        </w:rPr>
        <w:t xml:space="preserve"> prototype technologies</w:t>
      </w:r>
      <w:r w:rsidR="00E24BAC" w:rsidRPr="00633370">
        <w:rPr>
          <w:b/>
          <w:bCs/>
        </w:rPr>
        <w:t xml:space="preserve"> </w:t>
      </w:r>
      <w:r w:rsidR="004925E5" w:rsidRPr="00633370">
        <w:t>by ‘sponsoring’</w:t>
      </w:r>
      <w:r w:rsidR="00E24BAC" w:rsidRPr="00633370">
        <w:rPr>
          <w:bCs/>
        </w:rPr>
        <w:t xml:space="preserve"> participant trials</w:t>
      </w:r>
      <w:r w:rsidR="004925E5" w:rsidRPr="00633370">
        <w:rPr>
          <w:bCs/>
        </w:rPr>
        <w:t xml:space="preserve"> and tracking their outcomes, using learning from </w:t>
      </w:r>
      <w:r w:rsidR="004925E5" w:rsidRPr="00633370">
        <w:t>the health</w:t>
      </w:r>
      <w:r w:rsidR="00E24BAC" w:rsidRPr="00633370">
        <w:t xml:space="preserve"> sector in relation to ‘curative’ technologies and </w:t>
      </w:r>
      <w:r w:rsidR="004925E5" w:rsidRPr="00633370">
        <w:t>develop</w:t>
      </w:r>
      <w:r w:rsidR="00D5479A" w:rsidRPr="00633370">
        <w:t>ing</w:t>
      </w:r>
      <w:r w:rsidR="00E24BAC" w:rsidRPr="00633370">
        <w:t xml:space="preserve"> </w:t>
      </w:r>
      <w:r w:rsidR="004925E5" w:rsidRPr="00633370">
        <w:t>an</w:t>
      </w:r>
      <w:r w:rsidR="00E24BAC" w:rsidRPr="00633370">
        <w:t xml:space="preserve"> evidence base </w:t>
      </w:r>
      <w:r w:rsidR="004925E5" w:rsidRPr="00633370">
        <w:t xml:space="preserve">before a trial is funded. Such trials will facilitate ‘pull through’ for new and emerging technologies. Technology may also be </w:t>
      </w:r>
      <w:r w:rsidR="00D5479A" w:rsidRPr="00633370">
        <w:t>valuable in ensuring</w:t>
      </w:r>
      <w:r w:rsidR="004925E5" w:rsidRPr="00633370">
        <w:t xml:space="preserve"> trials are responsive and participant-led</w:t>
      </w:r>
      <w:r w:rsidR="00E24BAC" w:rsidRPr="00633370">
        <w:t xml:space="preserve">.  </w:t>
      </w:r>
    </w:p>
    <w:p w:rsidR="00615598" w:rsidRPr="00615598" w:rsidRDefault="00615598" w:rsidP="00E24BAC">
      <w:pPr>
        <w:rPr>
          <w:b/>
          <w:i/>
        </w:rPr>
      </w:pPr>
      <w:r w:rsidRPr="00615598">
        <w:rPr>
          <w:b/>
          <w:i/>
        </w:rPr>
        <w:t>Take up of mainstream technologies</w:t>
      </w:r>
    </w:p>
    <w:p w:rsidR="00A505EA" w:rsidRDefault="00615598" w:rsidP="001A52A1">
      <w:pPr>
        <w:pStyle w:val="ListParagraph"/>
        <w:ind w:left="0"/>
      </w:pPr>
      <w:r>
        <w:t>M</w:t>
      </w:r>
      <w:r w:rsidR="00BB0C1D" w:rsidRPr="00633370">
        <w:t xml:space="preserve">ainstream technologies like smartphones and tablets are offering potential solutions in some parts of the disability sector. These require further investigation and efforts to encourage take-up, given tablets and smartphones </w:t>
      </w:r>
      <w:r w:rsidR="00BB0C1D">
        <w:t xml:space="preserve">may provide similar functionality to a </w:t>
      </w:r>
      <w:r w:rsidR="00BB0C1D" w:rsidRPr="00633370">
        <w:t>specialist disability device</w:t>
      </w:r>
      <w:r w:rsidR="00BB0C1D" w:rsidRPr="005F329B">
        <w:t xml:space="preserve"> </w:t>
      </w:r>
      <w:r w:rsidR="00BB0C1D">
        <w:t xml:space="preserve">and </w:t>
      </w:r>
      <w:r w:rsidR="00BB0C1D" w:rsidRPr="00633370">
        <w:t xml:space="preserve">are </w:t>
      </w:r>
      <w:r w:rsidR="00BB0C1D">
        <w:t xml:space="preserve">generally lower cost. </w:t>
      </w:r>
      <w:r w:rsidR="00BB0C1D" w:rsidRPr="00633370">
        <w:t xml:space="preserve">These mainstream devices </w:t>
      </w:r>
      <w:r w:rsidR="00BB0C1D">
        <w:t>often</w:t>
      </w:r>
      <w:r w:rsidR="00BB0C1D" w:rsidRPr="00633370">
        <w:t xml:space="preserve"> have accessibility </w:t>
      </w:r>
      <w:r w:rsidR="00BB0C1D">
        <w:t>functions</w:t>
      </w:r>
      <w:r w:rsidR="00BB0C1D" w:rsidRPr="00633370">
        <w:t xml:space="preserve"> that </w:t>
      </w:r>
      <w:r w:rsidR="00BB0C1D">
        <w:t>provide an increasing range of specialist applications and are</w:t>
      </w:r>
      <w:r w:rsidR="00BB0C1D" w:rsidRPr="00633370">
        <w:t xml:space="preserve"> more integrated with broader community activities and needs, easier to upgrade and</w:t>
      </w:r>
      <w:r w:rsidR="00BB0C1D">
        <w:t>,</w:t>
      </w:r>
      <w:r w:rsidR="00BB0C1D" w:rsidRPr="00633370">
        <w:t xml:space="preserve"> more adaptable to meet a participant’s changing needs.</w:t>
      </w:r>
      <w:r w:rsidR="00A505EA" w:rsidRPr="00633370">
        <w:t xml:space="preserve"> </w:t>
      </w:r>
    </w:p>
    <w:p w:rsidR="00615598" w:rsidRDefault="00615598" w:rsidP="001A52A1">
      <w:pPr>
        <w:pStyle w:val="ListParagraph"/>
        <w:ind w:left="0"/>
        <w:rPr>
          <w:b/>
          <w:i/>
        </w:rPr>
      </w:pPr>
    </w:p>
    <w:p w:rsidR="00615598" w:rsidRPr="00615598" w:rsidRDefault="00615598" w:rsidP="001A52A1">
      <w:pPr>
        <w:pStyle w:val="ListParagraph"/>
        <w:ind w:left="0"/>
        <w:rPr>
          <w:b/>
          <w:i/>
        </w:rPr>
      </w:pPr>
      <w:r>
        <w:rPr>
          <w:b/>
          <w:i/>
        </w:rPr>
        <w:t>Reach out to broader community</w:t>
      </w:r>
    </w:p>
    <w:p w:rsidR="004556CB" w:rsidRDefault="000C546F" w:rsidP="00C15231">
      <w:r w:rsidRPr="00633370">
        <w:t>T</w:t>
      </w:r>
      <w:r w:rsidR="004556CB" w:rsidRPr="00633370">
        <w:t xml:space="preserve">here is also an opportunity to support the </w:t>
      </w:r>
      <w:r w:rsidR="00146C7A" w:rsidRPr="00633370">
        <w:t>s</w:t>
      </w:r>
      <w:r w:rsidR="004556CB" w:rsidRPr="00633370">
        <w:t>cheme with initiatives</w:t>
      </w:r>
      <w:r w:rsidRPr="00633370">
        <w:t xml:space="preserve"> </w:t>
      </w:r>
      <w:r w:rsidR="00146C7A" w:rsidRPr="00633370">
        <w:t xml:space="preserve">to reach out </w:t>
      </w:r>
      <w:r w:rsidR="00D5479A" w:rsidRPr="00633370">
        <w:t xml:space="preserve">to </w:t>
      </w:r>
      <w:r w:rsidR="004556CB" w:rsidRPr="00633370">
        <w:t xml:space="preserve">the </w:t>
      </w:r>
      <w:r w:rsidR="00146C7A" w:rsidRPr="00633370">
        <w:t xml:space="preserve">broader </w:t>
      </w:r>
      <w:r w:rsidR="004556CB" w:rsidRPr="00633370">
        <w:t xml:space="preserve">community </w:t>
      </w:r>
      <w:r w:rsidR="00146C7A" w:rsidRPr="00633370">
        <w:t>in ways that promote the</w:t>
      </w:r>
      <w:r w:rsidR="004556CB" w:rsidRPr="00633370">
        <w:t xml:space="preserve"> early adoption of technology solutions</w:t>
      </w:r>
      <w:r w:rsidR="00146C7A" w:rsidRPr="00633370">
        <w:t>.</w:t>
      </w:r>
      <w:r w:rsidRPr="00633370">
        <w:t xml:space="preserve"> </w:t>
      </w:r>
      <w:r w:rsidR="00146C7A" w:rsidRPr="00633370">
        <w:t>For example, NDIA</w:t>
      </w:r>
      <w:r w:rsidRPr="00633370">
        <w:t xml:space="preserve"> could co-invest and collaborate with other </w:t>
      </w:r>
      <w:r w:rsidR="00146C7A" w:rsidRPr="00633370">
        <w:t>agencies</w:t>
      </w:r>
      <w:r w:rsidRPr="00633370">
        <w:t xml:space="preserve"> in </w:t>
      </w:r>
      <w:r w:rsidR="004556CB" w:rsidRPr="00633370">
        <w:t>education campaigns</w:t>
      </w:r>
      <w:r w:rsidR="00415DAA" w:rsidRPr="00633370">
        <w:t xml:space="preserve"> or </w:t>
      </w:r>
      <w:r w:rsidR="00451926" w:rsidRPr="00633370">
        <w:t xml:space="preserve">product </w:t>
      </w:r>
      <w:r w:rsidR="00415DAA" w:rsidRPr="00633370">
        <w:t>expos</w:t>
      </w:r>
      <w:r w:rsidR="00146C7A" w:rsidRPr="00633370">
        <w:t xml:space="preserve">, </w:t>
      </w:r>
      <w:r w:rsidR="00451926" w:rsidRPr="00633370">
        <w:t xml:space="preserve">and </w:t>
      </w:r>
      <w:r w:rsidR="00146C7A" w:rsidRPr="00633370">
        <w:t>innovation awards and</w:t>
      </w:r>
      <w:r w:rsidR="004556CB" w:rsidRPr="00633370">
        <w:t xml:space="preserve"> accre</w:t>
      </w:r>
      <w:r w:rsidR="00415DAA" w:rsidRPr="00633370">
        <w:t xml:space="preserve">ditation programs </w:t>
      </w:r>
      <w:r w:rsidR="00451926" w:rsidRPr="00633370">
        <w:t>for the disability sector.</w:t>
      </w:r>
    </w:p>
    <w:p w:rsidR="005517EB" w:rsidRDefault="005517EB" w:rsidP="005517EB">
      <w:pPr>
        <w:pStyle w:val="Heading3"/>
      </w:pPr>
      <w:bookmarkStart w:id="24" w:name="_Toc432683882"/>
      <w:r>
        <w:t>3.1.3</w:t>
      </w:r>
      <w:r w:rsidRPr="00F13632">
        <w:t xml:space="preserve"> </w:t>
      </w:r>
      <w:r w:rsidRPr="00B00CEF">
        <w:t>Proposed</w:t>
      </w:r>
      <w:r w:rsidRPr="003C18F2">
        <w:t xml:space="preserve"> initiative</w:t>
      </w:r>
      <w:r w:rsidRPr="00823315">
        <w:t>s</w:t>
      </w:r>
      <w:bookmarkEnd w:id="24"/>
    </w:p>
    <w:p w:rsidR="005517EB" w:rsidRPr="00633370" w:rsidRDefault="005517EB" w:rsidP="005517EB">
      <w:r>
        <w:rPr>
          <w:bCs/>
        </w:rPr>
        <w:t xml:space="preserve">The </w:t>
      </w:r>
      <w:r w:rsidRPr="00BC3662">
        <w:rPr>
          <w:bCs/>
        </w:rPr>
        <w:t xml:space="preserve">NDIA proposes to </w:t>
      </w:r>
      <w:r w:rsidRPr="00D851DF">
        <w:rPr>
          <w:b/>
          <w:bCs/>
        </w:rPr>
        <w:t xml:space="preserve">establish an </w:t>
      </w:r>
      <w:r w:rsidRPr="004E254D">
        <w:rPr>
          <w:b/>
          <w:bCs/>
        </w:rPr>
        <w:t>i</w:t>
      </w:r>
      <w:r w:rsidRPr="000D0B36">
        <w:rPr>
          <w:b/>
          <w:bCs/>
        </w:rPr>
        <w:t xml:space="preserve">nnovation </w:t>
      </w:r>
      <w:r w:rsidRPr="00194E14">
        <w:rPr>
          <w:b/>
          <w:bCs/>
        </w:rPr>
        <w:t>hub</w:t>
      </w:r>
      <w:r w:rsidRPr="00131F0A">
        <w:rPr>
          <w:b/>
          <w:bCs/>
        </w:rPr>
        <w:t xml:space="preserve"> </w:t>
      </w:r>
      <w:r w:rsidRPr="00131F0A">
        <w:rPr>
          <w:bCs/>
        </w:rPr>
        <w:t>that provides a basis for collaboration and co-investment with researchers, like agencies (</w:t>
      </w:r>
      <w:r w:rsidRPr="00633370">
        <w:rPr>
          <w:bCs/>
        </w:rPr>
        <w:t xml:space="preserve">e.g. aged care), the private sector and consumer and peak bodies. The hub will have </w:t>
      </w:r>
      <w:r>
        <w:rPr>
          <w:bCs/>
        </w:rPr>
        <w:t xml:space="preserve">three </w:t>
      </w:r>
      <w:r w:rsidRPr="00633370">
        <w:rPr>
          <w:bCs/>
        </w:rPr>
        <w:t>key areas of focus:</w:t>
      </w:r>
    </w:p>
    <w:p w:rsidR="005517EB" w:rsidRPr="00633370" w:rsidRDefault="005517EB" w:rsidP="005517EB">
      <w:pPr>
        <w:numPr>
          <w:ilvl w:val="0"/>
          <w:numId w:val="19"/>
        </w:numPr>
      </w:pPr>
      <w:r w:rsidRPr="00033BE9">
        <w:lastRenderedPageBreak/>
        <w:t>Captur</w:t>
      </w:r>
      <w:r>
        <w:t>ing</w:t>
      </w:r>
      <w:r w:rsidRPr="00033BE9">
        <w:t xml:space="preserve"> information and build</w:t>
      </w:r>
      <w:r>
        <w:t>ing</w:t>
      </w:r>
      <w:r w:rsidRPr="00033BE9">
        <w:t xml:space="preserve"> an evidence base to encourage innovation</w:t>
      </w:r>
      <w:r w:rsidRPr="00633370">
        <w:t>. NDIA will collaborate with research institutions with an interest in AT and related research. A programme will be established to leverage the scheme’s demand signalling data project and undertake ethnographic research with participants. The ethnographic research in particular will provide opportunities for exploration and collaboration with people with disability to capture innovations and share experiences so the best use is made of existing and potential AT solutions. The outcome will be a rich, up-to-date evidence base to identify opportunities to address Agency and participant challenges.</w:t>
      </w:r>
    </w:p>
    <w:p w:rsidR="005517EB" w:rsidRPr="00633370" w:rsidRDefault="005517EB" w:rsidP="005517EB">
      <w:pPr>
        <w:numPr>
          <w:ilvl w:val="0"/>
          <w:numId w:val="19"/>
        </w:numPr>
      </w:pPr>
      <w:r>
        <w:t>Stimulating</w:t>
      </w:r>
      <w:r w:rsidRPr="00033BE9">
        <w:t xml:space="preserve"> the uptake of existing, new and mainstream technologies</w:t>
      </w:r>
      <w:r w:rsidRPr="00633370">
        <w:t>. NDIA will support the early adopters of new technologies and new ways of using existing technologies. The Agency will, for example, support and promote multichannel access to information, expos, and planner and participant capacity-building to ensure participants, planners and therapists are aware of and promote innovative technology solutions.</w:t>
      </w:r>
    </w:p>
    <w:p w:rsidR="005517EB" w:rsidRPr="00633370" w:rsidRDefault="005517EB" w:rsidP="005517EB">
      <w:pPr>
        <w:numPr>
          <w:ilvl w:val="0"/>
          <w:numId w:val="19"/>
        </w:numPr>
      </w:pPr>
      <w:r w:rsidRPr="00033BE9">
        <w:t>Test</w:t>
      </w:r>
      <w:r>
        <w:t>ing</w:t>
      </w:r>
      <w:r w:rsidRPr="00033BE9">
        <w:t xml:space="preserve"> and trial</w:t>
      </w:r>
      <w:r>
        <w:t>ling</w:t>
      </w:r>
      <w:r w:rsidRPr="00033BE9">
        <w:t xml:space="preserve"> new technologies to stimulate industry solution development</w:t>
      </w:r>
      <w:r w:rsidRPr="00633370">
        <w:t xml:space="preserve">. NDIA will </w:t>
      </w:r>
      <w:r w:rsidRPr="00033BE9">
        <w:t>evaluate the early adoption of new technologies and new ways of using existing technologies through participant-led tests, trials and pilots, and disseminate the outcomes to promote market development and industry solutions.</w:t>
      </w:r>
    </w:p>
    <w:p w:rsidR="005517EB" w:rsidRPr="00633370" w:rsidRDefault="005517EB" w:rsidP="005517EB">
      <w:r w:rsidRPr="002853FF">
        <w:rPr>
          <w:bCs/>
        </w:rPr>
        <w:t xml:space="preserve">The innovation hub will </w:t>
      </w:r>
      <w:r>
        <w:rPr>
          <w:bCs/>
        </w:rPr>
        <w:t>likely incorporate both an on</w:t>
      </w:r>
      <w:r w:rsidR="00615598">
        <w:rPr>
          <w:bCs/>
        </w:rPr>
        <w:t xml:space="preserve">line and physical presence. A </w:t>
      </w:r>
      <w:r w:rsidRPr="002853FF">
        <w:t>feasibility, scoping and governance study is underway to determine its exact structure</w:t>
      </w:r>
      <w:r>
        <w:t xml:space="preserve"> and funding model</w:t>
      </w:r>
      <w:r w:rsidRPr="002853FF">
        <w:t>. Co-design with scheme participants is a critical element of the strategy to ensure participants’ needs and perspectives are understood and incorporated into the hub design.</w:t>
      </w:r>
    </w:p>
    <w:p w:rsidR="00903C3C" w:rsidRDefault="00903C3C">
      <w:pPr>
        <w:spacing w:before="0" w:after="0"/>
      </w:pPr>
      <w:r>
        <w:br w:type="page"/>
      </w:r>
    </w:p>
    <w:p w:rsidR="00EB0E2C" w:rsidRPr="00BC3662" w:rsidRDefault="00095073" w:rsidP="00903C3C">
      <w:pPr>
        <w:pStyle w:val="Heading2"/>
        <w:ind w:left="0" w:firstLine="0"/>
      </w:pPr>
      <w:bookmarkStart w:id="25" w:name="_Toc432683883"/>
      <w:r>
        <w:lastRenderedPageBreak/>
        <w:t>3</w:t>
      </w:r>
      <w:r w:rsidR="004558E1" w:rsidRPr="00F13632">
        <w:t xml:space="preserve">.2 </w:t>
      </w:r>
      <w:r w:rsidR="00C11808" w:rsidRPr="009D317C">
        <w:t xml:space="preserve">Support </w:t>
      </w:r>
      <w:r w:rsidR="002D5765">
        <w:t>&amp;</w:t>
      </w:r>
      <w:r w:rsidR="00C11808" w:rsidRPr="009D317C">
        <w:t xml:space="preserve"> stimulate active, informed, participant-led demand</w:t>
      </w:r>
      <w:bookmarkEnd w:id="25"/>
    </w:p>
    <w:p w:rsidR="0044616E" w:rsidRPr="00B00CEF" w:rsidRDefault="005517EB" w:rsidP="00E917B1">
      <w:pPr>
        <w:pStyle w:val="Heading3"/>
      </w:pPr>
      <w:bookmarkStart w:id="26" w:name="_Toc432683884"/>
      <w:r>
        <w:t>3.2.1</w:t>
      </w:r>
      <w:r w:rsidR="00A8323E">
        <w:t xml:space="preserve"> </w:t>
      </w:r>
      <w:r w:rsidR="0044616E" w:rsidRPr="00B00CEF">
        <w:t>Context</w:t>
      </w:r>
      <w:bookmarkEnd w:id="26"/>
    </w:p>
    <w:p w:rsidR="00411B4A" w:rsidRDefault="00C11808" w:rsidP="0044616E">
      <w:r w:rsidRPr="00823315">
        <w:t>P</w:t>
      </w:r>
      <w:r w:rsidR="0044616E" w:rsidRPr="009D317C">
        <w:t>eople</w:t>
      </w:r>
      <w:r w:rsidR="00F46BCA" w:rsidRPr="00BC3662">
        <w:t>’</w:t>
      </w:r>
      <w:r w:rsidR="0044616E" w:rsidRPr="00D851DF">
        <w:t xml:space="preserve">s lives </w:t>
      </w:r>
      <w:r w:rsidRPr="00194E14">
        <w:t>are</w:t>
      </w:r>
      <w:r w:rsidR="0044616E" w:rsidRPr="00131F0A">
        <w:t xml:space="preserve"> improved when they </w:t>
      </w:r>
      <w:r w:rsidRPr="00633370">
        <w:t>can</w:t>
      </w:r>
      <w:r w:rsidR="0044616E" w:rsidRPr="00633370">
        <w:t xml:space="preserve"> exercise choice and control in relation to the services and supports they receive</w:t>
      </w:r>
      <w:r w:rsidR="00F46BCA" w:rsidRPr="00633370">
        <w:t>.</w:t>
      </w:r>
      <w:r w:rsidR="0083526B" w:rsidRPr="00131F0A">
        <w:rPr>
          <w:rStyle w:val="FootnoteReference"/>
        </w:rPr>
        <w:footnoteReference w:id="5"/>
      </w:r>
      <w:r w:rsidR="00F46BCA" w:rsidRPr="00131F0A">
        <w:t xml:space="preserve"> </w:t>
      </w:r>
      <w:r w:rsidR="00903C3C">
        <w:t>The NDIS design will</w:t>
      </w:r>
      <w:r w:rsidR="00BA2F8F" w:rsidRPr="00633370">
        <w:t xml:space="preserve"> resolve many of the challenges people with disability </w:t>
      </w:r>
      <w:r w:rsidR="00BA2F8F">
        <w:t xml:space="preserve">have </w:t>
      </w:r>
      <w:r w:rsidR="00BA2F8F" w:rsidRPr="00633370">
        <w:t>face</w:t>
      </w:r>
      <w:r w:rsidR="00BA2F8F">
        <w:t>d</w:t>
      </w:r>
      <w:r w:rsidR="00BA2F8F" w:rsidRPr="00633370">
        <w:t xml:space="preserve"> in exercising choice around AT</w:t>
      </w:r>
      <w:r w:rsidR="00146F22">
        <w:t xml:space="preserve">, given </w:t>
      </w:r>
      <w:r w:rsidR="008C7C34">
        <w:t>p</w:t>
      </w:r>
      <w:r w:rsidR="00BA2F8F" w:rsidRPr="00633370">
        <w:t>revious funding schemes have, by necessity, limited the subsi</w:t>
      </w:r>
      <w:r w:rsidR="00903C3C">
        <w:t xml:space="preserve">dies available for AT, which </w:t>
      </w:r>
      <w:r w:rsidR="00BA2F8F" w:rsidRPr="00633370">
        <w:t>limited many individuals’ ability to choose the best solutions for them from a range of options</w:t>
      </w:r>
      <w:r w:rsidR="00BA2F8F">
        <w:t xml:space="preserve">. </w:t>
      </w:r>
    </w:p>
    <w:p w:rsidR="00BA2F8F" w:rsidRDefault="00411B4A" w:rsidP="0044616E">
      <w:r>
        <w:t xml:space="preserve">Challenges </w:t>
      </w:r>
      <w:r w:rsidR="00146F22">
        <w:t>noted in the research include</w:t>
      </w:r>
      <w:r w:rsidR="00BA2F8F">
        <w:t>:</w:t>
      </w:r>
    </w:p>
    <w:p w:rsidR="00BA2F8F" w:rsidRPr="00633370" w:rsidRDefault="005A31FE" w:rsidP="00D605BC">
      <w:pPr>
        <w:numPr>
          <w:ilvl w:val="0"/>
          <w:numId w:val="19"/>
        </w:numPr>
      </w:pPr>
      <w:r>
        <w:t>s</w:t>
      </w:r>
      <w:r w:rsidRPr="00633370">
        <w:t xml:space="preserve">ystem </w:t>
      </w:r>
      <w:r w:rsidR="00BA2F8F" w:rsidRPr="00633370">
        <w:t>complexity, including multiple access pathways;</w:t>
      </w:r>
    </w:p>
    <w:p w:rsidR="00BA2F8F" w:rsidRPr="00633370" w:rsidRDefault="005A31FE" w:rsidP="00D605BC">
      <w:pPr>
        <w:numPr>
          <w:ilvl w:val="0"/>
          <w:numId w:val="19"/>
        </w:numPr>
      </w:pPr>
      <w:r>
        <w:t>g</w:t>
      </w:r>
      <w:r w:rsidRPr="00633370">
        <w:t xml:space="preserve">aps </w:t>
      </w:r>
      <w:r w:rsidR="00BA2F8F" w:rsidRPr="00633370">
        <w:t>in access to some AT items;</w:t>
      </w:r>
    </w:p>
    <w:p w:rsidR="00BA2F8F" w:rsidRPr="00633370" w:rsidRDefault="005A31FE" w:rsidP="00D605BC">
      <w:pPr>
        <w:numPr>
          <w:ilvl w:val="0"/>
          <w:numId w:val="19"/>
        </w:numPr>
      </w:pPr>
      <w:r>
        <w:t>p</w:t>
      </w:r>
      <w:r w:rsidRPr="00633370">
        <w:t xml:space="preserve">oor </w:t>
      </w:r>
      <w:r w:rsidR="00BA2F8F" w:rsidRPr="00633370">
        <w:t>understanding of referral processes and funding streams;</w:t>
      </w:r>
    </w:p>
    <w:p w:rsidR="00903C3C" w:rsidRDefault="005A31FE" w:rsidP="00903C3C">
      <w:pPr>
        <w:numPr>
          <w:ilvl w:val="0"/>
          <w:numId w:val="19"/>
        </w:numPr>
      </w:pPr>
      <w:r>
        <w:t>d</w:t>
      </w:r>
      <w:r w:rsidRPr="00633370">
        <w:t xml:space="preserve">ependence </w:t>
      </w:r>
      <w:r w:rsidR="00BA2F8F" w:rsidRPr="00633370">
        <w:t>on therapists and suppliers for assessment and technical expertise, coupled with delays in access to therapists and c</w:t>
      </w:r>
      <w:r w:rsidR="00903C3C">
        <w:t>onsequently to AT solutions;</w:t>
      </w:r>
    </w:p>
    <w:p w:rsidR="00BA2F8F" w:rsidRPr="00633370" w:rsidRDefault="00BA2F8F" w:rsidP="00903C3C">
      <w:pPr>
        <w:numPr>
          <w:ilvl w:val="0"/>
          <w:numId w:val="19"/>
        </w:numPr>
      </w:pPr>
      <w:r w:rsidRPr="00633370">
        <w:t xml:space="preserve">inflexible criteria for eligibility for particular types of allied health support and therefore access to funding for AT; </w:t>
      </w:r>
      <w:r w:rsidR="002D5765">
        <w:t>and</w:t>
      </w:r>
      <w:r w:rsidR="00903C3C">
        <w:t>,</w:t>
      </w:r>
    </w:p>
    <w:p w:rsidR="00BA2F8F" w:rsidRPr="00F13632" w:rsidRDefault="005A31FE" w:rsidP="00D605BC">
      <w:pPr>
        <w:numPr>
          <w:ilvl w:val="0"/>
          <w:numId w:val="19"/>
        </w:numPr>
      </w:pPr>
      <w:proofErr w:type="gramStart"/>
      <w:r>
        <w:t>i</w:t>
      </w:r>
      <w:r w:rsidRPr="00633370">
        <w:t>nconsistent</w:t>
      </w:r>
      <w:proofErr w:type="gramEnd"/>
      <w:r w:rsidRPr="00633370">
        <w:t xml:space="preserve"> </w:t>
      </w:r>
      <w:r w:rsidR="00BA2F8F" w:rsidRPr="00633370">
        <w:t>provision of AT solutions and long application processes—the research shows that the most significant challenges are AT affordability, inflexibility in the face of changing needs, an</w:t>
      </w:r>
      <w:r w:rsidR="002D5765">
        <w:t>d long waiting times for access.</w:t>
      </w:r>
      <w:r w:rsidR="00BA2F8F" w:rsidRPr="00F13632">
        <w:rPr>
          <w:rFonts w:ascii="Georgia" w:hAnsi="Georgia"/>
          <w:vertAlign w:val="superscript"/>
        </w:rPr>
        <w:footnoteReference w:id="6"/>
      </w:r>
      <w:r w:rsidR="00BA2F8F" w:rsidRPr="00F13632">
        <w:t xml:space="preserve"> </w:t>
      </w:r>
    </w:p>
    <w:p w:rsidR="008C7C34" w:rsidRPr="00131F0A" w:rsidRDefault="00BB0C1D" w:rsidP="002D5765">
      <w:r>
        <w:t>The research also shows that p</w:t>
      </w:r>
      <w:r w:rsidRPr="00B00CEF">
        <w:t xml:space="preserve">eople </w:t>
      </w:r>
      <w:r w:rsidRPr="00C17077">
        <w:t>who reside in rural and remote</w:t>
      </w:r>
      <w:r w:rsidR="00937698">
        <w:t xml:space="preserve"> communities,</w:t>
      </w:r>
      <w:r w:rsidRPr="00C17077">
        <w:t xml:space="preserve"> and Aboriginal and Torres Strait Islander communities</w:t>
      </w:r>
      <w:r>
        <w:t>,</w:t>
      </w:r>
      <w:r w:rsidR="008C7C34" w:rsidRPr="00BC3662">
        <w:t xml:space="preserve"> have limited choice and control over access to AT solutions and produc</w:t>
      </w:r>
      <w:r w:rsidR="008C7C34" w:rsidRPr="00D851DF">
        <w:t xml:space="preserve">ts </w:t>
      </w:r>
      <w:r w:rsidR="002D5765">
        <w:t xml:space="preserve">made </w:t>
      </w:r>
      <w:r w:rsidR="008C7C34" w:rsidRPr="004E254D">
        <w:t xml:space="preserve">with </w:t>
      </w:r>
      <w:r w:rsidR="008C7C34" w:rsidRPr="00194E14">
        <w:t xml:space="preserve">materials and </w:t>
      </w:r>
      <w:r w:rsidR="002D5765">
        <w:t xml:space="preserve">in </w:t>
      </w:r>
      <w:r w:rsidR="008C7C34" w:rsidRPr="00194E14">
        <w:t>design</w:t>
      </w:r>
      <w:r w:rsidR="002D5765">
        <w:t>s</w:t>
      </w:r>
      <w:r w:rsidR="008C7C34" w:rsidRPr="00194E14">
        <w:t xml:space="preserve"> appropriate to their needs and environment. </w:t>
      </w:r>
    </w:p>
    <w:p w:rsidR="00411B4A" w:rsidRDefault="0044616E" w:rsidP="00411B4A">
      <w:r w:rsidRPr="00633370">
        <w:t>The NDIS Independent Advisory Council</w:t>
      </w:r>
      <w:r w:rsidR="00F46C64">
        <w:t>,</w:t>
      </w:r>
      <w:r w:rsidRPr="00633370">
        <w:t xml:space="preserve"> in its analysis of choice and control</w:t>
      </w:r>
      <w:r w:rsidR="00F922D7" w:rsidRPr="00131F0A">
        <w:rPr>
          <w:rStyle w:val="FootnoteReference"/>
        </w:rPr>
        <w:footnoteReference w:id="7"/>
      </w:r>
      <w:r w:rsidR="00F46C64">
        <w:t>,</w:t>
      </w:r>
      <w:r w:rsidRPr="00131F0A">
        <w:t xml:space="preserve"> noted that </w:t>
      </w:r>
      <w:r w:rsidR="00C11808" w:rsidRPr="00633370">
        <w:t xml:space="preserve">the </w:t>
      </w:r>
      <w:r w:rsidRPr="00633370">
        <w:t>essential enablers</w:t>
      </w:r>
      <w:r w:rsidR="009C668B">
        <w:t>,</w:t>
      </w:r>
      <w:r w:rsidRPr="00633370">
        <w:t xml:space="preserve"> </w:t>
      </w:r>
      <w:r w:rsidR="008C7C34">
        <w:t>to overcome existing challenges</w:t>
      </w:r>
      <w:r w:rsidR="00411B4A">
        <w:t xml:space="preserve"> </w:t>
      </w:r>
      <w:r w:rsidRPr="00633370">
        <w:t>are</w:t>
      </w:r>
      <w:r w:rsidR="00411B4A">
        <w:t>:</w:t>
      </w:r>
    </w:p>
    <w:p w:rsidR="00411B4A" w:rsidRDefault="00411B4A" w:rsidP="00F90857">
      <w:pPr>
        <w:numPr>
          <w:ilvl w:val="0"/>
          <w:numId w:val="19"/>
        </w:numPr>
      </w:pPr>
      <w:r>
        <w:t>access to information;</w:t>
      </w:r>
    </w:p>
    <w:p w:rsidR="00411B4A" w:rsidRDefault="0044616E" w:rsidP="00F90857">
      <w:pPr>
        <w:numPr>
          <w:ilvl w:val="0"/>
          <w:numId w:val="19"/>
        </w:numPr>
      </w:pPr>
      <w:r w:rsidRPr="00633370">
        <w:t>support in decision</w:t>
      </w:r>
      <w:r w:rsidR="00E46826" w:rsidRPr="00633370">
        <w:t>-</w:t>
      </w:r>
      <w:r w:rsidR="00411B4A">
        <w:t>making;</w:t>
      </w:r>
    </w:p>
    <w:p w:rsidR="00411B4A" w:rsidRDefault="0044616E" w:rsidP="00F90857">
      <w:pPr>
        <w:numPr>
          <w:ilvl w:val="0"/>
          <w:numId w:val="19"/>
        </w:numPr>
      </w:pPr>
      <w:r w:rsidRPr="00633370">
        <w:t>power over resources and relationships</w:t>
      </w:r>
      <w:r w:rsidR="00411B4A">
        <w:t xml:space="preserve">; </w:t>
      </w:r>
      <w:r w:rsidRPr="00633370">
        <w:t>and</w:t>
      </w:r>
      <w:r w:rsidR="00411B4A">
        <w:t>,</w:t>
      </w:r>
    </w:p>
    <w:p w:rsidR="00411B4A" w:rsidRDefault="0044616E" w:rsidP="00F90857">
      <w:pPr>
        <w:numPr>
          <w:ilvl w:val="0"/>
          <w:numId w:val="19"/>
        </w:numPr>
      </w:pPr>
      <w:proofErr w:type="gramStart"/>
      <w:r w:rsidRPr="00633370">
        <w:t>the</w:t>
      </w:r>
      <w:proofErr w:type="gramEnd"/>
      <w:r w:rsidRPr="00633370">
        <w:t xml:space="preserve"> opportunity to think and dream about alternatives. </w:t>
      </w:r>
    </w:p>
    <w:p w:rsidR="0044616E" w:rsidRPr="00633370" w:rsidRDefault="00C11808" w:rsidP="00411B4A">
      <w:r w:rsidRPr="00633370">
        <w:t xml:space="preserve">Together, these constitute the prerequisites for an effective demand-side market. </w:t>
      </w:r>
    </w:p>
    <w:p w:rsidR="006871B7" w:rsidRPr="00633370" w:rsidRDefault="0083526B" w:rsidP="006871B7">
      <w:pPr>
        <w:rPr>
          <w:bCs/>
        </w:rPr>
      </w:pPr>
      <w:r w:rsidRPr="00633370">
        <w:rPr>
          <w:bCs/>
        </w:rPr>
        <w:t>AT uptake</w:t>
      </w:r>
      <w:r w:rsidR="002554CD" w:rsidRPr="00633370">
        <w:rPr>
          <w:bCs/>
        </w:rPr>
        <w:t xml:space="preserve"> and usage</w:t>
      </w:r>
      <w:r w:rsidR="00C11808" w:rsidRPr="00633370">
        <w:rPr>
          <w:bCs/>
        </w:rPr>
        <w:t xml:space="preserve"> </w:t>
      </w:r>
      <w:r w:rsidR="00AB18FC" w:rsidRPr="00633370">
        <w:rPr>
          <w:bCs/>
        </w:rPr>
        <w:t>are</w:t>
      </w:r>
      <w:r w:rsidR="00C11808" w:rsidRPr="00633370">
        <w:rPr>
          <w:bCs/>
        </w:rPr>
        <w:t xml:space="preserve"> expected to increase when demand is driven by participants’ own informed decision-making </w:t>
      </w:r>
      <w:r w:rsidR="002554CD" w:rsidRPr="00633370">
        <w:rPr>
          <w:bCs/>
        </w:rPr>
        <w:t>—</w:t>
      </w:r>
      <w:r w:rsidR="00877E93">
        <w:rPr>
          <w:bCs/>
        </w:rPr>
        <w:t xml:space="preserve"> in contrast</w:t>
      </w:r>
      <w:r w:rsidR="006004C9" w:rsidRPr="00633370">
        <w:rPr>
          <w:bCs/>
        </w:rPr>
        <w:t xml:space="preserve">, </w:t>
      </w:r>
      <w:r w:rsidR="002554CD" w:rsidRPr="00633370">
        <w:rPr>
          <w:bCs/>
        </w:rPr>
        <w:t>the</w:t>
      </w:r>
      <w:r w:rsidRPr="00633370">
        <w:rPr>
          <w:bCs/>
        </w:rPr>
        <w:t xml:space="preserve"> </w:t>
      </w:r>
      <w:r w:rsidRPr="00633370">
        <w:t xml:space="preserve">research suggests a 30% abandonment rate for AT when the user has had </w:t>
      </w:r>
      <w:r w:rsidR="00C11808" w:rsidRPr="00633370">
        <w:t xml:space="preserve">little </w:t>
      </w:r>
      <w:r w:rsidRPr="00633370">
        <w:t>opportunity to exercise choice and control.</w:t>
      </w:r>
      <w:r w:rsidRPr="00F13632">
        <w:rPr>
          <w:rFonts w:ascii="Georgia" w:hAnsi="Georgia"/>
          <w:vertAlign w:val="superscript"/>
        </w:rPr>
        <w:footnoteReference w:id="8"/>
      </w:r>
      <w:r w:rsidR="006871B7" w:rsidRPr="00F13632">
        <w:t xml:space="preserve"> </w:t>
      </w:r>
      <w:r w:rsidR="002554CD" w:rsidRPr="00B00CEF">
        <w:t>In addition,</w:t>
      </w:r>
      <w:r w:rsidR="006871B7" w:rsidRPr="003C18F2">
        <w:t xml:space="preserve"> innovative solutions are more likely to be</w:t>
      </w:r>
      <w:r w:rsidR="002554CD" w:rsidRPr="00823315">
        <w:t xml:space="preserve"> generated, and to be</w:t>
      </w:r>
      <w:r w:rsidR="006871B7" w:rsidRPr="009D317C">
        <w:t xml:space="preserve"> genuinely valuable </w:t>
      </w:r>
      <w:r w:rsidR="002554CD" w:rsidRPr="00BC3662">
        <w:t xml:space="preserve">to </w:t>
      </w:r>
      <w:r w:rsidR="006871B7" w:rsidRPr="00D851DF">
        <w:t>and em</w:t>
      </w:r>
      <w:r w:rsidR="002554CD" w:rsidRPr="004E254D">
        <w:t>braced by the disability sector, when people with</w:t>
      </w:r>
      <w:r w:rsidR="006871B7" w:rsidRPr="00194E14">
        <w:t xml:space="preserve"> disability </w:t>
      </w:r>
      <w:r w:rsidR="002554CD" w:rsidRPr="00131F0A">
        <w:t>are affor</w:t>
      </w:r>
      <w:r w:rsidR="002554CD" w:rsidRPr="00633370">
        <w:t>ded the</w:t>
      </w:r>
      <w:r w:rsidR="006871B7" w:rsidRPr="00633370">
        <w:t xml:space="preserve"> dignity of </w:t>
      </w:r>
      <w:r w:rsidR="002554CD" w:rsidRPr="00633370">
        <w:t xml:space="preserve">exercising choice, based on </w:t>
      </w:r>
      <w:r w:rsidR="006871B7" w:rsidRPr="00633370">
        <w:t>think</w:t>
      </w:r>
      <w:r w:rsidR="002554CD" w:rsidRPr="00633370">
        <w:t>ing</w:t>
      </w:r>
      <w:r w:rsidR="006871B7" w:rsidRPr="00633370">
        <w:t xml:space="preserve"> and dream</w:t>
      </w:r>
      <w:r w:rsidR="002554CD" w:rsidRPr="00633370">
        <w:t>ing</w:t>
      </w:r>
      <w:r w:rsidR="006871B7" w:rsidRPr="00633370">
        <w:t xml:space="preserve"> about alternatives to current services and resources.   </w:t>
      </w:r>
    </w:p>
    <w:p w:rsidR="007D3436" w:rsidRDefault="0044616E" w:rsidP="007D3436">
      <w:pPr>
        <w:rPr>
          <w:rFonts w:eastAsia="Times New Roman"/>
          <w:iCs/>
        </w:rPr>
      </w:pPr>
      <w:r w:rsidRPr="007D3436">
        <w:rPr>
          <w:bCs/>
        </w:rPr>
        <w:t>Digit</w:t>
      </w:r>
      <w:r w:rsidR="00CE2C9A" w:rsidRPr="007D3436">
        <w:rPr>
          <w:bCs/>
        </w:rPr>
        <w:t>is</w:t>
      </w:r>
      <w:r w:rsidRPr="007D3436">
        <w:rPr>
          <w:bCs/>
        </w:rPr>
        <w:t xml:space="preserve">ation, </w:t>
      </w:r>
      <w:r w:rsidR="00BB0C1D">
        <w:rPr>
          <w:bCs/>
        </w:rPr>
        <w:t>internet</w:t>
      </w:r>
      <w:r w:rsidR="00C11808" w:rsidRPr="007D3436">
        <w:rPr>
          <w:bCs/>
        </w:rPr>
        <w:t xml:space="preserve"> </w:t>
      </w:r>
      <w:r w:rsidRPr="007D3436">
        <w:rPr>
          <w:bCs/>
        </w:rPr>
        <w:t xml:space="preserve">access and social media have massively increased </w:t>
      </w:r>
      <w:r w:rsidR="00C11808" w:rsidRPr="007D3436">
        <w:rPr>
          <w:bCs/>
        </w:rPr>
        <w:t xml:space="preserve">all </w:t>
      </w:r>
      <w:r w:rsidRPr="007D3436">
        <w:rPr>
          <w:bCs/>
        </w:rPr>
        <w:t xml:space="preserve">consumers’ access to information on </w:t>
      </w:r>
      <w:r w:rsidR="00665B67" w:rsidRPr="007D3436">
        <w:rPr>
          <w:bCs/>
        </w:rPr>
        <w:t xml:space="preserve">generally available </w:t>
      </w:r>
      <w:r w:rsidRPr="007D3436">
        <w:rPr>
          <w:bCs/>
        </w:rPr>
        <w:t xml:space="preserve">products and services. </w:t>
      </w:r>
      <w:r w:rsidR="0083526B" w:rsidRPr="007D3436">
        <w:rPr>
          <w:bCs/>
        </w:rPr>
        <w:t xml:space="preserve">Providing the same kind of access </w:t>
      </w:r>
      <w:r w:rsidRPr="007D3436">
        <w:rPr>
          <w:bCs/>
        </w:rPr>
        <w:t xml:space="preserve">to </w:t>
      </w:r>
      <w:r w:rsidR="0083526B" w:rsidRPr="007D3436">
        <w:rPr>
          <w:bCs/>
        </w:rPr>
        <w:t xml:space="preserve">AT </w:t>
      </w:r>
      <w:r w:rsidRPr="007D3436">
        <w:rPr>
          <w:bCs/>
        </w:rPr>
        <w:t xml:space="preserve">information, knowledge and experience </w:t>
      </w:r>
      <w:r w:rsidR="0083526B" w:rsidRPr="007D3436">
        <w:rPr>
          <w:bCs/>
        </w:rPr>
        <w:t>will support people with disability to understand</w:t>
      </w:r>
      <w:r w:rsidRPr="007D3436">
        <w:rPr>
          <w:bCs/>
        </w:rPr>
        <w:t xml:space="preserve"> the </w:t>
      </w:r>
      <w:r w:rsidR="0083526B" w:rsidRPr="007D3436">
        <w:rPr>
          <w:bCs/>
        </w:rPr>
        <w:t xml:space="preserve">available </w:t>
      </w:r>
      <w:r w:rsidRPr="007D3436">
        <w:rPr>
          <w:bCs/>
        </w:rPr>
        <w:t xml:space="preserve">options </w:t>
      </w:r>
      <w:r w:rsidR="0083526B" w:rsidRPr="007D3436">
        <w:rPr>
          <w:bCs/>
        </w:rPr>
        <w:t>and make informed decisions on them. Some recent progress has been made with the</w:t>
      </w:r>
      <w:r w:rsidRPr="007D3436">
        <w:rPr>
          <w:bCs/>
        </w:rPr>
        <w:t xml:space="preserve"> establishment of networks (often on social media platforms) where information on AT can be shared and reviewed, and technology solutions can even be bought and sold (‘The Roundabout’ website is an example). </w:t>
      </w:r>
      <w:r w:rsidR="0083526B" w:rsidRPr="007D3436">
        <w:rPr>
          <w:bCs/>
        </w:rPr>
        <w:t>This is a</w:t>
      </w:r>
      <w:r w:rsidRPr="007D3436">
        <w:rPr>
          <w:bCs/>
        </w:rPr>
        <w:t xml:space="preserve"> positive development but </w:t>
      </w:r>
      <w:r w:rsidR="0083526B" w:rsidRPr="007D3436">
        <w:rPr>
          <w:bCs/>
        </w:rPr>
        <w:t>the answer is not simply more of the same—</w:t>
      </w:r>
      <w:r w:rsidRPr="007D3436">
        <w:rPr>
          <w:bCs/>
        </w:rPr>
        <w:t xml:space="preserve">an explosion </w:t>
      </w:r>
      <w:r w:rsidR="0003327A" w:rsidRPr="007D3436">
        <w:rPr>
          <w:bCs/>
        </w:rPr>
        <w:lastRenderedPageBreak/>
        <w:t xml:space="preserve">of </w:t>
      </w:r>
      <w:r w:rsidRPr="007D3436">
        <w:rPr>
          <w:bCs/>
        </w:rPr>
        <w:t xml:space="preserve">information does not necessarily lead to knowledgeable consumers. Setting aside concerns </w:t>
      </w:r>
      <w:r w:rsidR="0095617E" w:rsidRPr="007D3436">
        <w:rPr>
          <w:bCs/>
        </w:rPr>
        <w:t xml:space="preserve">about </w:t>
      </w:r>
      <w:r w:rsidRPr="007D3436">
        <w:rPr>
          <w:bCs/>
        </w:rPr>
        <w:t>accuracy and credibility, flooding people with all the available information can lead to limited decision-making, with only one variable, such as price or brand, considered.</w:t>
      </w:r>
    </w:p>
    <w:p w:rsidR="0044616E" w:rsidRDefault="00095073" w:rsidP="00E917B1">
      <w:pPr>
        <w:pStyle w:val="Heading3"/>
      </w:pPr>
      <w:bookmarkStart w:id="27" w:name="_Toc432683885"/>
      <w:r>
        <w:t>3</w:t>
      </w:r>
      <w:r w:rsidR="005517EB">
        <w:t>.2.2</w:t>
      </w:r>
      <w:r w:rsidR="0052118A" w:rsidRPr="00F13632">
        <w:t xml:space="preserve"> </w:t>
      </w:r>
      <w:r w:rsidR="00411B4A">
        <w:t xml:space="preserve">Opportunities identified by the </w:t>
      </w:r>
      <w:r w:rsidR="0044616E" w:rsidRPr="00B00CEF">
        <w:t>NDIA</w:t>
      </w:r>
      <w:bookmarkEnd w:id="27"/>
    </w:p>
    <w:p w:rsidR="00937698" w:rsidRDefault="001145D9" w:rsidP="007214DF">
      <w:r>
        <w:t>The NDIA AT Sector Reference Group agreed on four AT elements or cornerstones that</w:t>
      </w:r>
      <w:r w:rsidR="00A75B1C">
        <w:t>,</w:t>
      </w:r>
      <w:r>
        <w:t xml:space="preserve"> from a participant perspective</w:t>
      </w:r>
      <w:r w:rsidR="00A75B1C">
        <w:t>, need to be included</w:t>
      </w:r>
      <w:r>
        <w:t xml:space="preserve"> in the delivery of AT </w:t>
      </w:r>
      <w:r w:rsidR="00937698">
        <w:t>services. The four cornerstones of AT service delivery are:</w:t>
      </w:r>
    </w:p>
    <w:p w:rsidR="00937698" w:rsidRDefault="00937698" w:rsidP="00937698">
      <w:pPr>
        <w:ind w:firstLine="720"/>
      </w:pPr>
      <w:r w:rsidRPr="00937698">
        <w:rPr>
          <w:b/>
        </w:rPr>
        <w:t>First Phase</w:t>
      </w:r>
      <w:r>
        <w:t>: Initiation, Assessment, Solution, Selection</w:t>
      </w:r>
    </w:p>
    <w:p w:rsidR="00937698" w:rsidRDefault="00937698" w:rsidP="00937698">
      <w:pPr>
        <w:ind w:firstLine="720"/>
      </w:pPr>
      <w:r w:rsidRPr="00937698">
        <w:rPr>
          <w:b/>
        </w:rPr>
        <w:t>Second Phase:</w:t>
      </w:r>
      <w:r>
        <w:t xml:space="preserve"> Authorisation, Acquisition, Sourcing and Procurement</w:t>
      </w:r>
    </w:p>
    <w:p w:rsidR="00937698" w:rsidRDefault="00937698" w:rsidP="00937698">
      <w:pPr>
        <w:ind w:firstLine="720"/>
      </w:pPr>
      <w:r w:rsidRPr="00937698">
        <w:rPr>
          <w:b/>
        </w:rPr>
        <w:t>Third Phase:</w:t>
      </w:r>
      <w:r w:rsidR="00F35ABD">
        <w:t xml:space="preserve"> Implementation, Delivery, Set-</w:t>
      </w:r>
      <w:r>
        <w:t>Up, Training</w:t>
      </w:r>
    </w:p>
    <w:p w:rsidR="00937698" w:rsidRDefault="00937698" w:rsidP="00937698">
      <w:pPr>
        <w:ind w:firstLine="720"/>
      </w:pPr>
      <w:r w:rsidRPr="00937698">
        <w:rPr>
          <w:b/>
        </w:rPr>
        <w:t>Ongoing:</w:t>
      </w:r>
      <w:r>
        <w:t xml:space="preserve"> Follow-up and Review</w:t>
      </w:r>
    </w:p>
    <w:p w:rsidR="001145D9" w:rsidRPr="001145D9" w:rsidRDefault="001145D9" w:rsidP="007214DF">
      <w:r>
        <w:t>The</w:t>
      </w:r>
      <w:r w:rsidR="00A75B1C">
        <w:t>se</w:t>
      </w:r>
      <w:r>
        <w:t xml:space="preserve"> cornerstones </w:t>
      </w:r>
      <w:r w:rsidR="00A75B1C">
        <w:t>underpin</w:t>
      </w:r>
      <w:r>
        <w:t xml:space="preserve"> all the service components that should be included in a participant pathway. </w:t>
      </w:r>
      <w:r w:rsidR="00937698">
        <w:t xml:space="preserve">The cornerstones are further explained at Appendix 4. </w:t>
      </w:r>
      <w:r>
        <w:t>From this work</w:t>
      </w:r>
      <w:r w:rsidR="00C63C5D">
        <w:t>,</w:t>
      </w:r>
      <w:r>
        <w:t xml:space="preserve"> the following opportunities were identified to</w:t>
      </w:r>
      <w:r w:rsidR="00A75B1C">
        <w:t xml:space="preserve"> maximise informed, participant-</w:t>
      </w:r>
      <w:r>
        <w:t>led demand.</w:t>
      </w:r>
    </w:p>
    <w:p w:rsidR="0044616E" w:rsidRPr="00D851DF" w:rsidRDefault="00B167F3" w:rsidP="00BA2F8F">
      <w:pPr>
        <w:pStyle w:val="Heading4"/>
      </w:pPr>
      <w:r w:rsidRPr="003C18F2">
        <w:t xml:space="preserve">a) </w:t>
      </w:r>
      <w:r w:rsidR="0044616E" w:rsidRPr="00823315">
        <w:t xml:space="preserve">Address information asymmetry </w:t>
      </w:r>
      <w:r w:rsidR="00665B67" w:rsidRPr="00BC3662">
        <w:t xml:space="preserve">on </w:t>
      </w:r>
      <w:r w:rsidR="0044616E" w:rsidRPr="00D851DF">
        <w:t>AT choices and options</w:t>
      </w:r>
    </w:p>
    <w:p w:rsidR="0044616E" w:rsidRPr="00633370" w:rsidRDefault="0044616E" w:rsidP="0044616E">
      <w:r w:rsidRPr="004E254D">
        <w:t>Suppliers and therapists generally have more information about available AT than scheme</w:t>
      </w:r>
      <w:r w:rsidRPr="00194E14">
        <w:t xml:space="preserve"> participants or their families or carers.  As identified by economist George </w:t>
      </w:r>
      <w:proofErr w:type="spellStart"/>
      <w:r w:rsidRPr="00194E14">
        <w:t>Akerlof</w:t>
      </w:r>
      <w:proofErr w:type="spellEnd"/>
      <w:r w:rsidRPr="00194E14">
        <w:t>, information asymmetries can reduce the quality of goods</w:t>
      </w:r>
      <w:r w:rsidRPr="00F13632">
        <w:rPr>
          <w:rFonts w:ascii="Georgia" w:hAnsi="Georgia"/>
          <w:vertAlign w:val="superscript"/>
        </w:rPr>
        <w:footnoteReference w:id="9"/>
      </w:r>
      <w:r w:rsidRPr="00F13632">
        <w:t xml:space="preserve"> so addressing these will not only increase participants’ choice and control </w:t>
      </w:r>
      <w:r w:rsidR="00665B67" w:rsidRPr="003C18F2">
        <w:t xml:space="preserve">in relation to </w:t>
      </w:r>
      <w:r w:rsidRPr="00823315">
        <w:t xml:space="preserve">AT but </w:t>
      </w:r>
      <w:r w:rsidR="00BA2F8F">
        <w:t>should also</w:t>
      </w:r>
      <w:r w:rsidR="00BA2F8F" w:rsidRPr="00823315">
        <w:t xml:space="preserve"> </w:t>
      </w:r>
      <w:r w:rsidRPr="00823315">
        <w:t>improv</w:t>
      </w:r>
      <w:r w:rsidR="00937698">
        <w:t>e the quality of future</w:t>
      </w:r>
      <w:r w:rsidR="00F35ABD">
        <w:t xml:space="preserve"> AT</w:t>
      </w:r>
      <w:r w:rsidR="00937698">
        <w:t xml:space="preserve">. </w:t>
      </w:r>
      <w:r w:rsidRPr="00194E14">
        <w:t>This view is supported by fe</w:t>
      </w:r>
      <w:r w:rsidR="00F35ABD">
        <w:t>edback on</w:t>
      </w:r>
      <w:r w:rsidRPr="00194E14">
        <w:t xml:space="preserve"> </w:t>
      </w:r>
      <w:r w:rsidR="0095617E" w:rsidRPr="00131F0A">
        <w:t xml:space="preserve">the </w:t>
      </w:r>
      <w:r w:rsidRPr="00633370">
        <w:t>NDIA discussion paper</w:t>
      </w:r>
      <w:r w:rsidR="0095617E" w:rsidRPr="00633370">
        <w:t xml:space="preserve"> disseminated to </w:t>
      </w:r>
      <w:r w:rsidR="00D425D3" w:rsidRPr="00633370">
        <w:t>disability support providers</w:t>
      </w:r>
      <w:r w:rsidR="0095617E" w:rsidRPr="00633370">
        <w:t>, suppliers, allied health professionals</w:t>
      </w:r>
      <w:r w:rsidR="00F35ABD">
        <w:t xml:space="preserve">, and participants and </w:t>
      </w:r>
      <w:r w:rsidR="0095617E" w:rsidRPr="00633370">
        <w:t>family members</w:t>
      </w:r>
      <w:r w:rsidR="00EE7C34" w:rsidRPr="00633370">
        <w:t xml:space="preserve"> in December 2014. The feedback</w:t>
      </w:r>
      <w:r w:rsidRPr="00633370">
        <w:t xml:space="preserve"> </w:t>
      </w:r>
      <w:r w:rsidR="00411B4A">
        <w:t>confirmed</w:t>
      </w:r>
      <w:r w:rsidRPr="00633370">
        <w:t xml:space="preserve"> the need for </w:t>
      </w:r>
      <w:r w:rsidRPr="00633370">
        <w:rPr>
          <w:bCs/>
        </w:rPr>
        <w:t>comprehensive</w:t>
      </w:r>
      <w:r w:rsidRPr="00633370">
        <w:t xml:space="preserve"> and </w:t>
      </w:r>
      <w:r w:rsidRPr="00633370">
        <w:rPr>
          <w:bCs/>
        </w:rPr>
        <w:t>current</w:t>
      </w:r>
      <w:r w:rsidRPr="00633370">
        <w:t xml:space="preserve"> information</w:t>
      </w:r>
      <w:r w:rsidR="0095617E" w:rsidRPr="00633370">
        <w:t xml:space="preserve"> about all AT options</w:t>
      </w:r>
      <w:r w:rsidRPr="00633370">
        <w:t>, including product pricing and after</w:t>
      </w:r>
      <w:r w:rsidR="00665B67" w:rsidRPr="00633370">
        <w:t>-</w:t>
      </w:r>
      <w:r w:rsidRPr="00633370">
        <w:t xml:space="preserve">sales support, to be </w:t>
      </w:r>
      <w:r w:rsidRPr="00633370">
        <w:rPr>
          <w:bCs/>
        </w:rPr>
        <w:t xml:space="preserve">easily accessible </w:t>
      </w:r>
      <w:r w:rsidRPr="00633370">
        <w:t xml:space="preserve">in a </w:t>
      </w:r>
      <w:r w:rsidR="00411B4A">
        <w:rPr>
          <w:bCs/>
        </w:rPr>
        <w:t>range of mediums</w:t>
      </w:r>
      <w:r w:rsidRPr="00633370">
        <w:t xml:space="preserve">. Participants should also be able to choose how they access and distil the information they need. </w:t>
      </w:r>
    </w:p>
    <w:p w:rsidR="0044616E" w:rsidRPr="00633370" w:rsidRDefault="0044616E" w:rsidP="0044616E">
      <w:pPr>
        <w:rPr>
          <w:i/>
        </w:rPr>
      </w:pPr>
      <w:r w:rsidRPr="00633370">
        <w:t>The opportunity</w:t>
      </w:r>
      <w:r w:rsidR="00937698">
        <w:t xml:space="preserve"> for NDIA is to respond by using</w:t>
      </w:r>
      <w:r w:rsidRPr="00633370">
        <w:t xml:space="preserve"> new and existing </w:t>
      </w:r>
      <w:r w:rsidR="00A803BD" w:rsidRPr="00633370">
        <w:t xml:space="preserve">AT </w:t>
      </w:r>
      <w:r w:rsidRPr="00633370">
        <w:t xml:space="preserve">information and support models to provide resources to inform decision-making and optimise the use of </w:t>
      </w:r>
      <w:r w:rsidR="00A803BD" w:rsidRPr="00633370">
        <w:t xml:space="preserve">technology </w:t>
      </w:r>
      <w:r w:rsidRPr="00633370">
        <w:t xml:space="preserve">solutions. </w:t>
      </w:r>
      <w:r w:rsidR="00A803BD" w:rsidRPr="00633370">
        <w:t>M</w:t>
      </w:r>
      <w:r w:rsidRPr="00633370">
        <w:t>ultichannel information sources</w:t>
      </w:r>
      <w:r w:rsidR="00411B4A">
        <w:t xml:space="preserve"> – online, in person, over the phone –</w:t>
      </w:r>
      <w:r w:rsidRPr="00633370">
        <w:t xml:space="preserve"> </w:t>
      </w:r>
      <w:r w:rsidR="00A803BD" w:rsidRPr="00633370">
        <w:t xml:space="preserve">are needed to </w:t>
      </w:r>
      <w:r w:rsidRPr="00633370">
        <w:t xml:space="preserve">meet the </w:t>
      </w:r>
      <w:r w:rsidR="00A803BD" w:rsidRPr="00633370">
        <w:t xml:space="preserve">diverse </w:t>
      </w:r>
      <w:r w:rsidRPr="00633370">
        <w:t xml:space="preserve">needs of </w:t>
      </w:r>
      <w:r w:rsidR="00A803BD" w:rsidRPr="00633370">
        <w:t xml:space="preserve">individuals with </w:t>
      </w:r>
      <w:r w:rsidRPr="00633370">
        <w:t xml:space="preserve">different </w:t>
      </w:r>
      <w:r w:rsidR="00A803BD" w:rsidRPr="00633370">
        <w:t xml:space="preserve">types of </w:t>
      </w:r>
      <w:r w:rsidRPr="00633370">
        <w:t xml:space="preserve">disabilities </w:t>
      </w:r>
      <w:r w:rsidR="00A803BD" w:rsidRPr="00633370">
        <w:t xml:space="preserve">in </w:t>
      </w:r>
      <w:r w:rsidRPr="00633370">
        <w:t>location</w:t>
      </w:r>
      <w:r w:rsidR="00A803BD" w:rsidRPr="00633370">
        <w:t>s with a variety (and sometimes a dearth) of information avenues and resources</w:t>
      </w:r>
      <w:r w:rsidRPr="00633370">
        <w:t xml:space="preserve">. In addition, access to intermediaries (e.g. therapists or independent experts) through </w:t>
      </w:r>
      <w:r w:rsidR="00A803BD" w:rsidRPr="00633370">
        <w:t xml:space="preserve">a multichannel </w:t>
      </w:r>
      <w:r w:rsidRPr="00633370">
        <w:t>model will assist participants in the decision-making process and support informed choice and control.</w:t>
      </w:r>
    </w:p>
    <w:p w:rsidR="0044616E" w:rsidRPr="00BA2F8F" w:rsidRDefault="00B167F3" w:rsidP="009614D6">
      <w:pPr>
        <w:pStyle w:val="Heading4"/>
        <w:rPr>
          <w:lang w:val="en-GB"/>
        </w:rPr>
      </w:pPr>
      <w:r w:rsidRPr="00BA2F8F">
        <w:rPr>
          <w:lang w:val="en-GB"/>
        </w:rPr>
        <w:t xml:space="preserve">b) </w:t>
      </w:r>
      <w:r w:rsidR="0044616E" w:rsidRPr="00BA2F8F">
        <w:rPr>
          <w:lang w:val="en-GB"/>
        </w:rPr>
        <w:t xml:space="preserve">Support </w:t>
      </w:r>
      <w:r w:rsidRPr="00BA2F8F">
        <w:rPr>
          <w:lang w:val="en-GB"/>
        </w:rPr>
        <w:t xml:space="preserve">capacity </w:t>
      </w:r>
      <w:r w:rsidR="00953366" w:rsidRPr="00BA2F8F">
        <w:rPr>
          <w:lang w:val="en-GB"/>
        </w:rPr>
        <w:t xml:space="preserve">building to optimise </w:t>
      </w:r>
      <w:r w:rsidR="0044616E" w:rsidRPr="00BA2F8F">
        <w:rPr>
          <w:lang w:val="en-GB"/>
        </w:rPr>
        <w:t>participant decision</w:t>
      </w:r>
      <w:r w:rsidR="000A399C" w:rsidRPr="00BA2F8F">
        <w:rPr>
          <w:lang w:val="en-GB"/>
        </w:rPr>
        <w:t>-</w:t>
      </w:r>
      <w:r w:rsidR="0044616E" w:rsidRPr="00BA2F8F">
        <w:rPr>
          <w:lang w:val="en-GB"/>
        </w:rPr>
        <w:t>making and choices</w:t>
      </w:r>
    </w:p>
    <w:p w:rsidR="0044616E" w:rsidRPr="00633370" w:rsidRDefault="0044616E" w:rsidP="0044616E">
      <w:r w:rsidRPr="00633370">
        <w:t>The NDIA, in conjunction with the AT Sector Reference Group has developed a participant empowerment framework (</w:t>
      </w:r>
      <w:r w:rsidRPr="00DA7ED3">
        <w:t xml:space="preserve">see </w:t>
      </w:r>
      <w:r w:rsidR="003C1728">
        <w:t>Appendix</w:t>
      </w:r>
      <w:r w:rsidRPr="00DA7ED3">
        <w:t xml:space="preserve"> </w:t>
      </w:r>
      <w:r w:rsidR="00F334C9">
        <w:t>5</w:t>
      </w:r>
      <w:r w:rsidRPr="00DA7ED3">
        <w:t>) that provides guidelines for increasing participants’ capacity to make informed choices on AT selection</w:t>
      </w:r>
      <w:r w:rsidRPr="00633370">
        <w:t xml:space="preserve">, access and use. The guidelines are intended </w:t>
      </w:r>
      <w:r w:rsidR="00A803BD" w:rsidRPr="00633370">
        <w:t xml:space="preserve">to </w:t>
      </w:r>
      <w:r w:rsidRPr="00633370">
        <w:t xml:space="preserve">reduce, where appropriate, participants’ reliance on therapists to ‘prescribe’ AT on their behalf. The four elements to be considered in building a participant’s decision-making capacity are: </w:t>
      </w:r>
    </w:p>
    <w:p w:rsidR="0044616E" w:rsidRPr="00633370" w:rsidRDefault="0044616E" w:rsidP="00D605BC">
      <w:pPr>
        <w:numPr>
          <w:ilvl w:val="0"/>
          <w:numId w:val="25"/>
        </w:numPr>
      </w:pPr>
      <w:r w:rsidRPr="00633370">
        <w:t xml:space="preserve">The environments in which the AT solution will be used; the user’s abilities and impairments; the functional impact </w:t>
      </w:r>
      <w:r w:rsidR="00A803BD" w:rsidRPr="00633370">
        <w:t xml:space="preserve">of the solution </w:t>
      </w:r>
      <w:r w:rsidRPr="00633370">
        <w:t>and likely changes in the user’s role or environment in the immediate future</w:t>
      </w:r>
      <w:r w:rsidR="00A803BD" w:rsidRPr="00633370">
        <w:t>,</w:t>
      </w:r>
      <w:r w:rsidRPr="00633370">
        <w:t xml:space="preserve"> and the implications for AT; </w:t>
      </w:r>
    </w:p>
    <w:p w:rsidR="0044616E" w:rsidRPr="00633370" w:rsidRDefault="0044616E" w:rsidP="00D605BC">
      <w:pPr>
        <w:numPr>
          <w:ilvl w:val="0"/>
          <w:numId w:val="25"/>
        </w:numPr>
      </w:pPr>
      <w:r w:rsidRPr="00633370">
        <w:t>The user’s ability and desire to gather, evaluate and interpret information about AT products and their specifications and functions;</w:t>
      </w:r>
    </w:p>
    <w:p w:rsidR="0044616E" w:rsidRPr="00633370" w:rsidRDefault="0044616E" w:rsidP="00D605BC">
      <w:pPr>
        <w:numPr>
          <w:ilvl w:val="0"/>
          <w:numId w:val="25"/>
        </w:numPr>
      </w:pPr>
      <w:r w:rsidRPr="00633370">
        <w:t>The user’s ability and desire to source and trial a technology, critically evaluate the options, and use them in a way that meets their needs; and</w:t>
      </w:r>
    </w:p>
    <w:p w:rsidR="0044616E" w:rsidRPr="00633370" w:rsidRDefault="0044616E" w:rsidP="00D605BC">
      <w:pPr>
        <w:numPr>
          <w:ilvl w:val="0"/>
          <w:numId w:val="25"/>
        </w:numPr>
      </w:pPr>
      <w:r w:rsidRPr="00633370">
        <w:t>The user’s ability to contact, negotiate and manage relationships with allied health professionals and/or AT suppliers.</w:t>
      </w:r>
    </w:p>
    <w:p w:rsidR="0044616E" w:rsidRPr="00633370" w:rsidRDefault="0044616E" w:rsidP="0044616E">
      <w:r w:rsidRPr="00633370">
        <w:lastRenderedPageBreak/>
        <w:t xml:space="preserve">Differences in these four areas will determine whether a participant requires more or less support to exercise the greatest possible choice and control around AT decisions.  </w:t>
      </w:r>
    </w:p>
    <w:p w:rsidR="0044616E" w:rsidRPr="00633370" w:rsidRDefault="0044616E" w:rsidP="0044616E">
      <w:r w:rsidRPr="00633370">
        <w:t xml:space="preserve">Activities to increase a participant’s capacity may be undertaken ahead of the assessment and selection process or in combination with it. Whatever their capacity, most participants will need some level of professional support to select and use highly configurable and/or technically complex AT items, as is </w:t>
      </w:r>
      <w:r w:rsidR="00937698">
        <w:t xml:space="preserve">the </w:t>
      </w:r>
      <w:r w:rsidRPr="00633370">
        <w:t xml:space="preserve">case for technology consumers in the broader community.  </w:t>
      </w:r>
    </w:p>
    <w:p w:rsidR="0044616E" w:rsidRPr="00235990" w:rsidRDefault="00B167F3" w:rsidP="00DD49F7">
      <w:pPr>
        <w:pStyle w:val="Heading4"/>
      </w:pPr>
      <w:r w:rsidRPr="00DD7073">
        <w:t xml:space="preserve">c) </w:t>
      </w:r>
      <w:r w:rsidR="00B177BD" w:rsidRPr="00DD7073">
        <w:t>Ensure</w:t>
      </w:r>
      <w:r w:rsidR="0044616E" w:rsidRPr="00DD7073">
        <w:t xml:space="preserve"> Agency </w:t>
      </w:r>
      <w:r w:rsidR="00B177BD" w:rsidRPr="00DD7073">
        <w:t xml:space="preserve">supports choice and control with </w:t>
      </w:r>
      <w:r w:rsidR="0044616E" w:rsidRPr="00660397">
        <w:t>agile processes and systems</w:t>
      </w:r>
    </w:p>
    <w:p w:rsidR="00B177BD" w:rsidRPr="00633370" w:rsidRDefault="00B177BD" w:rsidP="00B177BD">
      <w:r w:rsidRPr="00633370">
        <w:t xml:space="preserve">It will be important to ensure that the Agency’s internal processes, systems and tools do not create their own barriers to choice and control. They need to be agile, flexible and inclusive to encourage innovation, keep up with the pace of change as technologies evolve, and maximise participants’ opportunities to understand the options available and select those that </w:t>
      </w:r>
      <w:r w:rsidR="0003327A" w:rsidRPr="00633370">
        <w:t>will meet their goals</w:t>
      </w:r>
      <w:r w:rsidRPr="00633370">
        <w:t xml:space="preserve">. </w:t>
      </w:r>
    </w:p>
    <w:p w:rsidR="0044616E" w:rsidRDefault="0044616E" w:rsidP="0044616E">
      <w:r w:rsidRPr="00633370">
        <w:t>As indicated in the Harper Review, ‘existing laws and institutions often struggle to keep pace’</w:t>
      </w:r>
      <w:r w:rsidR="00F46C64">
        <w:t xml:space="preserve">. </w:t>
      </w:r>
      <w:r w:rsidRPr="00633370">
        <w:t xml:space="preserve">The design of full scheme operations and </w:t>
      </w:r>
      <w:r w:rsidR="00042FBD" w:rsidRPr="00633370">
        <w:t xml:space="preserve">AT </w:t>
      </w:r>
      <w:r w:rsidRPr="00633370">
        <w:t xml:space="preserve">guidelines will need to balance the need for </w:t>
      </w:r>
      <w:r w:rsidR="00042FBD" w:rsidRPr="00633370">
        <w:t xml:space="preserve">participants to be afforded the </w:t>
      </w:r>
      <w:r w:rsidRPr="00633370">
        <w:t>dignity of risk</w:t>
      </w:r>
      <w:r w:rsidR="00042FBD" w:rsidRPr="00633370">
        <w:t>-taking and decision-making autonomy</w:t>
      </w:r>
      <w:r w:rsidRPr="00633370">
        <w:t xml:space="preserve"> with </w:t>
      </w:r>
      <w:r w:rsidR="00042FBD" w:rsidRPr="00633370">
        <w:t xml:space="preserve">policies, processes and systems that protect Scheme sustainability in a rapidly evolving technology market. </w:t>
      </w:r>
    </w:p>
    <w:p w:rsidR="005517EB" w:rsidRPr="00B00CEF" w:rsidRDefault="005517EB" w:rsidP="005517EB">
      <w:pPr>
        <w:pStyle w:val="Heading3"/>
      </w:pPr>
      <w:bookmarkStart w:id="28" w:name="_Toc432683886"/>
      <w:r>
        <w:t>3.2.3</w:t>
      </w:r>
      <w:r w:rsidRPr="00F13632">
        <w:t xml:space="preserve"> </w:t>
      </w:r>
      <w:r w:rsidRPr="00B00CEF">
        <w:t>Proposed initiatives</w:t>
      </w:r>
      <w:bookmarkEnd w:id="28"/>
    </w:p>
    <w:p w:rsidR="005517EB" w:rsidRPr="00DD7073" w:rsidRDefault="005517EB" w:rsidP="005517EB">
      <w:pPr>
        <w:pStyle w:val="Heading4"/>
        <w:ind w:left="567" w:hanging="567"/>
      </w:pPr>
      <w:r w:rsidRPr="00D62AA9">
        <w:rPr>
          <w:i w:val="0"/>
        </w:rPr>
        <w:t xml:space="preserve">1. </w:t>
      </w:r>
      <w:r w:rsidRPr="00D62AA9">
        <w:rPr>
          <w:i w:val="0"/>
        </w:rPr>
        <w:tab/>
      </w:r>
      <w:r w:rsidRPr="009D317C">
        <w:t xml:space="preserve">Investigate </w:t>
      </w:r>
      <w:r w:rsidRPr="00BC3662">
        <w:t xml:space="preserve">and determine </w:t>
      </w:r>
      <w:r>
        <w:t>options</w:t>
      </w:r>
      <w:r w:rsidRPr="00D851DF">
        <w:t xml:space="preserve"> for </w:t>
      </w:r>
      <w:r w:rsidRPr="004E254D">
        <w:t xml:space="preserve">a </w:t>
      </w:r>
      <w:r w:rsidRPr="00131F0A">
        <w:t xml:space="preserve">multichannel information </w:t>
      </w:r>
      <w:r>
        <w:t>model</w:t>
      </w:r>
    </w:p>
    <w:p w:rsidR="005517EB" w:rsidRPr="00633370" w:rsidRDefault="005517EB" w:rsidP="005517EB">
      <w:pPr>
        <w:rPr>
          <w:bCs/>
        </w:rPr>
      </w:pPr>
      <w:r w:rsidRPr="00633370">
        <w:rPr>
          <w:bCs/>
        </w:rPr>
        <w:t>The NDIA will analyse requirements and identify the options for a nati</w:t>
      </w:r>
      <w:r>
        <w:rPr>
          <w:bCs/>
        </w:rPr>
        <w:t xml:space="preserve">onally consistent multichannel – </w:t>
      </w:r>
      <w:r w:rsidRPr="00633370">
        <w:rPr>
          <w:bCs/>
        </w:rPr>
        <w:t>o</w:t>
      </w:r>
      <w:r>
        <w:rPr>
          <w:bCs/>
        </w:rPr>
        <w:t>nline, face-to-face and phone – i</w:t>
      </w:r>
      <w:r w:rsidRPr="00633370">
        <w:rPr>
          <w:bCs/>
        </w:rPr>
        <w:t xml:space="preserve">nformation </w:t>
      </w:r>
      <w:r>
        <w:rPr>
          <w:bCs/>
        </w:rPr>
        <w:t>model</w:t>
      </w:r>
      <w:r w:rsidRPr="00633370">
        <w:rPr>
          <w:bCs/>
        </w:rPr>
        <w:t xml:space="preserve"> to give NDIS participants and staff access to:</w:t>
      </w:r>
    </w:p>
    <w:p w:rsidR="005517EB" w:rsidRPr="00633370" w:rsidRDefault="005517EB" w:rsidP="005517EB">
      <w:pPr>
        <w:numPr>
          <w:ilvl w:val="0"/>
          <w:numId w:val="16"/>
        </w:numPr>
      </w:pPr>
      <w:r w:rsidRPr="00633370">
        <w:t xml:space="preserve">‘Look - try - discuss’ information; </w:t>
      </w:r>
    </w:p>
    <w:p w:rsidR="005517EB" w:rsidRPr="00633370" w:rsidRDefault="005517EB" w:rsidP="005517EB">
      <w:pPr>
        <w:numPr>
          <w:ilvl w:val="0"/>
          <w:numId w:val="16"/>
        </w:numPr>
      </w:pPr>
      <w:r w:rsidRPr="00633370">
        <w:t xml:space="preserve">Travelling tours (to regional, rural and remote areas); </w:t>
      </w:r>
    </w:p>
    <w:p w:rsidR="005517EB" w:rsidRPr="00633370" w:rsidRDefault="005517EB" w:rsidP="005517EB">
      <w:pPr>
        <w:numPr>
          <w:ilvl w:val="0"/>
          <w:numId w:val="16"/>
        </w:numPr>
      </w:pPr>
      <w:r w:rsidRPr="00633370">
        <w:t>Participant capacity building and peer mentorship programs;</w:t>
      </w:r>
    </w:p>
    <w:p w:rsidR="005517EB" w:rsidRPr="00633370" w:rsidRDefault="005517EB" w:rsidP="005517EB">
      <w:pPr>
        <w:numPr>
          <w:ilvl w:val="0"/>
          <w:numId w:val="16"/>
        </w:numPr>
      </w:pPr>
      <w:r w:rsidRPr="00633370">
        <w:t>AT set-up, support and training via group workshops; and</w:t>
      </w:r>
    </w:p>
    <w:p w:rsidR="005517EB" w:rsidRPr="00633370" w:rsidRDefault="005517EB" w:rsidP="005517EB">
      <w:pPr>
        <w:numPr>
          <w:ilvl w:val="0"/>
          <w:numId w:val="16"/>
        </w:numPr>
      </w:pPr>
      <w:r w:rsidRPr="00633370">
        <w:t>Technical and other support.</w:t>
      </w:r>
    </w:p>
    <w:p w:rsidR="005517EB" w:rsidRPr="00F13632" w:rsidRDefault="005517EB" w:rsidP="005517EB">
      <w:pPr>
        <w:rPr>
          <w:rFonts w:cs="Arial"/>
        </w:rPr>
      </w:pPr>
      <w:r w:rsidRPr="00633370">
        <w:t xml:space="preserve">The model selected will be </w:t>
      </w:r>
      <w:r>
        <w:t xml:space="preserve">closely </w:t>
      </w:r>
      <w:r w:rsidRPr="00633370">
        <w:t xml:space="preserve">linked with the proposed innovation hub (see Section </w:t>
      </w:r>
      <w:r>
        <w:t>3.1.1</w:t>
      </w:r>
      <w:r w:rsidRPr="00633370">
        <w:t>)</w:t>
      </w:r>
      <w:r w:rsidRPr="00633370">
        <w:rPr>
          <w:rFonts w:cs="Arial"/>
        </w:rPr>
        <w:t xml:space="preserve">. </w:t>
      </w:r>
      <w:r w:rsidRPr="00633370">
        <w:rPr>
          <w:rFonts w:eastAsiaTheme="minorEastAsia" w:cs="Arial"/>
          <w:spacing w:val="0"/>
        </w:rPr>
        <w:t>It</w:t>
      </w:r>
      <w:r w:rsidRPr="00DD49F7">
        <w:rPr>
          <w:rFonts w:eastAsiaTheme="minorEastAsia" w:cs="Arial"/>
          <w:spacing w:val="0"/>
        </w:rPr>
        <w:t xml:space="preserve"> will leverage the NDIA’s proposed </w:t>
      </w:r>
      <w:proofErr w:type="spellStart"/>
      <w:r w:rsidRPr="00DD49F7">
        <w:rPr>
          <w:rFonts w:eastAsiaTheme="minorEastAsia" w:cs="Arial"/>
          <w:spacing w:val="0"/>
        </w:rPr>
        <w:t>eMarket</w:t>
      </w:r>
      <w:proofErr w:type="spellEnd"/>
      <w:r w:rsidRPr="00DD49F7">
        <w:rPr>
          <w:rFonts w:eastAsiaTheme="minorEastAsia" w:cs="Arial"/>
          <w:spacing w:val="0"/>
        </w:rPr>
        <w:t xml:space="preserve"> platform to provide information and guidance about AT products, </w:t>
      </w:r>
      <w:r w:rsidRPr="00F13632">
        <w:rPr>
          <w:rFonts w:eastAsiaTheme="minorEastAsia" w:cs="Arial"/>
          <w:spacing w:val="0"/>
        </w:rPr>
        <w:t>as well as direct links</w:t>
      </w:r>
      <w:r w:rsidRPr="00DD49F7">
        <w:rPr>
          <w:rFonts w:eastAsiaTheme="minorEastAsia" w:cs="Arial"/>
          <w:spacing w:val="0"/>
        </w:rPr>
        <w:t xml:space="preserve"> to AT providers, </w:t>
      </w:r>
      <w:r w:rsidRPr="00F13632">
        <w:rPr>
          <w:rFonts w:eastAsiaTheme="minorEastAsia" w:cs="Arial"/>
          <w:spacing w:val="0"/>
        </w:rPr>
        <w:t>and will potentially</w:t>
      </w:r>
      <w:r w:rsidRPr="00DD49F7">
        <w:rPr>
          <w:rFonts w:eastAsiaTheme="minorEastAsia" w:cs="Arial"/>
          <w:spacing w:val="0"/>
        </w:rPr>
        <w:t xml:space="preserve"> host an A</w:t>
      </w:r>
      <w:r w:rsidRPr="00F13632">
        <w:rPr>
          <w:rFonts w:eastAsiaTheme="minorEastAsia" w:cs="Arial"/>
          <w:spacing w:val="0"/>
        </w:rPr>
        <w:t xml:space="preserve">T self-selection tool, such as </w:t>
      </w:r>
      <w:r w:rsidRPr="00B00CEF">
        <w:rPr>
          <w:rFonts w:eastAsiaTheme="minorEastAsia" w:cs="Arial"/>
          <w:spacing w:val="0"/>
        </w:rPr>
        <w:t>‘</w:t>
      </w:r>
      <w:r w:rsidRPr="003C18F2">
        <w:rPr>
          <w:rFonts w:eastAsiaTheme="minorEastAsia" w:cs="Arial"/>
          <w:spacing w:val="0"/>
        </w:rPr>
        <w:t>Ask Sara’</w:t>
      </w:r>
      <w:r w:rsidRPr="00DD49F7">
        <w:rPr>
          <w:rFonts w:eastAsiaTheme="minorEastAsia" w:cs="Arial"/>
          <w:spacing w:val="0"/>
        </w:rPr>
        <w:t xml:space="preserve">. </w:t>
      </w:r>
    </w:p>
    <w:p w:rsidR="005517EB" w:rsidRPr="00633370" w:rsidRDefault="005517EB" w:rsidP="005517EB">
      <w:r w:rsidRPr="003C18F2">
        <w:t>One important</w:t>
      </w:r>
      <w:r w:rsidRPr="00823315">
        <w:t xml:space="preserve"> </w:t>
      </w:r>
      <w:r>
        <w:t xml:space="preserve">criterion of </w:t>
      </w:r>
      <w:r w:rsidRPr="009D317C">
        <w:t xml:space="preserve">model selection will be </w:t>
      </w:r>
      <w:r>
        <w:t>the provision of information about AT independent</w:t>
      </w:r>
      <w:r w:rsidRPr="009D317C">
        <w:t xml:space="preserve"> </w:t>
      </w:r>
      <w:r>
        <w:t xml:space="preserve">of </w:t>
      </w:r>
      <w:r w:rsidRPr="00D851DF">
        <w:t>suppliers</w:t>
      </w:r>
      <w:r>
        <w:t xml:space="preserve">. A </w:t>
      </w:r>
      <w:r w:rsidRPr="00633370">
        <w:t>recent survey of Independent Living Centre NSW users gave impartial and independent information and advice a 91.8% importa</w:t>
      </w:r>
      <w:r>
        <w:t xml:space="preserve">nce rating. </w:t>
      </w:r>
    </w:p>
    <w:p w:rsidR="005517EB" w:rsidRPr="00633370" w:rsidRDefault="005517EB" w:rsidP="005517EB">
      <w:r w:rsidRPr="00633370">
        <w:t xml:space="preserve">Section </w:t>
      </w:r>
      <w:r>
        <w:t>3</w:t>
      </w:r>
      <w:r w:rsidRPr="00633370">
        <w:t>.3</w:t>
      </w:r>
      <w:r>
        <w:t>.4</w:t>
      </w:r>
      <w:r w:rsidRPr="00633370">
        <w:t xml:space="preserve"> provides an estimate of the savings expected to flow from this initiative; Section </w:t>
      </w:r>
      <w:r>
        <w:t>3.3.5</w:t>
      </w:r>
      <w:r w:rsidRPr="00633370">
        <w:t xml:space="preserve"> describes the risks to be mitigated and/managed.</w:t>
      </w:r>
    </w:p>
    <w:p w:rsidR="005517EB" w:rsidRPr="00DD7073" w:rsidRDefault="005517EB" w:rsidP="005517EB">
      <w:pPr>
        <w:pStyle w:val="Heading4"/>
      </w:pPr>
      <w:r w:rsidRPr="00D62AA9">
        <w:rPr>
          <w:i w:val="0"/>
        </w:rPr>
        <w:t xml:space="preserve">2. </w:t>
      </w:r>
      <w:r w:rsidRPr="00D62AA9">
        <w:rPr>
          <w:i w:val="0"/>
        </w:rPr>
        <w:tab/>
      </w:r>
      <w:r w:rsidRPr="00DD7073">
        <w:t xml:space="preserve">Refine and finalise participant capacity-building framework </w:t>
      </w:r>
    </w:p>
    <w:p w:rsidR="005517EB" w:rsidRPr="00633370" w:rsidRDefault="005517EB" w:rsidP="005517EB">
      <w:pPr>
        <w:rPr>
          <w:rFonts w:eastAsia="Times New Roman"/>
          <w:iCs/>
        </w:rPr>
      </w:pPr>
      <w:r w:rsidRPr="00633370">
        <w:t>NDIA will refine and finalise the participant capacity-building framework into an accessible format for NDIA planners and Local Area Coordinators (LACs), as well as Allied Health Professionals. Embedding the framework into plans will be an important component of full scheme design.</w:t>
      </w:r>
      <w:r>
        <w:t xml:space="preserve"> The participant capacity-building framework identifies the level of participants’ capacity for selection and implementation of assistive technology, then provides suggestions for building this capacity, and finally recommends a level of professional support for assistive technology selection based on participant capacity and assistive technology type. The fram</w:t>
      </w:r>
      <w:r w:rsidR="00157764">
        <w:t>ework can be found in Appendix 5</w:t>
      </w:r>
      <w:r>
        <w:t xml:space="preserve">. </w:t>
      </w:r>
    </w:p>
    <w:p w:rsidR="005517EB" w:rsidRPr="00B00CEF" w:rsidRDefault="005517EB" w:rsidP="005517EB">
      <w:r w:rsidRPr="00633370">
        <w:rPr>
          <w:rFonts w:eastAsia="Times New Roman"/>
          <w:iCs/>
        </w:rPr>
        <w:t xml:space="preserve">The need to credential allied health professionals in specialist areas will also be examined and detailed recommendations developed. While peer-to-peer information sharing is valuable, the niche markets and complex AT solutions and home modifications in the disability sector mean solutions are often unique in that they are the products of a multi-stage process of needs identification and customisation. They </w:t>
      </w:r>
      <w:r w:rsidRPr="00633370">
        <w:rPr>
          <w:rFonts w:eastAsia="Times New Roman"/>
          <w:iCs/>
        </w:rPr>
        <w:lastRenderedPageBreak/>
        <w:t xml:space="preserve">therefore cannot be rated or reviewed in a way that provides reliable, relevant valid information for large numbers of </w:t>
      </w:r>
      <w:proofErr w:type="gramStart"/>
      <w:r w:rsidRPr="00633370">
        <w:rPr>
          <w:rFonts w:eastAsia="Times New Roman"/>
          <w:iCs/>
        </w:rPr>
        <w:t>participants</w:t>
      </w:r>
      <w:proofErr w:type="gramEnd"/>
      <w:r w:rsidRPr="00633370">
        <w:rPr>
          <w:rFonts w:eastAsia="Times New Roman"/>
          <w:iCs/>
        </w:rPr>
        <w:t>.</w:t>
      </w:r>
      <w:r w:rsidRPr="00F13632">
        <w:rPr>
          <w:rFonts w:ascii="Georgia" w:eastAsia="Times New Roman" w:hAnsi="Georgia"/>
          <w:iCs/>
          <w:vertAlign w:val="superscript"/>
        </w:rPr>
        <w:footnoteReference w:id="10"/>
      </w:r>
      <w:r w:rsidRPr="00F13632">
        <w:rPr>
          <w:rFonts w:eastAsia="Times New Roman"/>
          <w:iCs/>
        </w:rPr>
        <w:t>.</w:t>
      </w:r>
    </w:p>
    <w:p w:rsidR="005517EB" w:rsidRPr="00DD7073" w:rsidRDefault="005517EB" w:rsidP="005517EB">
      <w:pPr>
        <w:pStyle w:val="Heading4"/>
        <w:ind w:left="567" w:hanging="567"/>
      </w:pPr>
      <w:r w:rsidRPr="00D62AA9">
        <w:rPr>
          <w:i w:val="0"/>
        </w:rPr>
        <w:t xml:space="preserve">3. </w:t>
      </w:r>
      <w:r w:rsidRPr="00D62AA9">
        <w:rPr>
          <w:i w:val="0"/>
        </w:rPr>
        <w:tab/>
      </w:r>
      <w:r w:rsidRPr="00D851DF">
        <w:t xml:space="preserve">Review </w:t>
      </w:r>
      <w:r>
        <w:t xml:space="preserve">NDIA </w:t>
      </w:r>
      <w:r w:rsidRPr="00D851DF">
        <w:t>policies, processes and systems to optimise</w:t>
      </w:r>
      <w:r w:rsidRPr="004E254D">
        <w:t xml:space="preserve"> support </w:t>
      </w:r>
      <w:r w:rsidRPr="00194E14">
        <w:t xml:space="preserve">for </w:t>
      </w:r>
      <w:r w:rsidRPr="00DD7073">
        <w:t>choice and control</w:t>
      </w:r>
    </w:p>
    <w:p w:rsidR="005517EB" w:rsidRDefault="005517EB" w:rsidP="005517EB">
      <w:r w:rsidRPr="00633370">
        <w:t>The Agency is a new organisation, purpose-built to support the participant-centric, empowering philosophy that underpins the NDIS.</w:t>
      </w:r>
      <w:r>
        <w:t xml:space="preserve"> Its </w:t>
      </w:r>
      <w:r w:rsidRPr="00633370">
        <w:t xml:space="preserve">policies, processes and systems have been established to support participant choice and control. However, as an agile, learning organisation, it will review its operations to ensure lessons from the trial sites and the Agency’s broader engagement and research activities are used to continuously improve participants’ ability to make informed decisions that improve their lives, and that this is achieved in the context of a sustainable, value-creating scheme. </w:t>
      </w:r>
    </w:p>
    <w:p w:rsidR="005517EB" w:rsidRPr="00633370" w:rsidRDefault="005517EB" w:rsidP="005517EB">
      <w:r w:rsidRPr="00633370">
        <w:t xml:space="preserve">To that end the Agency will: </w:t>
      </w:r>
    </w:p>
    <w:p w:rsidR="005517EB" w:rsidRPr="00633370" w:rsidRDefault="005517EB" w:rsidP="005517EB">
      <w:pPr>
        <w:numPr>
          <w:ilvl w:val="1"/>
          <w:numId w:val="17"/>
        </w:numPr>
        <w:ind w:left="714" w:hanging="357"/>
      </w:pPr>
      <w:r w:rsidRPr="00633370">
        <w:t>Introduce straight-through processing for low-risk, low-cost AT items;</w:t>
      </w:r>
    </w:p>
    <w:p w:rsidR="005517EB" w:rsidRPr="00633370" w:rsidRDefault="005517EB" w:rsidP="005517EB">
      <w:pPr>
        <w:numPr>
          <w:ilvl w:val="1"/>
          <w:numId w:val="17"/>
        </w:numPr>
        <w:ind w:left="714" w:hanging="357"/>
      </w:pPr>
      <w:r w:rsidRPr="00633370">
        <w:t>Review operational guidelines and policies to enhance agility and su</w:t>
      </w:r>
      <w:r>
        <w:t>pport for innovative solutions, including</w:t>
      </w:r>
      <w:r w:rsidRPr="00633370">
        <w:t xml:space="preserve"> quoting guidelines, when the Agency requires allied health professional assessment and clarification of the </w:t>
      </w:r>
      <w:r>
        <w:t>health and disability interface</w:t>
      </w:r>
      <w:r w:rsidRPr="00633370">
        <w:t>;</w:t>
      </w:r>
    </w:p>
    <w:p w:rsidR="005517EB" w:rsidRPr="00633370" w:rsidRDefault="005517EB" w:rsidP="005517EB">
      <w:pPr>
        <w:numPr>
          <w:ilvl w:val="1"/>
          <w:numId w:val="17"/>
        </w:numPr>
        <w:ind w:left="714" w:hanging="357"/>
      </w:pPr>
      <w:r w:rsidRPr="00633370">
        <w:t>Benchmark AT pricing to reduce quote submission numbers;</w:t>
      </w:r>
    </w:p>
    <w:p w:rsidR="005517EB" w:rsidRPr="00633370" w:rsidRDefault="005517EB" w:rsidP="005517EB">
      <w:pPr>
        <w:numPr>
          <w:ilvl w:val="1"/>
          <w:numId w:val="17"/>
        </w:numPr>
        <w:ind w:left="714" w:hanging="357"/>
      </w:pPr>
      <w:r w:rsidRPr="00633370">
        <w:t>Incorporate the AT participant capacity-building framework into the planning process;</w:t>
      </w:r>
    </w:p>
    <w:p w:rsidR="005517EB" w:rsidRPr="00633370" w:rsidRDefault="005517EB" w:rsidP="005517EB">
      <w:pPr>
        <w:numPr>
          <w:ilvl w:val="1"/>
          <w:numId w:val="17"/>
        </w:numPr>
        <w:ind w:left="714" w:hanging="357"/>
      </w:pPr>
      <w:r w:rsidRPr="00633370">
        <w:t>Refine and develop AT pathways, including support and training needs</w:t>
      </w:r>
      <w:r w:rsidRPr="00633370" w:rsidDel="0040155A">
        <w:t xml:space="preserve"> </w:t>
      </w:r>
      <w:r w:rsidRPr="00633370">
        <w:t xml:space="preserve">in reference packages, and work with actuaries to review the lifetime cost estimator to create a clear business case tool for AT investment, especially in relation to digital technologies; </w:t>
      </w:r>
    </w:p>
    <w:p w:rsidR="005517EB" w:rsidRPr="00633370" w:rsidRDefault="005517EB" w:rsidP="005517EB">
      <w:pPr>
        <w:numPr>
          <w:ilvl w:val="1"/>
          <w:numId w:val="17"/>
        </w:numPr>
        <w:ind w:left="714" w:hanging="357"/>
      </w:pPr>
      <w:r w:rsidRPr="00633370">
        <w:t>Develop procurement guidelines to trial emerging technological solutions, including governance and outcomes measurement; and</w:t>
      </w:r>
    </w:p>
    <w:p w:rsidR="005517EB" w:rsidRDefault="005517EB" w:rsidP="005517EB">
      <w:pPr>
        <w:numPr>
          <w:ilvl w:val="1"/>
          <w:numId w:val="17"/>
        </w:numPr>
        <w:ind w:left="714" w:hanging="357"/>
      </w:pPr>
      <w:r w:rsidRPr="00633370">
        <w:t>Use single point of contact (SPOC) processes as the first point of call to support Agency staff with complex decision-making, consistency and other process issues, and incorporate AT advisors on the Technical Advisory team to assist with clinical advice and expertise.</w:t>
      </w:r>
    </w:p>
    <w:p w:rsidR="005517EB" w:rsidRPr="00633370" w:rsidRDefault="00AB0A74" w:rsidP="00AB0A74">
      <w:pPr>
        <w:spacing w:before="0" w:after="0"/>
      </w:pPr>
      <w:r>
        <w:br w:type="page"/>
      </w:r>
    </w:p>
    <w:p w:rsidR="00506ECB" w:rsidRPr="004E254D" w:rsidRDefault="00095073" w:rsidP="000D6477">
      <w:pPr>
        <w:pStyle w:val="Heading2"/>
      </w:pPr>
      <w:bookmarkStart w:id="29" w:name="_Toc432683887"/>
      <w:bookmarkStart w:id="30" w:name="_Toc270780005"/>
      <w:bookmarkStart w:id="31" w:name="_Toc407108168"/>
      <w:r>
        <w:lastRenderedPageBreak/>
        <w:t>3</w:t>
      </w:r>
      <w:r w:rsidR="004558E1" w:rsidRPr="00F13632">
        <w:t xml:space="preserve">.3 </w:t>
      </w:r>
      <w:r w:rsidR="0051718A" w:rsidRPr="00823315">
        <w:t xml:space="preserve">Deliver a financially robust, sustainable scheme that generates </w:t>
      </w:r>
      <w:r w:rsidR="0051718A" w:rsidRPr="009D317C">
        <w:t xml:space="preserve">economic and </w:t>
      </w:r>
      <w:r w:rsidR="0051718A" w:rsidRPr="00BC3662">
        <w:t>social value</w:t>
      </w:r>
      <w:bookmarkEnd w:id="29"/>
    </w:p>
    <w:p w:rsidR="00AC6410" w:rsidRPr="003C18F2" w:rsidRDefault="00095073" w:rsidP="00E917B1">
      <w:pPr>
        <w:pStyle w:val="Heading3"/>
      </w:pPr>
      <w:bookmarkStart w:id="32" w:name="_Toc432683888"/>
      <w:bookmarkEnd w:id="30"/>
      <w:bookmarkEnd w:id="31"/>
      <w:r>
        <w:t>3</w:t>
      </w:r>
      <w:r w:rsidR="0052118A" w:rsidRPr="00F13632">
        <w:t xml:space="preserve">.3.1 </w:t>
      </w:r>
      <w:r w:rsidR="0051718A" w:rsidRPr="003C18F2">
        <w:t>Context</w:t>
      </w:r>
      <w:bookmarkEnd w:id="32"/>
    </w:p>
    <w:p w:rsidR="0051718A" w:rsidRPr="00633370" w:rsidRDefault="00350BE2">
      <w:r w:rsidRPr="009D317C">
        <w:t>The</w:t>
      </w:r>
      <w:r w:rsidR="006B52D4" w:rsidRPr="00BC3662">
        <w:t xml:space="preserve"> third </w:t>
      </w:r>
      <w:r w:rsidR="00236314" w:rsidRPr="00D851DF">
        <w:t xml:space="preserve">strategic </w:t>
      </w:r>
      <w:r w:rsidR="006B52D4" w:rsidRPr="004E254D">
        <w:t xml:space="preserve">priority </w:t>
      </w:r>
      <w:r w:rsidR="00236314" w:rsidRPr="000D0B36">
        <w:t>for NDIA</w:t>
      </w:r>
      <w:r w:rsidR="00236314" w:rsidRPr="00194E14">
        <w:t xml:space="preserve"> </w:t>
      </w:r>
      <w:r w:rsidR="00AB0A74">
        <w:t>is AT</w:t>
      </w:r>
      <w:r w:rsidR="001945D8">
        <w:t xml:space="preserve"> market development </w:t>
      </w:r>
      <w:r w:rsidR="006B52D4" w:rsidRPr="00131F0A">
        <w:t xml:space="preserve">in the context of the Agency’s </w:t>
      </w:r>
      <w:r w:rsidR="006B52D4" w:rsidRPr="00633370">
        <w:t xml:space="preserve">responsibility to </w:t>
      </w:r>
      <w:r w:rsidR="00236314" w:rsidRPr="00633370">
        <w:t xml:space="preserve">deliver an </w:t>
      </w:r>
      <w:r w:rsidR="006B52D4" w:rsidRPr="00633370">
        <w:t>effi</w:t>
      </w:r>
      <w:r w:rsidRPr="00633370">
        <w:t>cient, effective and sustainable</w:t>
      </w:r>
      <w:r w:rsidR="00236314" w:rsidRPr="00633370">
        <w:t xml:space="preserve"> scheme</w:t>
      </w:r>
      <w:r w:rsidRPr="00633370">
        <w:t>.</w:t>
      </w:r>
      <w:r w:rsidR="0052118A" w:rsidRPr="00633370">
        <w:t xml:space="preserve"> The question of AT sourcing and procurement is central to this responsibility.</w:t>
      </w:r>
    </w:p>
    <w:p w:rsidR="00247BE0" w:rsidRPr="00042CEC" w:rsidRDefault="0052478D" w:rsidP="00042CEC">
      <w:r w:rsidRPr="00633370">
        <w:t>The</w:t>
      </w:r>
      <w:r w:rsidR="00247BE0" w:rsidRPr="00042CEC">
        <w:t xml:space="preserve"> fundamental principle</w:t>
      </w:r>
      <w:r w:rsidRPr="00F13632">
        <w:t>s</w:t>
      </w:r>
      <w:r w:rsidR="00247BE0" w:rsidRPr="00042CEC">
        <w:t xml:space="preserve"> applied in determining the appropriate role for NDIA in sourcing and procurement was that </w:t>
      </w:r>
      <w:r w:rsidRPr="00F13632">
        <w:t>it should deliver</w:t>
      </w:r>
      <w:r w:rsidR="00247BE0" w:rsidRPr="00042CEC">
        <w:t xml:space="preserve"> outcomes that </w:t>
      </w:r>
      <w:r w:rsidR="00AB0A74">
        <w:t>are as good,</w:t>
      </w:r>
      <w:r w:rsidR="001945D8">
        <w:t xml:space="preserve"> or better than</w:t>
      </w:r>
      <w:r w:rsidR="00AB0A74">
        <w:t>,</w:t>
      </w:r>
      <w:r w:rsidR="001945D8">
        <w:t xml:space="preserve"> what </w:t>
      </w:r>
      <w:r w:rsidR="00247BE0" w:rsidRPr="00042CEC">
        <w:t xml:space="preserve">could be achieved </w:t>
      </w:r>
      <w:r w:rsidRPr="00F13632">
        <w:t xml:space="preserve">otherwise, and also </w:t>
      </w:r>
      <w:r w:rsidR="00247BE0" w:rsidRPr="00042CEC">
        <w:t>deliver net financial benefits for the scheme</w:t>
      </w:r>
      <w:r w:rsidRPr="00F13632">
        <w:t xml:space="preserve"> (and ultimately taxpayers)</w:t>
      </w:r>
      <w:r w:rsidR="00247BE0" w:rsidRPr="00042CEC">
        <w:t>.</w:t>
      </w:r>
    </w:p>
    <w:p w:rsidR="00042CEC" w:rsidRDefault="005B7818">
      <w:r w:rsidRPr="00F13632">
        <w:t xml:space="preserve">In that context, seven broad </w:t>
      </w:r>
      <w:r w:rsidR="00236314" w:rsidRPr="00B00CEF">
        <w:t xml:space="preserve">potential </w:t>
      </w:r>
      <w:r w:rsidRPr="003C18F2">
        <w:t xml:space="preserve">approaches for </w:t>
      </w:r>
      <w:r w:rsidR="00236314" w:rsidRPr="003C18F2">
        <w:t>NDIA</w:t>
      </w:r>
      <w:r w:rsidRPr="003C18F2">
        <w:t xml:space="preserve"> </w:t>
      </w:r>
      <w:r w:rsidR="000F5C98" w:rsidRPr="003C18F2">
        <w:t>were examined</w:t>
      </w:r>
      <w:r w:rsidRPr="00823315">
        <w:t xml:space="preserve">, </w:t>
      </w:r>
      <w:r w:rsidR="0052478D" w:rsidRPr="009D317C">
        <w:t xml:space="preserve">along a spectrum </w:t>
      </w:r>
      <w:r w:rsidRPr="00BC3662">
        <w:t>ranging from</w:t>
      </w:r>
      <w:r w:rsidR="00127321" w:rsidRPr="00D851DF">
        <w:t xml:space="preserve"> a completely free market (no intervention) to </w:t>
      </w:r>
      <w:r w:rsidR="00247BE0" w:rsidRPr="004E254D">
        <w:t>a centrally controlled market (maximum intervention)</w:t>
      </w:r>
      <w:r w:rsidR="00EC7936" w:rsidRPr="000D0B36">
        <w:t xml:space="preserve">. </w:t>
      </w:r>
      <w:r w:rsidR="00A15ED2" w:rsidRPr="00194E14">
        <w:t>Table 1</w:t>
      </w:r>
      <w:r w:rsidR="00EC7936" w:rsidRPr="00194E14">
        <w:t xml:space="preserve"> summarises the</w:t>
      </w:r>
      <w:r w:rsidR="00A15ED2" w:rsidRPr="00131F0A">
        <w:t xml:space="preserve"> </w:t>
      </w:r>
      <w:r w:rsidR="000A0E13" w:rsidRPr="00131F0A">
        <w:t>role that</w:t>
      </w:r>
      <w:r w:rsidR="000A0E13" w:rsidRPr="00633370">
        <w:t xml:space="preserve"> would be played by</w:t>
      </w:r>
      <w:r w:rsidR="00A15ED2" w:rsidRPr="00633370">
        <w:t xml:space="preserve"> </w:t>
      </w:r>
      <w:r w:rsidR="000A0E13" w:rsidRPr="00633370">
        <w:t>NDIA</w:t>
      </w:r>
      <w:r w:rsidR="00A15ED2" w:rsidRPr="00633370">
        <w:t xml:space="preserve"> in each of these </w:t>
      </w:r>
      <w:r w:rsidR="00EC7936" w:rsidRPr="00633370">
        <w:t>approaches.</w:t>
      </w:r>
      <w:r w:rsidR="000A0E13" w:rsidRPr="00633370">
        <w:t xml:space="preserve"> Some roles are not strictly sourcing (e.g. information provider) but do influence market development, while others (e.g. buyer through tender or market panel) are traditional sourcing roles.</w:t>
      </w:r>
    </w:p>
    <w:p w:rsidR="00BB0C1D" w:rsidRDefault="00BB0C1D"/>
    <w:p w:rsidR="00042CEC" w:rsidRDefault="00042CEC" w:rsidP="00042CEC">
      <w:pPr>
        <w:pStyle w:val="Caption"/>
        <w:jc w:val="center"/>
      </w:pPr>
      <w:r w:rsidRPr="009D317C">
        <w:t xml:space="preserve">Table </w:t>
      </w:r>
      <w:r w:rsidR="00D77382" w:rsidRPr="00D851DF">
        <w:fldChar w:fldCharType="begin"/>
      </w:r>
      <w:r w:rsidRPr="00042CEC">
        <w:instrText xml:space="preserve"> SEQ Table \* ARABIC </w:instrText>
      </w:r>
      <w:r w:rsidR="00D77382" w:rsidRPr="00D851DF">
        <w:fldChar w:fldCharType="separate"/>
      </w:r>
      <w:r w:rsidR="007717DF">
        <w:rPr>
          <w:noProof/>
        </w:rPr>
        <w:t>1</w:t>
      </w:r>
      <w:r w:rsidR="00D77382" w:rsidRPr="00D851DF">
        <w:fldChar w:fldCharType="end"/>
      </w:r>
      <w:r w:rsidRPr="004E254D">
        <w:t>: Range of potential roles for NDIA in AT sourcing and procurement</w:t>
      </w:r>
      <w:r w:rsidRPr="000D0B36">
        <w:rPr>
          <w:rStyle w:val="FootnoteReference"/>
        </w:rPr>
        <w:footnoteReference w:id="11"/>
      </w:r>
    </w:p>
    <w:tbl>
      <w:tblPr>
        <w:tblStyle w:val="TableGrid"/>
        <w:tblW w:w="9039" w:type="dxa"/>
        <w:tblLook w:val="04A0" w:firstRow="1" w:lastRow="0" w:firstColumn="1" w:lastColumn="0" w:noHBand="0" w:noVBand="1"/>
      </w:tblPr>
      <w:tblGrid>
        <w:gridCol w:w="1013"/>
        <w:gridCol w:w="893"/>
        <w:gridCol w:w="1040"/>
        <w:gridCol w:w="1075"/>
        <w:gridCol w:w="1054"/>
        <w:gridCol w:w="1171"/>
        <w:gridCol w:w="1244"/>
        <w:gridCol w:w="1549"/>
      </w:tblGrid>
      <w:tr w:rsidR="00B013A4" w:rsidRPr="007D3436" w:rsidTr="00A75B1C">
        <w:trPr>
          <w:tblHeader/>
        </w:trPr>
        <w:tc>
          <w:tcPr>
            <w:tcW w:w="1018" w:type="dxa"/>
            <w:shd w:val="clear" w:color="auto" w:fill="5F497A" w:themeFill="accent4" w:themeFillShade="BF"/>
          </w:tcPr>
          <w:p w:rsidR="00C1224C" w:rsidRPr="007D3436" w:rsidRDefault="00C1224C" w:rsidP="00D70C01">
            <w:pPr>
              <w:rPr>
                <w:rFonts w:ascii="Arial Narrow" w:hAnsi="Arial Narrow"/>
                <w:b/>
                <w:color w:val="FFFFFF" w:themeColor="background1"/>
                <w:sz w:val="18"/>
                <w:szCs w:val="18"/>
              </w:rPr>
            </w:pPr>
            <w:r w:rsidRPr="007D3436">
              <w:rPr>
                <w:rFonts w:ascii="Arial Narrow" w:hAnsi="Arial Narrow"/>
                <w:b/>
                <w:color w:val="FFFFFF" w:themeColor="background1"/>
                <w:sz w:val="18"/>
                <w:szCs w:val="18"/>
              </w:rPr>
              <w:t>NDIA role in market</w:t>
            </w:r>
          </w:p>
        </w:tc>
        <w:tc>
          <w:tcPr>
            <w:tcW w:w="912" w:type="dxa"/>
            <w:shd w:val="clear" w:color="auto" w:fill="5F497A" w:themeFill="accent4" w:themeFillShade="BF"/>
          </w:tcPr>
          <w:p w:rsidR="00C1224C" w:rsidRPr="007D3436" w:rsidRDefault="00C1224C" w:rsidP="00D70C01">
            <w:pPr>
              <w:rPr>
                <w:rFonts w:ascii="Arial Narrow" w:hAnsi="Arial Narrow"/>
                <w:b/>
                <w:color w:val="FFFFFF" w:themeColor="background1"/>
                <w:sz w:val="18"/>
                <w:szCs w:val="18"/>
              </w:rPr>
            </w:pPr>
            <w:r w:rsidRPr="007D3436">
              <w:rPr>
                <w:rFonts w:ascii="Arial Narrow" w:hAnsi="Arial Narrow"/>
                <w:b/>
                <w:color w:val="FFFFFF" w:themeColor="background1"/>
                <w:sz w:val="18"/>
                <w:szCs w:val="18"/>
              </w:rPr>
              <w:t>None: free market</w:t>
            </w:r>
          </w:p>
        </w:tc>
        <w:tc>
          <w:tcPr>
            <w:tcW w:w="1044" w:type="dxa"/>
            <w:shd w:val="clear" w:color="auto" w:fill="5F497A" w:themeFill="accent4" w:themeFillShade="BF"/>
          </w:tcPr>
          <w:p w:rsidR="00C1224C" w:rsidRPr="007D3436" w:rsidRDefault="00C1224C" w:rsidP="00D70C01">
            <w:pPr>
              <w:rPr>
                <w:rFonts w:ascii="Arial Narrow" w:hAnsi="Arial Narrow"/>
                <w:b/>
                <w:color w:val="FFFFFF" w:themeColor="background1"/>
                <w:sz w:val="18"/>
                <w:szCs w:val="18"/>
              </w:rPr>
            </w:pPr>
            <w:r w:rsidRPr="007D3436">
              <w:rPr>
                <w:rFonts w:ascii="Arial Narrow" w:hAnsi="Arial Narrow"/>
                <w:b/>
                <w:color w:val="FFFFFF" w:themeColor="background1"/>
                <w:sz w:val="18"/>
                <w:szCs w:val="18"/>
              </w:rPr>
              <w:t>Information provider</w:t>
            </w:r>
          </w:p>
        </w:tc>
        <w:tc>
          <w:tcPr>
            <w:tcW w:w="976" w:type="dxa"/>
            <w:shd w:val="clear" w:color="auto" w:fill="5F497A" w:themeFill="accent4" w:themeFillShade="BF"/>
          </w:tcPr>
          <w:p w:rsidR="00C1224C" w:rsidRDefault="00C1224C" w:rsidP="00D70C01">
            <w:pPr>
              <w:rPr>
                <w:rFonts w:ascii="Arial Narrow" w:hAnsi="Arial Narrow"/>
                <w:b/>
                <w:color w:val="FFFFFF" w:themeColor="background1"/>
                <w:sz w:val="18"/>
                <w:szCs w:val="18"/>
              </w:rPr>
            </w:pPr>
          </w:p>
          <w:p w:rsidR="00B013A4" w:rsidRPr="007D3436" w:rsidRDefault="00B013A4" w:rsidP="00D70C01">
            <w:pPr>
              <w:rPr>
                <w:rFonts w:ascii="Arial Narrow" w:hAnsi="Arial Narrow"/>
                <w:b/>
                <w:color w:val="FFFFFF" w:themeColor="background1"/>
                <w:sz w:val="18"/>
                <w:szCs w:val="18"/>
              </w:rPr>
            </w:pPr>
            <w:r>
              <w:rPr>
                <w:rFonts w:ascii="Arial Narrow" w:hAnsi="Arial Narrow"/>
                <w:b/>
                <w:color w:val="FFFFFF" w:themeColor="background1"/>
                <w:sz w:val="18"/>
                <w:szCs w:val="18"/>
              </w:rPr>
              <w:t>Regulation</w:t>
            </w:r>
          </w:p>
        </w:tc>
        <w:tc>
          <w:tcPr>
            <w:tcW w:w="1062" w:type="dxa"/>
            <w:shd w:val="clear" w:color="auto" w:fill="5F497A" w:themeFill="accent4" w:themeFillShade="BF"/>
          </w:tcPr>
          <w:p w:rsidR="00C1224C" w:rsidRPr="007D3436" w:rsidRDefault="00C1224C" w:rsidP="00D70C01">
            <w:pPr>
              <w:rPr>
                <w:rFonts w:ascii="Arial Narrow" w:hAnsi="Arial Narrow"/>
                <w:b/>
                <w:color w:val="FFFFFF" w:themeColor="background1"/>
                <w:sz w:val="18"/>
                <w:szCs w:val="18"/>
              </w:rPr>
            </w:pPr>
            <w:r w:rsidRPr="007D3436">
              <w:rPr>
                <w:rFonts w:ascii="Arial Narrow" w:hAnsi="Arial Narrow"/>
                <w:b/>
                <w:color w:val="FFFFFF" w:themeColor="background1"/>
                <w:sz w:val="18"/>
                <w:szCs w:val="18"/>
              </w:rPr>
              <w:t>Buyer: tender or panel</w:t>
            </w:r>
          </w:p>
        </w:tc>
        <w:tc>
          <w:tcPr>
            <w:tcW w:w="1192" w:type="dxa"/>
            <w:shd w:val="clear" w:color="auto" w:fill="5F497A" w:themeFill="accent4" w:themeFillShade="BF"/>
          </w:tcPr>
          <w:p w:rsidR="00C1224C" w:rsidRPr="007D3436" w:rsidRDefault="00C1224C" w:rsidP="00D70C01">
            <w:pPr>
              <w:rPr>
                <w:rFonts w:ascii="Arial Narrow" w:hAnsi="Arial Narrow"/>
                <w:b/>
                <w:color w:val="FFFFFF" w:themeColor="background1"/>
                <w:sz w:val="18"/>
                <w:szCs w:val="18"/>
              </w:rPr>
            </w:pPr>
            <w:r w:rsidRPr="007D3436">
              <w:rPr>
                <w:rFonts w:ascii="Arial Narrow" w:hAnsi="Arial Narrow"/>
                <w:b/>
                <w:color w:val="FFFFFF" w:themeColor="background1"/>
                <w:sz w:val="18"/>
                <w:szCs w:val="18"/>
              </w:rPr>
              <w:t>Buyer: demand aggregator</w:t>
            </w:r>
          </w:p>
        </w:tc>
        <w:tc>
          <w:tcPr>
            <w:tcW w:w="1275" w:type="dxa"/>
            <w:shd w:val="clear" w:color="auto" w:fill="5F497A" w:themeFill="accent4" w:themeFillShade="BF"/>
          </w:tcPr>
          <w:p w:rsidR="00C1224C" w:rsidRPr="007D3436" w:rsidRDefault="00C1224C" w:rsidP="00D70C01">
            <w:pPr>
              <w:rPr>
                <w:rFonts w:ascii="Arial Narrow" w:hAnsi="Arial Narrow"/>
                <w:b/>
                <w:color w:val="FFFFFF" w:themeColor="background1"/>
                <w:sz w:val="18"/>
                <w:szCs w:val="18"/>
              </w:rPr>
            </w:pPr>
            <w:r w:rsidRPr="007D3436">
              <w:rPr>
                <w:rFonts w:ascii="Arial Narrow" w:hAnsi="Arial Narrow"/>
                <w:b/>
                <w:color w:val="FFFFFF" w:themeColor="background1"/>
                <w:sz w:val="18"/>
                <w:szCs w:val="18"/>
              </w:rPr>
              <w:t>Buyer: ‘pool model’</w:t>
            </w:r>
          </w:p>
        </w:tc>
        <w:tc>
          <w:tcPr>
            <w:tcW w:w="1560" w:type="dxa"/>
            <w:shd w:val="clear" w:color="auto" w:fill="5F497A" w:themeFill="accent4" w:themeFillShade="BF"/>
          </w:tcPr>
          <w:p w:rsidR="00C1224C" w:rsidRPr="007D3436" w:rsidRDefault="00C1224C" w:rsidP="00D70C01">
            <w:pPr>
              <w:rPr>
                <w:rFonts w:ascii="Arial Narrow" w:hAnsi="Arial Narrow"/>
                <w:b/>
                <w:color w:val="FFFFFF" w:themeColor="background1"/>
                <w:sz w:val="18"/>
                <w:szCs w:val="18"/>
              </w:rPr>
            </w:pPr>
            <w:r w:rsidRPr="007D3436">
              <w:rPr>
                <w:rFonts w:ascii="Arial Narrow" w:hAnsi="Arial Narrow"/>
                <w:b/>
                <w:color w:val="FFFFFF" w:themeColor="background1"/>
                <w:sz w:val="18"/>
                <w:szCs w:val="18"/>
              </w:rPr>
              <w:t>Producer/supplier</w:t>
            </w:r>
          </w:p>
        </w:tc>
      </w:tr>
      <w:tr w:rsidR="00C1224C" w:rsidRPr="007D3436" w:rsidTr="00DD7073">
        <w:tc>
          <w:tcPr>
            <w:tcW w:w="1018"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Description</w:t>
            </w:r>
          </w:p>
        </w:tc>
        <w:tc>
          <w:tcPr>
            <w:tcW w:w="912"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NDIA plays no role in service delivery</w:t>
            </w:r>
          </w:p>
        </w:tc>
        <w:tc>
          <w:tcPr>
            <w:tcW w:w="2020" w:type="dxa"/>
            <w:gridSpan w:val="2"/>
          </w:tcPr>
          <w:p w:rsidR="00C1224C" w:rsidRPr="007D3436" w:rsidRDefault="00C1224C" w:rsidP="00D70C01">
            <w:pPr>
              <w:rPr>
                <w:rFonts w:ascii="Arial Narrow" w:hAnsi="Arial Narrow"/>
                <w:sz w:val="18"/>
                <w:szCs w:val="18"/>
              </w:rPr>
            </w:pPr>
            <w:r w:rsidRPr="007D3436">
              <w:rPr>
                <w:rFonts w:ascii="Arial Narrow" w:hAnsi="Arial Narrow"/>
                <w:sz w:val="18"/>
                <w:szCs w:val="18"/>
              </w:rPr>
              <w:t>NDIA facilitates engagement between participants and suppliers in the market</w:t>
            </w:r>
          </w:p>
        </w:tc>
        <w:tc>
          <w:tcPr>
            <w:tcW w:w="3529" w:type="dxa"/>
            <w:gridSpan w:val="3"/>
          </w:tcPr>
          <w:p w:rsidR="00C1224C" w:rsidRPr="007D3436" w:rsidRDefault="00C1224C" w:rsidP="00D70C01">
            <w:pPr>
              <w:rPr>
                <w:rFonts w:ascii="Arial Narrow" w:hAnsi="Arial Narrow"/>
                <w:sz w:val="18"/>
                <w:szCs w:val="18"/>
              </w:rPr>
            </w:pPr>
            <w:r w:rsidRPr="007D3436">
              <w:rPr>
                <w:rFonts w:ascii="Arial Narrow" w:hAnsi="Arial Narrow"/>
                <w:sz w:val="18"/>
                <w:szCs w:val="18"/>
              </w:rPr>
              <w:t>NDIA is an active intermediary between participants and suppliers (role in care)</w:t>
            </w:r>
          </w:p>
        </w:tc>
        <w:tc>
          <w:tcPr>
            <w:tcW w:w="1560"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NDIA is the source of AT</w:t>
            </w:r>
          </w:p>
        </w:tc>
      </w:tr>
      <w:tr w:rsidR="00B013A4" w:rsidRPr="007D3436" w:rsidTr="00C1224C">
        <w:tc>
          <w:tcPr>
            <w:tcW w:w="1018"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Nature of market intervention</w:t>
            </w:r>
          </w:p>
        </w:tc>
        <w:tc>
          <w:tcPr>
            <w:tcW w:w="912"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None</w:t>
            </w:r>
          </w:p>
        </w:tc>
        <w:tc>
          <w:tcPr>
            <w:tcW w:w="1044"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 xml:space="preserve">No formal </w:t>
            </w:r>
            <w:proofErr w:type="spellStart"/>
            <w:r w:rsidRPr="007D3436">
              <w:rPr>
                <w:rFonts w:ascii="Arial Narrow" w:hAnsi="Arial Narrow"/>
                <w:sz w:val="18"/>
                <w:szCs w:val="18"/>
              </w:rPr>
              <w:t>govt</w:t>
            </w:r>
            <w:proofErr w:type="spellEnd"/>
            <w:r w:rsidRPr="007D3436">
              <w:rPr>
                <w:rFonts w:ascii="Arial Narrow" w:hAnsi="Arial Narrow"/>
                <w:sz w:val="18"/>
                <w:szCs w:val="18"/>
              </w:rPr>
              <w:t xml:space="preserve"> standards Aggregates and shares information on products, price, quality</w:t>
            </w:r>
          </w:p>
        </w:tc>
        <w:tc>
          <w:tcPr>
            <w:tcW w:w="976"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Sets rules, standards, specifications and/or pricing for AT support items</w:t>
            </w:r>
          </w:p>
        </w:tc>
        <w:tc>
          <w:tcPr>
            <w:tcW w:w="1062"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Competiti</w:t>
            </w:r>
            <w:r w:rsidR="007D3436">
              <w:rPr>
                <w:rFonts w:ascii="Arial Narrow" w:hAnsi="Arial Narrow"/>
                <w:sz w:val="18"/>
                <w:szCs w:val="18"/>
              </w:rPr>
              <w:t>ve</w:t>
            </w:r>
            <w:r w:rsidRPr="007D3436">
              <w:rPr>
                <w:rFonts w:ascii="Arial Narrow" w:hAnsi="Arial Narrow"/>
                <w:sz w:val="18"/>
                <w:szCs w:val="18"/>
              </w:rPr>
              <w:t xml:space="preserve"> tender process </w:t>
            </w:r>
            <w:r w:rsidR="007D3436">
              <w:rPr>
                <w:rFonts w:ascii="Arial Narrow" w:hAnsi="Arial Narrow"/>
                <w:sz w:val="18"/>
                <w:szCs w:val="18"/>
              </w:rPr>
              <w:t xml:space="preserve">with </w:t>
            </w:r>
            <w:r w:rsidRPr="007D3436">
              <w:rPr>
                <w:rFonts w:ascii="Arial Narrow" w:hAnsi="Arial Narrow"/>
                <w:sz w:val="18"/>
                <w:szCs w:val="18"/>
              </w:rPr>
              <w:t xml:space="preserve"> 'winner' as preferred supplier </w:t>
            </w:r>
          </w:p>
          <w:p w:rsidR="00C1224C" w:rsidRPr="007D3436" w:rsidRDefault="00C1224C" w:rsidP="00D70C01">
            <w:pPr>
              <w:rPr>
                <w:rFonts w:ascii="Arial Narrow" w:hAnsi="Arial Narrow"/>
                <w:sz w:val="18"/>
                <w:szCs w:val="18"/>
              </w:rPr>
            </w:pPr>
            <w:r w:rsidRPr="007D3436">
              <w:rPr>
                <w:rFonts w:ascii="Arial Narrow" w:hAnsi="Arial Narrow"/>
                <w:sz w:val="18"/>
                <w:szCs w:val="18"/>
              </w:rPr>
              <w:t>Participant can 'opt-out'</w:t>
            </w:r>
          </w:p>
        </w:tc>
        <w:tc>
          <w:tcPr>
            <w:tcW w:w="1192" w:type="dxa"/>
          </w:tcPr>
          <w:p w:rsidR="00C1224C" w:rsidRPr="007D3436" w:rsidRDefault="00C1224C" w:rsidP="00D70C01">
            <w:pPr>
              <w:rPr>
                <w:rFonts w:ascii="Arial Narrow" w:hAnsi="Arial Narrow"/>
                <w:sz w:val="18"/>
                <w:szCs w:val="18"/>
              </w:rPr>
            </w:pPr>
            <w:r w:rsidRPr="007D3436">
              <w:rPr>
                <w:rFonts w:ascii="Arial Narrow" w:hAnsi="Arial Narrow"/>
                <w:sz w:val="18"/>
                <w:szCs w:val="18"/>
              </w:rPr>
              <w:t>Actively manages demand through bulk purchases</w:t>
            </w:r>
          </w:p>
        </w:tc>
        <w:tc>
          <w:tcPr>
            <w:tcW w:w="1275" w:type="dxa"/>
          </w:tcPr>
          <w:p w:rsidR="00C1224C" w:rsidRPr="007D3436" w:rsidRDefault="00C1224C" w:rsidP="00C1224C">
            <w:pPr>
              <w:rPr>
                <w:rFonts w:ascii="Arial Narrow" w:hAnsi="Arial Narrow"/>
                <w:sz w:val="18"/>
                <w:szCs w:val="18"/>
              </w:rPr>
            </w:pPr>
            <w:r w:rsidRPr="007D3436">
              <w:rPr>
                <w:rFonts w:ascii="Arial Narrow" w:hAnsi="Arial Narrow"/>
                <w:sz w:val="18"/>
                <w:szCs w:val="18"/>
              </w:rPr>
              <w:t xml:space="preserve">Actively manages demand and supply </w:t>
            </w:r>
          </w:p>
          <w:p w:rsidR="00C1224C" w:rsidRPr="007D3436" w:rsidRDefault="00C1224C" w:rsidP="00C1224C">
            <w:pPr>
              <w:rPr>
                <w:rFonts w:ascii="Arial Narrow" w:hAnsi="Arial Narrow"/>
                <w:sz w:val="18"/>
                <w:szCs w:val="18"/>
              </w:rPr>
            </w:pPr>
            <w:r w:rsidRPr="007D3436">
              <w:rPr>
                <w:rFonts w:ascii="Arial Narrow" w:hAnsi="Arial Narrow"/>
                <w:sz w:val="18"/>
                <w:szCs w:val="18"/>
              </w:rPr>
              <w:t>'Cycles' equipment between participants</w:t>
            </w:r>
          </w:p>
        </w:tc>
        <w:tc>
          <w:tcPr>
            <w:tcW w:w="1560" w:type="dxa"/>
          </w:tcPr>
          <w:p w:rsidR="00C1224C" w:rsidRPr="007D3436" w:rsidRDefault="00C1224C" w:rsidP="00131F0A">
            <w:pPr>
              <w:rPr>
                <w:rFonts w:ascii="Arial Narrow" w:hAnsi="Arial Narrow"/>
                <w:sz w:val="18"/>
                <w:szCs w:val="18"/>
              </w:rPr>
            </w:pPr>
            <w:r w:rsidRPr="007D3436">
              <w:rPr>
                <w:rFonts w:ascii="Arial Narrow" w:hAnsi="Arial Narrow"/>
                <w:sz w:val="18"/>
                <w:szCs w:val="18"/>
              </w:rPr>
              <w:t>Develops, manufactures and distributes AT (potentially with a partner organisation)</w:t>
            </w:r>
          </w:p>
        </w:tc>
      </w:tr>
    </w:tbl>
    <w:p w:rsidR="0096596E" w:rsidRPr="003C18F2" w:rsidRDefault="0096596E" w:rsidP="007C35AC">
      <w:r w:rsidRPr="00F13632">
        <w:t>The opportun</w:t>
      </w:r>
      <w:r w:rsidRPr="00B00CEF">
        <w:t>ities arising from this set of options for NDIA are discussed below.</w:t>
      </w:r>
    </w:p>
    <w:p w:rsidR="00350BE2" w:rsidRPr="003C18F2" w:rsidRDefault="00095073" w:rsidP="00E917B1">
      <w:pPr>
        <w:pStyle w:val="Heading3"/>
      </w:pPr>
      <w:bookmarkStart w:id="33" w:name="_Toc432683889"/>
      <w:r>
        <w:t>3.3.2</w:t>
      </w:r>
      <w:r w:rsidR="009B4FF6" w:rsidRPr="00F13632">
        <w:t xml:space="preserve"> </w:t>
      </w:r>
      <w:r w:rsidR="00247BE0" w:rsidRPr="00B00CEF">
        <w:t xml:space="preserve">Opportunities </w:t>
      </w:r>
      <w:r w:rsidR="00247BE0" w:rsidRPr="003C18F2">
        <w:t>for NDIA</w:t>
      </w:r>
      <w:bookmarkEnd w:id="33"/>
    </w:p>
    <w:p w:rsidR="0096596E" w:rsidRPr="00633370" w:rsidRDefault="00247BE0">
      <w:r w:rsidRPr="00823315">
        <w:t xml:space="preserve">Broadly speaking, the </w:t>
      </w:r>
      <w:r w:rsidR="00C82DD5">
        <w:t xml:space="preserve">sourcing/procurement </w:t>
      </w:r>
      <w:r w:rsidRPr="00823315">
        <w:t>opportunities for NDIA</w:t>
      </w:r>
      <w:r w:rsidR="00042CEC">
        <w:t>,</w:t>
      </w:r>
      <w:r w:rsidRPr="00823315">
        <w:t xml:space="preserve"> in the context of a sustainable value-creating scheme</w:t>
      </w:r>
      <w:r w:rsidR="00042CEC">
        <w:t>,</w:t>
      </w:r>
      <w:r w:rsidRPr="00823315">
        <w:t xml:space="preserve"> are to support competitive market development </w:t>
      </w:r>
      <w:r w:rsidR="009B4FF6" w:rsidRPr="009D317C">
        <w:t>anchored in</w:t>
      </w:r>
      <w:r w:rsidRPr="00BC3662">
        <w:t xml:space="preserve"> participant choice and co</w:t>
      </w:r>
      <w:r w:rsidRPr="00D851DF">
        <w:t>ntrol</w:t>
      </w:r>
      <w:r w:rsidR="009B4FF6" w:rsidRPr="004E254D">
        <w:t xml:space="preserve">, and to determine </w:t>
      </w:r>
      <w:r w:rsidR="0096596E" w:rsidRPr="000D0B36">
        <w:t xml:space="preserve">if, </w:t>
      </w:r>
      <w:r w:rsidR="009B4FF6" w:rsidRPr="00194E14">
        <w:t>where and how</w:t>
      </w:r>
      <w:r w:rsidR="0052478D" w:rsidRPr="00194E14">
        <w:t xml:space="preserve"> </w:t>
      </w:r>
      <w:r w:rsidR="009B4FF6" w:rsidRPr="00131F0A">
        <w:t>to intervene in the market to optimise value for participants and economic returns for the scheme.</w:t>
      </w:r>
      <w:r w:rsidR="009B4FF6" w:rsidRPr="00633370">
        <w:t xml:space="preserve">  </w:t>
      </w:r>
    </w:p>
    <w:p w:rsidR="00247BE0" w:rsidRPr="00F13632" w:rsidRDefault="0096596E">
      <w:r w:rsidRPr="00633370">
        <w:t>The</w:t>
      </w:r>
      <w:r w:rsidR="009B4FF6" w:rsidRPr="00633370">
        <w:t xml:space="preserve"> opportunities and the approach taken to crystallising them are outlined below</w:t>
      </w:r>
      <w:r w:rsidR="009B4FF6" w:rsidRPr="00DA7ED3">
        <w:t>.</w:t>
      </w:r>
      <w:r w:rsidR="005F50D5" w:rsidRPr="00DA7ED3">
        <w:t xml:space="preserve">  </w:t>
      </w:r>
    </w:p>
    <w:p w:rsidR="009B4FF6" w:rsidRPr="003C18F2" w:rsidRDefault="00095073" w:rsidP="00042CEC">
      <w:pPr>
        <w:pStyle w:val="Heading4"/>
      </w:pPr>
      <w:r>
        <w:t>a)</w:t>
      </w:r>
      <w:r w:rsidR="009B4FF6" w:rsidRPr="00F13632">
        <w:t xml:space="preserve"> Support competitive market development centred on participant choi</w:t>
      </w:r>
      <w:r w:rsidR="009B4FF6" w:rsidRPr="00B00CEF">
        <w:t>ce and control</w:t>
      </w:r>
    </w:p>
    <w:p w:rsidR="00192D5F" w:rsidRPr="00194E14" w:rsidRDefault="001945D8" w:rsidP="00042CEC">
      <w:r>
        <w:t>Comprehensive</w:t>
      </w:r>
      <w:r w:rsidR="00AB0A74">
        <w:t>,</w:t>
      </w:r>
      <w:r>
        <w:t xml:space="preserve"> </w:t>
      </w:r>
      <w:r w:rsidR="00795292" w:rsidRPr="003C18F2">
        <w:t>timely, accurate and</w:t>
      </w:r>
      <w:r w:rsidR="005F50D5" w:rsidRPr="00823315">
        <w:t xml:space="preserve"> accessible </w:t>
      </w:r>
      <w:r w:rsidR="005F50D5" w:rsidRPr="009D317C">
        <w:t>information i</w:t>
      </w:r>
      <w:r w:rsidR="005F50D5" w:rsidRPr="00BC3662">
        <w:t xml:space="preserve">s the </w:t>
      </w:r>
      <w:r w:rsidR="00C82DD5">
        <w:t>prerequisite</w:t>
      </w:r>
      <w:r w:rsidR="005F50D5" w:rsidRPr="00823315">
        <w:t xml:space="preserve"> for</w:t>
      </w:r>
      <w:r w:rsidR="009E4891" w:rsidRPr="009D317C">
        <w:t xml:space="preserve"> a </w:t>
      </w:r>
      <w:r w:rsidR="0063455E" w:rsidRPr="009D317C">
        <w:t>well-functioning</w:t>
      </w:r>
      <w:r w:rsidR="009E4891" w:rsidRPr="009D317C">
        <w:t xml:space="preserve"> AT market. </w:t>
      </w:r>
      <w:r w:rsidR="005F50D5" w:rsidRPr="00BC3662">
        <w:t xml:space="preserve">At present, </w:t>
      </w:r>
      <w:r w:rsidR="005F50D5" w:rsidRPr="00D851DF">
        <w:t>such information is not available</w:t>
      </w:r>
      <w:r w:rsidR="00192D5F" w:rsidRPr="004E254D">
        <w:t xml:space="preserve"> to participants, including their families and carers, or to allied health professionals </w:t>
      </w:r>
      <w:r w:rsidR="00192D5F" w:rsidRPr="000D0B36">
        <w:t>and suppliers</w:t>
      </w:r>
      <w:r w:rsidR="005F50D5" w:rsidRPr="00194E14">
        <w:t xml:space="preserve">. </w:t>
      </w:r>
    </w:p>
    <w:p w:rsidR="005F50D5" w:rsidRPr="00042CEC" w:rsidRDefault="005F50D5" w:rsidP="00042CEC">
      <w:r w:rsidRPr="00194E14">
        <w:t xml:space="preserve">The opportunity for NDIA is </w:t>
      </w:r>
      <w:r w:rsidRPr="00131F0A">
        <w:t xml:space="preserve">to </w:t>
      </w:r>
      <w:r w:rsidR="0052478D" w:rsidRPr="00131F0A">
        <w:t>actively address</w:t>
      </w:r>
      <w:r w:rsidR="00795292" w:rsidRPr="00042CEC">
        <w:t xml:space="preserve"> </w:t>
      </w:r>
      <w:r w:rsidRPr="00042CEC">
        <w:t>i</w:t>
      </w:r>
      <w:r w:rsidR="00795292" w:rsidRPr="00042CEC">
        <w:t>nformation asymmetry</w:t>
      </w:r>
      <w:r w:rsidRPr="00042CEC">
        <w:t>.</w:t>
      </w:r>
      <w:r w:rsidR="00795292" w:rsidRPr="00042CEC">
        <w:t xml:space="preserve"> </w:t>
      </w:r>
      <w:r w:rsidRPr="00042CEC">
        <w:t xml:space="preserve">This </w:t>
      </w:r>
      <w:r w:rsidR="0096596E" w:rsidRPr="00042CEC">
        <w:t xml:space="preserve">opportunity and the initiatives to realise it are described in </w:t>
      </w:r>
      <w:r w:rsidR="00192D5F" w:rsidRPr="00042CEC">
        <w:t>Section</w:t>
      </w:r>
      <w:r w:rsidR="004739ED">
        <w:t>s</w:t>
      </w:r>
      <w:r w:rsidR="00192D5F" w:rsidRPr="00042CEC">
        <w:t xml:space="preserve"> 3</w:t>
      </w:r>
      <w:r w:rsidR="004739ED">
        <w:t>.2</w:t>
      </w:r>
      <w:r w:rsidR="00192D5F" w:rsidRPr="00042CEC">
        <w:t>.</w:t>
      </w:r>
      <w:r w:rsidR="002E72BA">
        <w:t>2</w:t>
      </w:r>
      <w:r w:rsidR="004739ED">
        <w:t xml:space="preserve"> and 3.2.</w:t>
      </w:r>
      <w:r w:rsidR="002E72BA">
        <w:t>3</w:t>
      </w:r>
      <w:r w:rsidR="004739ED">
        <w:t>.</w:t>
      </w:r>
      <w:r w:rsidR="00192D5F" w:rsidRPr="00042CEC">
        <w:t xml:space="preserve"> </w:t>
      </w:r>
      <w:r w:rsidR="0096596E" w:rsidRPr="00042CEC">
        <w:t xml:space="preserve">Implementation is expected to lower </w:t>
      </w:r>
      <w:r w:rsidR="0096596E" w:rsidRPr="00042CEC">
        <w:lastRenderedPageBreak/>
        <w:t xml:space="preserve">search costs, promote choice, empower good purchasing decisions, increase transparency and improve supplier performance through feedback based on data collection and analysis.  </w:t>
      </w:r>
    </w:p>
    <w:p w:rsidR="005F50D5" w:rsidRPr="00042CEC" w:rsidRDefault="0096596E" w:rsidP="00042CEC">
      <w:r w:rsidRPr="00042CEC">
        <w:t xml:space="preserve">In addition, NDIA has </w:t>
      </w:r>
      <w:r w:rsidR="00192D5F" w:rsidRPr="00042CEC">
        <w:t xml:space="preserve">a related </w:t>
      </w:r>
      <w:r w:rsidRPr="00042CEC">
        <w:t xml:space="preserve">opportunity to provide quality assurance for certain categories of AT, where </w:t>
      </w:r>
      <w:r w:rsidR="00192D5F" w:rsidRPr="00042CEC">
        <w:t>that will improve product quality and consequently value for money (</w:t>
      </w:r>
      <w:r w:rsidR="00795292" w:rsidRPr="00042CEC">
        <w:t xml:space="preserve">with </w:t>
      </w:r>
      <w:r w:rsidR="00192D5F" w:rsidRPr="00042CEC">
        <w:t>value defined as both social and economic). This would see NDIA setting rules, standards, specifications</w:t>
      </w:r>
      <w:r w:rsidR="003B4F9D">
        <w:t>,</w:t>
      </w:r>
      <w:r w:rsidR="00192D5F" w:rsidRPr="00042CEC">
        <w:t xml:space="preserve"> and/or pricing for selected AT support items. Analysis performed in developing the AT strategy suggests this </w:t>
      </w:r>
      <w:r w:rsidR="00E434C3" w:rsidRPr="00042CEC">
        <w:t>approach will be applicable for AT categories that account for approximately 10% of AT expenditure.</w:t>
      </w:r>
      <w:r w:rsidR="00633370" w:rsidRPr="00F13632">
        <w:rPr>
          <w:rStyle w:val="FootnoteReference"/>
        </w:rPr>
        <w:footnoteReference w:id="12"/>
      </w:r>
    </w:p>
    <w:p w:rsidR="00795292" w:rsidRPr="00042CEC" w:rsidRDefault="00095073" w:rsidP="00042CEC">
      <w:pPr>
        <w:pStyle w:val="Heading4"/>
        <w:ind w:left="426" w:hanging="426"/>
        <w:rPr>
          <w:lang w:val="en-GB"/>
        </w:rPr>
      </w:pPr>
      <w:r>
        <w:t>b)</w:t>
      </w:r>
      <w:r w:rsidR="007808A0" w:rsidRPr="00042CEC">
        <w:rPr>
          <w:lang w:val="en-GB"/>
        </w:rPr>
        <w:tab/>
      </w:r>
      <w:r w:rsidR="00795292" w:rsidRPr="00042CEC">
        <w:rPr>
          <w:lang w:val="en-GB"/>
        </w:rPr>
        <w:t>Intervene in the market where that optimises value for participants and economic returns for the scheme</w:t>
      </w:r>
    </w:p>
    <w:p w:rsidR="007808A0" w:rsidRPr="00633370" w:rsidRDefault="007808A0" w:rsidP="00042CEC">
      <w:r w:rsidRPr="00F13632">
        <w:t xml:space="preserve">AT covers a very wide range of products, devices and technologies used by a diverse group of people with </w:t>
      </w:r>
      <w:r w:rsidR="00B73F9B" w:rsidRPr="00B00CEF">
        <w:t xml:space="preserve">equally diverse desires and needs. </w:t>
      </w:r>
      <w:r w:rsidR="000F10D5" w:rsidRPr="003C18F2">
        <w:t xml:space="preserve">Some parts of the market are consolidated, with large suppliers producing </w:t>
      </w:r>
      <w:r w:rsidR="00B73F9B" w:rsidRPr="00823315">
        <w:t>similar products</w:t>
      </w:r>
      <w:r w:rsidR="009572CE" w:rsidRPr="009D317C">
        <w:t>;</w:t>
      </w:r>
      <w:r w:rsidR="000F10D5" w:rsidRPr="00BC3662">
        <w:t xml:space="preserve"> others are fragmented, with small suppliers produc</w:t>
      </w:r>
      <w:r w:rsidR="000F10D5" w:rsidRPr="00D851DF">
        <w:t xml:space="preserve">ing highly </w:t>
      </w:r>
      <w:r w:rsidR="000F10D5" w:rsidRPr="004E254D">
        <w:t>customi</w:t>
      </w:r>
      <w:r w:rsidR="000F10D5" w:rsidRPr="000D0B36">
        <w:t>s</w:t>
      </w:r>
      <w:r w:rsidR="000F10D5" w:rsidRPr="00194E14">
        <w:t>ed</w:t>
      </w:r>
      <w:r w:rsidR="000F10D5" w:rsidRPr="00131F0A">
        <w:t xml:space="preserve"> products.</w:t>
      </w:r>
      <w:r w:rsidR="00B73F9B" w:rsidRPr="00633370">
        <w:t xml:space="preserve"> </w:t>
      </w:r>
      <w:r w:rsidR="000F10D5" w:rsidRPr="00633370">
        <w:t xml:space="preserve">Some products are sophisticated and rapidly evolving; others less so. Some are produced for the disability sector only; some for </w:t>
      </w:r>
      <w:r w:rsidR="009572CE" w:rsidRPr="00633370">
        <w:t xml:space="preserve">the mainstream market.  </w:t>
      </w:r>
    </w:p>
    <w:p w:rsidR="009572CE" w:rsidRPr="00131F0A" w:rsidRDefault="009572CE" w:rsidP="00042CEC">
      <w:r w:rsidRPr="00633370">
        <w:t xml:space="preserve">In the face of such diversity on both the demand and supply sides, the opportunity for NDIA is to select the </w:t>
      </w:r>
      <w:r w:rsidR="001C7D27" w:rsidRPr="00633370">
        <w:t>level of market intervention</w:t>
      </w:r>
      <w:r w:rsidRPr="00633370">
        <w:t xml:space="preserve"> for the right categories of AT</w:t>
      </w:r>
      <w:r w:rsidR="001C7D27" w:rsidRPr="00633370">
        <w:t xml:space="preserve"> (rather than adopt a universal approach to the role it plays in the market</w:t>
      </w:r>
      <w:r w:rsidR="004739ED">
        <w:t>). The guiding principle for that selection is to maximise</w:t>
      </w:r>
      <w:r w:rsidRPr="00823315">
        <w:t xml:space="preserve"> value for participants a</w:t>
      </w:r>
      <w:r w:rsidRPr="009D317C">
        <w:t>nd economic returns for the scheme.</w:t>
      </w:r>
      <w:r w:rsidRPr="00BC3662">
        <w:t xml:space="preserve"> In addition, </w:t>
      </w:r>
      <w:r w:rsidR="004739ED" w:rsidRPr="00D851DF">
        <w:t>the</w:t>
      </w:r>
      <w:r w:rsidRPr="004E254D">
        <w:t xml:space="preserve"> role </w:t>
      </w:r>
      <w:r w:rsidR="004739ED">
        <w:t xml:space="preserve">selected </w:t>
      </w:r>
      <w:r w:rsidRPr="00823315">
        <w:t xml:space="preserve">must be congruent with </w:t>
      </w:r>
      <w:r w:rsidRPr="009D317C">
        <w:t xml:space="preserve">NDIA’s first two strategic priorities: </w:t>
      </w:r>
      <w:r w:rsidRPr="00BC3662">
        <w:t>to support the development of an innovative AT market and participants’ ability to exercise informed choice and control in that</w:t>
      </w:r>
      <w:r w:rsidRPr="00D851DF">
        <w:t xml:space="preserve"> market. In that context, any </w:t>
      </w:r>
      <w:r w:rsidRPr="004E254D">
        <w:t xml:space="preserve">market </w:t>
      </w:r>
      <w:r w:rsidRPr="000D0B36">
        <w:t xml:space="preserve">intervention </w:t>
      </w:r>
      <w:r w:rsidRPr="00194E14">
        <w:t xml:space="preserve">should be the minimum necessary to </w:t>
      </w:r>
      <w:r w:rsidR="001C7D27" w:rsidRPr="00131F0A">
        <w:t>meet the objectives of participant and scheme value.</w:t>
      </w:r>
    </w:p>
    <w:p w:rsidR="00EB1C3A" w:rsidRPr="003C18F2" w:rsidRDefault="00A74D9A" w:rsidP="00042CEC">
      <w:r w:rsidRPr="00633370">
        <w:t xml:space="preserve">To crystallise this opportunity and </w:t>
      </w:r>
      <w:r w:rsidR="00EB1C3A" w:rsidRPr="00633370">
        <w:t>enable</w:t>
      </w:r>
      <w:r w:rsidRPr="00633370">
        <w:t xml:space="preserve"> the development of practicable initiatives to realise it, 375 AT items were grouped into 33 marketable parcels </w:t>
      </w:r>
      <w:r w:rsidR="001C7D27" w:rsidRPr="00633370">
        <w:t>to provide</w:t>
      </w:r>
      <w:r w:rsidRPr="00633370">
        <w:t xml:space="preserve"> a basis for considering what role NDIA should play in their sourcing and procurement.</w:t>
      </w:r>
      <w:r w:rsidR="009614D6" w:rsidRPr="00633370">
        <w:t xml:space="preserve"> For example, 29 continence support items</w:t>
      </w:r>
      <w:r w:rsidR="009614D6" w:rsidRPr="00F13632">
        <w:rPr>
          <w:rStyle w:val="FootnoteReference"/>
        </w:rPr>
        <w:footnoteReference w:id="13"/>
      </w:r>
      <w:r w:rsidR="009614D6" w:rsidRPr="00F13632">
        <w:t xml:space="preserve"> that account for an estimated annual expenditure of $230 million (</w:t>
      </w:r>
      <w:r w:rsidR="009614D6" w:rsidRPr="00B00CEF">
        <w:t>or around 25% of total AT spend)</w:t>
      </w:r>
      <w:r w:rsidR="009614D6" w:rsidRPr="00F13632">
        <w:rPr>
          <w:rStyle w:val="FootnoteReference"/>
        </w:rPr>
        <w:footnoteReference w:id="14"/>
      </w:r>
      <w:r w:rsidR="009614D6" w:rsidRPr="00F13632">
        <w:t xml:space="preserve"> </w:t>
      </w:r>
      <w:r w:rsidR="001C7D27" w:rsidRPr="00F13632">
        <w:t>were</w:t>
      </w:r>
      <w:r w:rsidR="00EB1C3A" w:rsidRPr="00B00CEF">
        <w:t xml:space="preserve"> grouped into one marketable parcel on the basis that they are</w:t>
      </w:r>
      <w:r w:rsidR="00EB1C3A" w:rsidRPr="003C18F2">
        <w:t xml:space="preserve"> </w:t>
      </w:r>
      <w:r w:rsidR="00EB1C3A" w:rsidRPr="00DA7ED3">
        <w:t xml:space="preserve">provided by similar suppliers and are all consumables with similar lifecycles of use. </w:t>
      </w:r>
    </w:p>
    <w:p w:rsidR="00B73F9B" w:rsidRPr="00042CEC" w:rsidRDefault="00B73F9B" w:rsidP="00B73F9B">
      <w:r w:rsidRPr="003C18F2">
        <w:t xml:space="preserve">To determine the right role for NDIA in each of the AT parcels, </w:t>
      </w:r>
      <w:r w:rsidRPr="00042CEC">
        <w:t>they were mapped based on</w:t>
      </w:r>
      <w:r w:rsidR="00E50186" w:rsidRPr="00042CEC">
        <w:t xml:space="preserve">, first, </w:t>
      </w:r>
      <w:r w:rsidRPr="00042CEC">
        <w:t>the importance of choice</w:t>
      </w:r>
      <w:r w:rsidR="00E50186" w:rsidRPr="00042CEC">
        <w:t xml:space="preserve"> as a function of customisation level and participant ratings; and, second, the</w:t>
      </w:r>
      <w:r w:rsidRPr="00042CEC">
        <w:t xml:space="preserve"> value potential from central sourcing</w:t>
      </w:r>
      <w:r w:rsidR="00E50186" w:rsidRPr="00042CEC">
        <w:t xml:space="preserve"> as a function of </w:t>
      </w:r>
      <w:r w:rsidR="004739ED">
        <w:t>scale sufficiency (i.e. whether the proportion of total spend on the category is sufficient to justify market intervention), potential scale benefits (i.e. whether, based on savings generated by central sourcing at the state level are substantial), and</w:t>
      </w:r>
      <w:r w:rsidR="004739ED" w:rsidRPr="00823315">
        <w:t xml:space="preserve"> </w:t>
      </w:r>
      <w:r w:rsidR="00E50186" w:rsidRPr="00042CEC">
        <w:t>reissue potential</w:t>
      </w:r>
      <w:r w:rsidR="004739ED">
        <w:t xml:space="preserve"> (i.e. whether the </w:t>
      </w:r>
      <w:r w:rsidR="00857128">
        <w:t>item might be reissued to another participant—a child-sized wheelchair that the user has outgrown would be an example)</w:t>
      </w:r>
      <w:r w:rsidR="00E50186" w:rsidRPr="00042CEC">
        <w:t xml:space="preserve">. This allowed the development of hypotheses on the right level of market intervention for each parcel. The hypotheses were tested and validated through ‘deep dive’ analysis </w:t>
      </w:r>
      <w:r w:rsidR="001C7D27" w:rsidRPr="00042CEC">
        <w:t xml:space="preserve">for each parcel, </w:t>
      </w:r>
      <w:r w:rsidR="00E50186" w:rsidRPr="00042CEC">
        <w:t>including:</w:t>
      </w:r>
    </w:p>
    <w:p w:rsidR="00E50186" w:rsidRPr="00042CEC" w:rsidRDefault="00E50186" w:rsidP="00D605BC">
      <w:pPr>
        <w:pStyle w:val="ListParagraph"/>
        <w:numPr>
          <w:ilvl w:val="0"/>
          <w:numId w:val="20"/>
        </w:numPr>
        <w:ind w:left="714" w:hanging="357"/>
        <w:contextualSpacing w:val="0"/>
      </w:pPr>
      <w:r w:rsidRPr="00042CEC">
        <w:rPr>
          <w:bCs/>
        </w:rPr>
        <w:t>Refin</w:t>
      </w:r>
      <w:r w:rsidR="001C7D27" w:rsidRPr="00042CEC">
        <w:rPr>
          <w:bCs/>
        </w:rPr>
        <w:t>ing the</w:t>
      </w:r>
      <w:r w:rsidRPr="00042CEC">
        <w:rPr>
          <w:bCs/>
        </w:rPr>
        <w:t xml:space="preserve"> estimate</w:t>
      </w:r>
      <w:r w:rsidR="001C7D27" w:rsidRPr="00042CEC">
        <w:rPr>
          <w:bCs/>
        </w:rPr>
        <w:t>d</w:t>
      </w:r>
      <w:r w:rsidRPr="00042CEC">
        <w:rPr>
          <w:bCs/>
        </w:rPr>
        <w:t xml:space="preserve"> value </w:t>
      </w:r>
      <w:r w:rsidR="001C7D27" w:rsidRPr="00042CEC">
        <w:rPr>
          <w:bCs/>
        </w:rPr>
        <w:t>potential from central sourcing</w:t>
      </w:r>
      <w:r w:rsidRPr="00042CEC">
        <w:rPr>
          <w:bCs/>
        </w:rPr>
        <w:t xml:space="preserve"> </w:t>
      </w:r>
      <w:r w:rsidRPr="00042CEC">
        <w:t xml:space="preserve">through detailed analysis of data from </w:t>
      </w:r>
      <w:r w:rsidR="00E95569">
        <w:t>existing</w:t>
      </w:r>
      <w:r w:rsidR="00E95569" w:rsidRPr="00042CEC">
        <w:t xml:space="preserve"> </w:t>
      </w:r>
      <w:r w:rsidRPr="00042CEC">
        <w:t>tender/panel arrangements and pool models</w:t>
      </w:r>
      <w:r w:rsidR="001C7D27" w:rsidRPr="00042CEC">
        <w:t>;</w:t>
      </w:r>
    </w:p>
    <w:p w:rsidR="00E50186" w:rsidRPr="00042CEC" w:rsidRDefault="00E50186" w:rsidP="00D605BC">
      <w:pPr>
        <w:pStyle w:val="ListParagraph"/>
        <w:numPr>
          <w:ilvl w:val="0"/>
          <w:numId w:val="20"/>
        </w:numPr>
        <w:ind w:left="714" w:hanging="357"/>
        <w:contextualSpacing w:val="0"/>
      </w:pPr>
      <w:r w:rsidRPr="00042CEC">
        <w:rPr>
          <w:bCs/>
        </w:rPr>
        <w:t>Refin</w:t>
      </w:r>
      <w:r w:rsidR="001C7D27" w:rsidRPr="00042CEC">
        <w:rPr>
          <w:bCs/>
        </w:rPr>
        <w:t>ing the</w:t>
      </w:r>
      <w:r w:rsidRPr="00042CEC">
        <w:rPr>
          <w:bCs/>
        </w:rPr>
        <w:t xml:space="preserve"> </w:t>
      </w:r>
      <w:r w:rsidR="001C7D27" w:rsidRPr="00042CEC">
        <w:rPr>
          <w:bCs/>
        </w:rPr>
        <w:t>estimated importance of choice</w:t>
      </w:r>
      <w:r w:rsidRPr="00042CEC">
        <w:rPr>
          <w:bCs/>
        </w:rPr>
        <w:t xml:space="preserve"> for high-</w:t>
      </w:r>
      <w:r w:rsidR="001C7D27" w:rsidRPr="00042CEC">
        <w:rPr>
          <w:bCs/>
        </w:rPr>
        <w:t>value</w:t>
      </w:r>
      <w:r w:rsidRPr="00042CEC">
        <w:rPr>
          <w:bCs/>
        </w:rPr>
        <w:t xml:space="preserve"> parcels </w:t>
      </w:r>
      <w:r w:rsidRPr="00042CEC">
        <w:t>(e.g. continence products and wheelchairs)</w:t>
      </w:r>
      <w:r w:rsidRPr="00042CEC">
        <w:rPr>
          <w:bCs/>
        </w:rPr>
        <w:t xml:space="preserve"> </w:t>
      </w:r>
      <w:r w:rsidRPr="00042CEC">
        <w:t xml:space="preserve">through participant interviews and </w:t>
      </w:r>
      <w:r w:rsidR="001C7D27" w:rsidRPr="00042CEC">
        <w:t>other engagement models;</w:t>
      </w:r>
    </w:p>
    <w:p w:rsidR="00E50186" w:rsidRPr="00042CEC" w:rsidRDefault="001C7D27" w:rsidP="00D605BC">
      <w:pPr>
        <w:pStyle w:val="ListParagraph"/>
        <w:numPr>
          <w:ilvl w:val="0"/>
          <w:numId w:val="20"/>
        </w:numPr>
        <w:ind w:left="714" w:hanging="357"/>
        <w:contextualSpacing w:val="0"/>
      </w:pPr>
      <w:r w:rsidRPr="00042CEC">
        <w:rPr>
          <w:bCs/>
        </w:rPr>
        <w:t>Analysing</w:t>
      </w:r>
      <w:r w:rsidR="00E50186" w:rsidRPr="00042CEC">
        <w:rPr>
          <w:bCs/>
        </w:rPr>
        <w:t xml:space="preserve"> the market landscape </w:t>
      </w:r>
      <w:r w:rsidRPr="00042CEC">
        <w:t>in every Australian</w:t>
      </w:r>
      <w:r w:rsidR="00E50186" w:rsidRPr="00042CEC">
        <w:t xml:space="preserve"> state and territory</w:t>
      </w:r>
      <w:r w:rsidRPr="00042CEC">
        <w:t>;</w:t>
      </w:r>
      <w:r w:rsidR="00E50186" w:rsidRPr="00042CEC">
        <w:t xml:space="preserve"> </w:t>
      </w:r>
      <w:r w:rsidRPr="00042CEC">
        <w:t>and</w:t>
      </w:r>
    </w:p>
    <w:p w:rsidR="00E50186" w:rsidRPr="00042CEC" w:rsidRDefault="00E50186" w:rsidP="00D605BC">
      <w:pPr>
        <w:pStyle w:val="ListParagraph"/>
        <w:numPr>
          <w:ilvl w:val="0"/>
          <w:numId w:val="20"/>
        </w:numPr>
        <w:ind w:left="714" w:hanging="357"/>
        <w:contextualSpacing w:val="0"/>
      </w:pPr>
      <w:r w:rsidRPr="00042CEC">
        <w:rPr>
          <w:bCs/>
        </w:rPr>
        <w:t>Develop</w:t>
      </w:r>
      <w:r w:rsidR="001C7D27" w:rsidRPr="00042CEC">
        <w:rPr>
          <w:bCs/>
        </w:rPr>
        <w:t>ing a</w:t>
      </w:r>
      <w:r w:rsidRPr="00042CEC">
        <w:rPr>
          <w:bCs/>
        </w:rPr>
        <w:t xml:space="preserve"> high-level business case for parcels requiring government intervention,</w:t>
      </w:r>
      <w:r w:rsidRPr="00042CEC">
        <w:t xml:space="preserve"> including estimated financial and non-financial befits, up-front and on-going costs and risks</w:t>
      </w:r>
      <w:r w:rsidR="001C7D27" w:rsidRPr="00042CEC">
        <w:t>.</w:t>
      </w:r>
    </w:p>
    <w:p w:rsidR="001C7D27" w:rsidRPr="00B00CEF" w:rsidRDefault="00BB0C1D" w:rsidP="001C7D27">
      <w:r w:rsidRPr="00E95569">
        <w:t xml:space="preserve">This work resulted in </w:t>
      </w:r>
      <w:r>
        <w:t>an initial</w:t>
      </w:r>
      <w:r w:rsidRPr="00E95569">
        <w:t xml:space="preserve"> sourcing model for each </w:t>
      </w:r>
      <w:r w:rsidRPr="00F13632">
        <w:t xml:space="preserve">parcel, including estimated costs, benefits, risks and </w:t>
      </w:r>
      <w:r w:rsidRPr="00B00CEF">
        <w:t>risk mitigation strategies.</w:t>
      </w:r>
      <w:r>
        <w:t xml:space="preserve"> In its role as market steward and as a category manager of AT, the NDIA will monitor outcomes and adjust sourcing models if required.</w:t>
      </w:r>
    </w:p>
    <w:p w:rsidR="00E50186" w:rsidRPr="00E95569" w:rsidRDefault="00095073" w:rsidP="00E917B1">
      <w:pPr>
        <w:pStyle w:val="Heading3"/>
      </w:pPr>
      <w:bookmarkStart w:id="34" w:name="_Toc432683890"/>
      <w:r>
        <w:lastRenderedPageBreak/>
        <w:t>3.3.3</w:t>
      </w:r>
      <w:r w:rsidR="00633370" w:rsidRPr="00E95569">
        <w:t xml:space="preserve"> Proposed initiatives</w:t>
      </w:r>
      <w:r>
        <w:rPr>
          <w:rStyle w:val="FootnoteReference"/>
        </w:rPr>
        <w:footnoteReference w:id="15"/>
      </w:r>
      <w:bookmarkEnd w:id="34"/>
    </w:p>
    <w:p w:rsidR="00380069" w:rsidRPr="00F13632" w:rsidRDefault="00380069" w:rsidP="00E95569">
      <w:pPr>
        <w:pStyle w:val="Heading4"/>
      </w:pPr>
      <w:r>
        <w:t xml:space="preserve">1. </w:t>
      </w:r>
      <w:r w:rsidRPr="00F13632">
        <w:t xml:space="preserve">Employ a differentiated AT sourcing approach based on product bundling </w:t>
      </w:r>
    </w:p>
    <w:p w:rsidR="00380069" w:rsidRDefault="00380069" w:rsidP="00E95569">
      <w:pPr>
        <w:rPr>
          <w:lang w:val="en-US"/>
        </w:rPr>
      </w:pPr>
      <w:r w:rsidRPr="0079464B">
        <w:rPr>
          <w:bCs/>
          <w:lang w:val="en-US"/>
        </w:rPr>
        <w:t>NDIA will centrally source 14 of 33 AT parcels</w:t>
      </w:r>
      <w:r w:rsidRPr="00380069">
        <w:rPr>
          <w:b/>
          <w:bCs/>
          <w:lang w:val="en-US"/>
        </w:rPr>
        <w:t xml:space="preserve"> </w:t>
      </w:r>
      <w:r w:rsidRPr="00380069">
        <w:rPr>
          <w:lang w:val="en-US"/>
        </w:rPr>
        <w:t xml:space="preserve">(accounting for </w:t>
      </w:r>
      <w:r>
        <w:rPr>
          <w:lang w:val="en-US"/>
        </w:rPr>
        <w:t>around 50</w:t>
      </w:r>
      <w:r w:rsidRPr="00380069">
        <w:rPr>
          <w:lang w:val="en-US"/>
        </w:rPr>
        <w:t>% of AT expenditure)</w:t>
      </w:r>
      <w:r>
        <w:rPr>
          <w:lang w:val="en-US"/>
        </w:rPr>
        <w:t xml:space="preserve"> </w:t>
      </w:r>
      <w:r w:rsidR="00857128">
        <w:rPr>
          <w:lang w:val="en-US"/>
        </w:rPr>
        <w:t xml:space="preserve">but participants </w:t>
      </w:r>
      <w:r w:rsidR="00E95569">
        <w:rPr>
          <w:lang w:val="en-US"/>
        </w:rPr>
        <w:t xml:space="preserve">may choose </w:t>
      </w:r>
      <w:r w:rsidR="00857128">
        <w:rPr>
          <w:lang w:val="en-US"/>
        </w:rPr>
        <w:t xml:space="preserve">to opt in or </w:t>
      </w:r>
      <w:r w:rsidR="007D1623">
        <w:rPr>
          <w:lang w:val="en-US"/>
        </w:rPr>
        <w:t xml:space="preserve">out </w:t>
      </w:r>
      <w:r w:rsidR="00857128">
        <w:rPr>
          <w:lang w:val="en-US"/>
        </w:rPr>
        <w:t>of sourcing their AT through NDIA</w:t>
      </w:r>
      <w:r w:rsidR="00F13632">
        <w:rPr>
          <w:lang w:val="en-US"/>
        </w:rPr>
        <w:t>.  The approach to central sourcing will differ by parcel:</w:t>
      </w:r>
    </w:p>
    <w:p w:rsidR="00F13632" w:rsidRDefault="00F13632" w:rsidP="00D605BC">
      <w:pPr>
        <w:pStyle w:val="ListParagraph"/>
        <w:numPr>
          <w:ilvl w:val="0"/>
          <w:numId w:val="41"/>
        </w:numPr>
        <w:tabs>
          <w:tab w:val="num" w:pos="360"/>
        </w:tabs>
        <w:ind w:left="714" w:hanging="357"/>
        <w:contextualSpacing w:val="0"/>
        <w:rPr>
          <w:lang w:val="en-AU"/>
        </w:rPr>
      </w:pPr>
      <w:r>
        <w:rPr>
          <w:bCs/>
        </w:rPr>
        <w:t xml:space="preserve">A tender or panel </w:t>
      </w:r>
      <w:r w:rsidR="00857128">
        <w:rPr>
          <w:bCs/>
        </w:rPr>
        <w:t xml:space="preserve">will be adopted </w:t>
      </w:r>
      <w:r>
        <w:rPr>
          <w:bCs/>
        </w:rPr>
        <w:t>for two parcels</w:t>
      </w:r>
      <w:r w:rsidR="003B4F9D">
        <w:rPr>
          <w:bCs/>
        </w:rPr>
        <w:t xml:space="preserve"> </w:t>
      </w:r>
      <w:r w:rsidR="003B4F9D">
        <w:rPr>
          <w:lang w:val="en-AU"/>
        </w:rPr>
        <w:t xml:space="preserve">(approx. </w:t>
      </w:r>
      <w:r w:rsidRPr="00B00CEF">
        <w:rPr>
          <w:lang w:val="en-AU"/>
        </w:rPr>
        <w:t>30% of AT expenditure</w:t>
      </w:r>
      <w:r>
        <w:rPr>
          <w:lang w:val="en-AU"/>
        </w:rPr>
        <w:t>)</w:t>
      </w:r>
      <w:r w:rsidRPr="00B00CEF">
        <w:rPr>
          <w:lang w:val="en-AU"/>
        </w:rPr>
        <w:t xml:space="preserve"> to lower prices</w:t>
      </w:r>
      <w:r>
        <w:rPr>
          <w:lang w:val="en-AU"/>
        </w:rPr>
        <w:t xml:space="preserve"> by leveraging scale; and</w:t>
      </w:r>
      <w:r w:rsidR="003B4F9D">
        <w:rPr>
          <w:lang w:val="en-AU"/>
        </w:rPr>
        <w:t>,</w:t>
      </w:r>
    </w:p>
    <w:p w:rsidR="00F13632" w:rsidRDefault="00F13632" w:rsidP="00D605BC">
      <w:pPr>
        <w:pStyle w:val="ListParagraph"/>
        <w:numPr>
          <w:ilvl w:val="0"/>
          <w:numId w:val="41"/>
        </w:numPr>
        <w:tabs>
          <w:tab w:val="num" w:pos="360"/>
        </w:tabs>
        <w:ind w:left="714" w:hanging="357"/>
        <w:contextualSpacing w:val="0"/>
        <w:rPr>
          <w:lang w:val="en-AU"/>
        </w:rPr>
      </w:pPr>
      <w:r w:rsidRPr="00973767">
        <w:rPr>
          <w:lang w:val="en-AU"/>
        </w:rPr>
        <w:t>A pool model</w:t>
      </w:r>
      <w:r w:rsidR="00EF0B1E" w:rsidRPr="00973767">
        <w:rPr>
          <w:lang w:val="en-AU"/>
        </w:rPr>
        <w:t>,</w:t>
      </w:r>
      <w:r w:rsidR="00EF0B1E">
        <w:rPr>
          <w:lang w:val="en-AU"/>
        </w:rPr>
        <w:t xml:space="preserve"> </w:t>
      </w:r>
      <w:r w:rsidR="00973767">
        <w:rPr>
          <w:lang w:val="en-AU"/>
        </w:rPr>
        <w:t xml:space="preserve">where AT is initially purchased through a tender or panel, </w:t>
      </w:r>
      <w:r w:rsidR="00EF0B1E">
        <w:rPr>
          <w:lang w:val="en-AU"/>
        </w:rPr>
        <w:t xml:space="preserve">will </w:t>
      </w:r>
      <w:r w:rsidR="00857128">
        <w:rPr>
          <w:lang w:val="en-AU"/>
        </w:rPr>
        <w:t xml:space="preserve">be adopted </w:t>
      </w:r>
      <w:r>
        <w:rPr>
          <w:lang w:val="en-AU"/>
        </w:rPr>
        <w:t xml:space="preserve">for 12 parcels </w:t>
      </w:r>
      <w:r w:rsidR="003B4F9D">
        <w:rPr>
          <w:lang w:val="en-AU"/>
        </w:rPr>
        <w:t xml:space="preserve">(approx. </w:t>
      </w:r>
      <w:r w:rsidRPr="000B6088">
        <w:rPr>
          <w:lang w:val="en-AU"/>
        </w:rPr>
        <w:t xml:space="preserve">23% of AT expenditure) </w:t>
      </w:r>
      <w:r>
        <w:rPr>
          <w:lang w:val="en-AU"/>
        </w:rPr>
        <w:t>to increase utilisation and reduce</w:t>
      </w:r>
      <w:r w:rsidRPr="000B6088">
        <w:rPr>
          <w:lang w:val="en-AU"/>
        </w:rPr>
        <w:t xml:space="preserve"> wait times</w:t>
      </w:r>
      <w:r>
        <w:rPr>
          <w:lang w:val="en-AU"/>
        </w:rPr>
        <w:t>.</w:t>
      </w:r>
    </w:p>
    <w:p w:rsidR="00F13632" w:rsidRDefault="00F13632" w:rsidP="00E95569">
      <w:pPr>
        <w:rPr>
          <w:lang w:val="en-AU"/>
        </w:rPr>
      </w:pPr>
      <w:r>
        <w:rPr>
          <w:lang w:val="en-AU"/>
        </w:rPr>
        <w:t>Where possible, NDIA will run joint tenders with other agencies maximise scale efficiencies.</w:t>
      </w:r>
    </w:p>
    <w:p w:rsidR="00A75B1C" w:rsidRDefault="00E24A55" w:rsidP="00E95569">
      <w:pPr>
        <w:rPr>
          <w:lang w:val="en-AU"/>
        </w:rPr>
      </w:pPr>
      <w:r>
        <w:rPr>
          <w:lang w:val="en-AU"/>
        </w:rPr>
        <w:t>Table 2</w:t>
      </w:r>
      <w:r w:rsidR="00857128">
        <w:rPr>
          <w:lang w:val="en-AU"/>
        </w:rPr>
        <w:t xml:space="preserve"> show</w:t>
      </w:r>
      <w:r>
        <w:rPr>
          <w:lang w:val="en-AU"/>
        </w:rPr>
        <w:t>s</w:t>
      </w:r>
      <w:r w:rsidR="00857128">
        <w:rPr>
          <w:lang w:val="en-AU"/>
        </w:rPr>
        <w:t xml:space="preserve"> the categories </w:t>
      </w:r>
      <w:r>
        <w:rPr>
          <w:lang w:val="en-AU"/>
        </w:rPr>
        <w:t xml:space="preserve">(marketable parcels) </w:t>
      </w:r>
      <w:r w:rsidR="00857128">
        <w:rPr>
          <w:lang w:val="en-AU"/>
        </w:rPr>
        <w:t xml:space="preserve">where </w:t>
      </w:r>
      <w:r>
        <w:rPr>
          <w:lang w:val="en-AU"/>
        </w:rPr>
        <w:t xml:space="preserve">the recommended initiative is to centrally source </w:t>
      </w:r>
      <w:r w:rsidR="00EF0B1E">
        <w:rPr>
          <w:lang w:val="en-AU"/>
        </w:rPr>
        <w:t xml:space="preserve">either </w:t>
      </w:r>
      <w:r>
        <w:rPr>
          <w:lang w:val="en-AU"/>
        </w:rPr>
        <w:t xml:space="preserve">through a tender/panel </w:t>
      </w:r>
      <w:r w:rsidR="00EF0B1E">
        <w:rPr>
          <w:lang w:val="en-AU"/>
        </w:rPr>
        <w:t xml:space="preserve">alone, or in combination with </w:t>
      </w:r>
      <w:r w:rsidR="00973767">
        <w:rPr>
          <w:lang w:val="en-AU"/>
        </w:rPr>
        <w:t>a pool model, where AT is initially purchased through a tender or panel.</w:t>
      </w:r>
    </w:p>
    <w:p w:rsidR="00E95569" w:rsidRDefault="00E95569" w:rsidP="00E95569">
      <w:pPr>
        <w:rPr>
          <w:lang w:val="en-AU"/>
        </w:rPr>
      </w:pPr>
    </w:p>
    <w:p w:rsidR="00857128" w:rsidRDefault="00E95569" w:rsidP="00BA0D94">
      <w:pPr>
        <w:pStyle w:val="Caption"/>
        <w:jc w:val="center"/>
        <w:rPr>
          <w:lang w:val="en-AU"/>
        </w:rPr>
      </w:pPr>
      <w:r>
        <w:t xml:space="preserve">Table </w:t>
      </w:r>
      <w:r w:rsidR="00D77382">
        <w:rPr>
          <w:b w:val="0"/>
          <w:bCs w:val="0"/>
        </w:rPr>
        <w:fldChar w:fldCharType="begin"/>
      </w:r>
      <w:r>
        <w:instrText xml:space="preserve"> SEQ Table \* ARABIC </w:instrText>
      </w:r>
      <w:r w:rsidR="00D77382">
        <w:rPr>
          <w:b w:val="0"/>
          <w:bCs w:val="0"/>
        </w:rPr>
        <w:fldChar w:fldCharType="separate"/>
      </w:r>
      <w:r w:rsidR="007717DF">
        <w:rPr>
          <w:noProof/>
        </w:rPr>
        <w:t>2</w:t>
      </w:r>
      <w:r w:rsidR="00D77382">
        <w:rPr>
          <w:b w:val="0"/>
          <w:bCs w:val="0"/>
        </w:rPr>
        <w:fldChar w:fldCharType="end"/>
      </w:r>
      <w:r>
        <w:t>: Recommended AT parcels for central sourcing, and annual spend by parcel</w:t>
      </w:r>
    </w:p>
    <w:tbl>
      <w:tblPr>
        <w:tblW w:w="9142" w:type="dxa"/>
        <w:tblInd w:w="-58" w:type="dxa"/>
        <w:tblCellMar>
          <w:left w:w="0" w:type="dxa"/>
          <w:right w:w="0" w:type="dxa"/>
        </w:tblCellMar>
        <w:tblLook w:val="0400" w:firstRow="0" w:lastRow="0" w:firstColumn="0" w:lastColumn="0" w:noHBand="0" w:noVBand="1"/>
      </w:tblPr>
      <w:tblGrid>
        <w:gridCol w:w="3063"/>
        <w:gridCol w:w="3162"/>
        <w:gridCol w:w="1039"/>
        <w:gridCol w:w="1878"/>
      </w:tblGrid>
      <w:tr w:rsidR="00823315" w:rsidRPr="007D3436" w:rsidTr="00BA0D94">
        <w:trPr>
          <w:trHeight w:hRule="exact" w:val="617"/>
          <w:tblHeader/>
        </w:trPr>
        <w:tc>
          <w:tcPr>
            <w:tcW w:w="3063" w:type="dxa"/>
            <w:tcBorders>
              <w:top w:val="nil"/>
              <w:left w:val="nil"/>
              <w:bottom w:val="single" w:sz="12" w:space="0" w:color="48A3D7"/>
              <w:right w:val="nil"/>
            </w:tcBorders>
            <w:shd w:val="clear" w:color="auto" w:fill="5F497A" w:themeFill="accent4" w:themeFillShade="BF"/>
          </w:tcPr>
          <w:p w:rsidR="00823315" w:rsidRPr="007D3436" w:rsidRDefault="00823315" w:rsidP="00E24A55">
            <w:pPr>
              <w:jc w:val="center"/>
              <w:rPr>
                <w:rFonts w:ascii="Arial Narrow" w:hAnsi="Arial Narrow"/>
                <w:b/>
                <w:bCs/>
                <w:color w:val="FFFFFF" w:themeColor="background1"/>
                <w:sz w:val="18"/>
                <w:szCs w:val="18"/>
                <w:lang w:val="en-AU"/>
              </w:rPr>
            </w:pPr>
            <w:r w:rsidRPr="007D3436">
              <w:rPr>
                <w:rFonts w:ascii="Arial Narrow" w:hAnsi="Arial Narrow"/>
                <w:b/>
                <w:bCs/>
                <w:color w:val="FFFFFF" w:themeColor="background1"/>
                <w:sz w:val="18"/>
                <w:szCs w:val="18"/>
                <w:lang w:val="en-AU"/>
              </w:rPr>
              <w:t>Sourcing model for NDIA as buyer</w:t>
            </w:r>
          </w:p>
        </w:tc>
        <w:tc>
          <w:tcPr>
            <w:tcW w:w="3162"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823315" w:rsidRPr="007D3436" w:rsidRDefault="00823315" w:rsidP="00E95569">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Marketable parcels</w:t>
            </w:r>
          </w:p>
        </w:tc>
        <w:tc>
          <w:tcPr>
            <w:tcW w:w="1039"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823315" w:rsidRPr="007D3436" w:rsidRDefault="00823315" w:rsidP="00E95569">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No. support items</w:t>
            </w:r>
          </w:p>
        </w:tc>
        <w:tc>
          <w:tcPr>
            <w:tcW w:w="1878"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823315" w:rsidRPr="007D3436" w:rsidRDefault="00823315" w:rsidP="00E95569">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Estimated annual spend in full scheme (% total)</w:t>
            </w:r>
            <w:r w:rsidRPr="007D3436">
              <w:rPr>
                <w:rStyle w:val="FootnoteReference"/>
                <w:rFonts w:ascii="Arial Narrow" w:hAnsi="Arial Narrow"/>
                <w:b/>
                <w:bCs/>
                <w:color w:val="FFFFFF" w:themeColor="background1"/>
                <w:sz w:val="18"/>
                <w:szCs w:val="18"/>
                <w:lang w:val="en-AU"/>
              </w:rPr>
              <w:footnoteReference w:id="16"/>
            </w:r>
            <w:r w:rsidR="00827289" w:rsidRPr="007D3436">
              <w:rPr>
                <w:rFonts w:ascii="Arial Narrow" w:hAnsi="Arial Narrow"/>
                <w:b/>
                <w:bCs/>
                <w:color w:val="FFFFFF" w:themeColor="background1"/>
                <w:sz w:val="18"/>
                <w:szCs w:val="18"/>
                <w:lang w:val="en-AU"/>
              </w:rPr>
              <w:t xml:space="preserve"> </w:t>
            </w:r>
          </w:p>
        </w:tc>
      </w:tr>
      <w:tr w:rsidR="00823315" w:rsidRPr="007D3436" w:rsidTr="00E95569">
        <w:trPr>
          <w:trHeight w:hRule="exact" w:val="340"/>
        </w:trPr>
        <w:tc>
          <w:tcPr>
            <w:tcW w:w="3063" w:type="dxa"/>
            <w:tcBorders>
              <w:top w:val="nil"/>
              <w:left w:val="nil"/>
              <w:bottom w:val="single" w:sz="2" w:space="0" w:color="FFFFFF" w:themeColor="background1"/>
              <w:right w:val="nil"/>
            </w:tcBorders>
          </w:tcPr>
          <w:p w:rsidR="00823315" w:rsidRPr="007D3436" w:rsidRDefault="00823315" w:rsidP="00E24A55">
            <w:pPr>
              <w:rPr>
                <w:rFonts w:ascii="Arial Narrow" w:hAnsi="Arial Narrow"/>
                <w:b/>
                <w:sz w:val="18"/>
                <w:szCs w:val="18"/>
                <w:lang w:val="en-US"/>
              </w:rPr>
            </w:pPr>
            <w:r w:rsidRPr="007D3436">
              <w:rPr>
                <w:rFonts w:ascii="Arial Narrow" w:hAnsi="Arial Narrow"/>
                <w:sz w:val="18"/>
                <w:szCs w:val="18"/>
                <w:lang w:val="en-US"/>
              </w:rPr>
              <w:t xml:space="preserve"> </w:t>
            </w:r>
            <w:r w:rsidRPr="007D3436">
              <w:rPr>
                <w:rFonts w:ascii="Arial Narrow" w:hAnsi="Arial Narrow"/>
                <w:b/>
                <w:sz w:val="18"/>
                <w:szCs w:val="18"/>
                <w:bdr w:val="single" w:sz="2" w:space="0" w:color="FFFFFF" w:themeColor="background1"/>
                <w:lang w:val="en-US"/>
              </w:rPr>
              <w:t>Panel or tender</w:t>
            </w:r>
          </w:p>
        </w:tc>
        <w:tc>
          <w:tcPr>
            <w:tcW w:w="3162" w:type="dxa"/>
            <w:tcBorders>
              <w:top w:val="nil"/>
              <w:left w:val="nil"/>
              <w:bottom w:val="dashed" w:sz="6" w:space="0" w:color="BFBFBF"/>
              <w:right w:val="nil"/>
            </w:tcBorders>
            <w:shd w:val="clear" w:color="auto" w:fill="auto"/>
            <w:tcMar>
              <w:top w:w="29" w:type="dxa"/>
              <w:left w:w="58" w:type="dxa"/>
              <w:bottom w:w="29" w:type="dxa"/>
              <w:right w:w="58"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US"/>
              </w:rPr>
              <w:t xml:space="preserve">Continence products </w:t>
            </w:r>
          </w:p>
        </w:tc>
        <w:tc>
          <w:tcPr>
            <w:tcW w:w="1039" w:type="dxa"/>
            <w:tcBorders>
              <w:top w:val="nil"/>
              <w:left w:val="nil"/>
              <w:bottom w:val="dashed" w:sz="6" w:space="0" w:color="BFBFBF"/>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AU"/>
              </w:rPr>
              <w:t>27</w:t>
            </w:r>
          </w:p>
        </w:tc>
        <w:tc>
          <w:tcPr>
            <w:tcW w:w="1878" w:type="dxa"/>
            <w:tcBorders>
              <w:top w:val="nil"/>
              <w:left w:val="nil"/>
              <w:bottom w:val="dashed" w:sz="6" w:space="0" w:color="BFBFBF"/>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AU"/>
              </w:rPr>
              <w:t>$230m (~25%)</w:t>
            </w:r>
          </w:p>
        </w:tc>
      </w:tr>
      <w:tr w:rsidR="00823315" w:rsidRPr="007D3436" w:rsidTr="00E95569">
        <w:trPr>
          <w:trHeight w:hRule="exact" w:val="340"/>
        </w:trPr>
        <w:tc>
          <w:tcPr>
            <w:tcW w:w="3063" w:type="dxa"/>
            <w:tcBorders>
              <w:top w:val="single" w:sz="2" w:space="0" w:color="FFFFFF" w:themeColor="background1"/>
              <w:left w:val="nil"/>
              <w:bottom w:val="dashed" w:sz="6" w:space="0" w:color="BFBFBF"/>
              <w:right w:val="nil"/>
            </w:tcBorders>
          </w:tcPr>
          <w:p w:rsidR="00823315" w:rsidRPr="007D3436" w:rsidRDefault="00823315"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US"/>
              </w:rPr>
              <w:t xml:space="preserve">HEN products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AU"/>
              </w:rPr>
              <w:t>13</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AU"/>
              </w:rPr>
              <w:t>$14.7m (~2%)</w:t>
            </w:r>
          </w:p>
        </w:tc>
      </w:tr>
      <w:tr w:rsidR="00823315" w:rsidRPr="007D3436" w:rsidTr="00E95569">
        <w:trPr>
          <w:trHeight w:hRule="exact" w:val="340"/>
        </w:trPr>
        <w:tc>
          <w:tcPr>
            <w:tcW w:w="3063" w:type="dxa"/>
            <w:tcBorders>
              <w:top w:val="dashed" w:sz="6" w:space="0" w:color="BFBFBF"/>
              <w:left w:val="nil"/>
              <w:bottom w:val="single" w:sz="2" w:space="0" w:color="FFFFFF" w:themeColor="background1"/>
              <w:right w:val="nil"/>
            </w:tcBorders>
          </w:tcPr>
          <w:p w:rsidR="00823315" w:rsidRPr="007D3436" w:rsidRDefault="00827289" w:rsidP="00E24A55">
            <w:pPr>
              <w:rPr>
                <w:rFonts w:ascii="Arial Narrow" w:hAnsi="Arial Narrow"/>
                <w:b/>
                <w:sz w:val="18"/>
                <w:szCs w:val="18"/>
                <w:lang w:val="en-US"/>
              </w:rPr>
            </w:pPr>
            <w:r w:rsidRPr="007D3436">
              <w:rPr>
                <w:rFonts w:ascii="Arial Narrow" w:hAnsi="Arial Narrow"/>
                <w:b/>
                <w:sz w:val="18"/>
                <w:szCs w:val="18"/>
                <w:lang w:val="en-US"/>
              </w:rPr>
              <w:t xml:space="preserve"> </w:t>
            </w:r>
            <w:r w:rsidR="00823315" w:rsidRPr="007D3436">
              <w:rPr>
                <w:rFonts w:ascii="Arial Narrow" w:hAnsi="Arial Narrow"/>
                <w:b/>
                <w:sz w:val="18"/>
                <w:szCs w:val="18"/>
                <w:lang w:val="en-US"/>
              </w:rPr>
              <w:t>Pool</w:t>
            </w: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US"/>
              </w:rPr>
              <w:t>Bathroom products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AU"/>
              </w:rPr>
              <w:t>47</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sz w:val="18"/>
                <w:szCs w:val="18"/>
                <w:lang w:val="en-US"/>
              </w:rPr>
              <w:t>$29.9m (~3%)</w:t>
            </w:r>
          </w:p>
        </w:tc>
      </w:tr>
      <w:tr w:rsidR="00AD7BBA" w:rsidRPr="007D3436" w:rsidTr="00E95569">
        <w:trPr>
          <w:trHeight w:hRule="exact" w:val="340"/>
        </w:trPr>
        <w:tc>
          <w:tcPr>
            <w:tcW w:w="3063" w:type="dxa"/>
            <w:vMerge w:val="restart"/>
            <w:tcBorders>
              <w:top w:val="single" w:sz="2" w:space="0" w:color="FFFFFF" w:themeColor="background1"/>
              <w:left w:val="nil"/>
              <w:right w:val="nil"/>
            </w:tcBorders>
          </w:tcPr>
          <w:p w:rsidR="00AD7BBA" w:rsidRPr="007D3436" w:rsidRDefault="00AD7BBA" w:rsidP="0082331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823315">
            <w:pPr>
              <w:rPr>
                <w:rFonts w:ascii="Arial Narrow" w:hAnsi="Arial Narrow"/>
                <w:sz w:val="18"/>
                <w:szCs w:val="18"/>
                <w:lang w:val="en-AU"/>
              </w:rPr>
            </w:pPr>
            <w:r w:rsidRPr="007D3436">
              <w:rPr>
                <w:rFonts w:ascii="Arial Narrow" w:hAnsi="Arial Narrow"/>
                <w:sz w:val="18"/>
                <w:szCs w:val="18"/>
                <w:lang w:val="en-US"/>
              </w:rPr>
              <w:t xml:space="preserve">Prams &amp; strollers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4</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$22.7m (~3%)</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Hoists and slings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11</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$19.6m (~2%)</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Ceiling hoists and lifts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5</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$14.6m (~2%)</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 xml:space="preserve">Air cushions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4</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$7m (~0.8%)</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AU"/>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Postural support (off-the-shelf)</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9</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$28.6m (~3%)</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AU"/>
              </w:rPr>
            </w:pPr>
          </w:p>
        </w:tc>
        <w:tc>
          <w:tcPr>
            <w:tcW w:w="3162" w:type="dxa"/>
            <w:tcBorders>
              <w:top w:val="dashed" w:sz="6" w:space="0" w:color="BFBFBF"/>
              <w:left w:val="nil"/>
              <w:bottom w:val="dashed" w:sz="6" w:space="0" w:color="BFBFBF"/>
              <w:right w:val="nil"/>
            </w:tcBorders>
            <w:shd w:val="clear" w:color="auto" w:fill="auto"/>
            <w:tcMar>
              <w:top w:w="11" w:type="dxa"/>
              <w:left w:w="58" w:type="dxa"/>
              <w:bottom w:w="11"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Commercial tablets</w:t>
            </w:r>
          </w:p>
        </w:tc>
        <w:tc>
          <w:tcPr>
            <w:tcW w:w="1039" w:type="dxa"/>
            <w:tcBorders>
              <w:top w:val="dashed" w:sz="6" w:space="0" w:color="BFBFBF"/>
              <w:left w:val="nil"/>
              <w:bottom w:val="dashed" w:sz="6" w:space="0" w:color="BFBFBF"/>
              <w:right w:val="nil"/>
            </w:tcBorders>
            <w:shd w:val="clear" w:color="auto" w:fill="auto"/>
            <w:tcMar>
              <w:top w:w="11" w:type="dxa"/>
              <w:left w:w="58" w:type="dxa"/>
              <w:bottom w:w="11"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2</w:t>
            </w:r>
          </w:p>
        </w:tc>
        <w:tc>
          <w:tcPr>
            <w:tcW w:w="1878" w:type="dxa"/>
            <w:tcBorders>
              <w:top w:val="dashed" w:sz="6" w:space="0" w:color="BFBFBF"/>
              <w:left w:val="nil"/>
              <w:bottom w:val="dashed" w:sz="6" w:space="0" w:color="BFBFBF"/>
              <w:right w:val="nil"/>
            </w:tcBorders>
            <w:shd w:val="clear" w:color="auto" w:fill="auto"/>
            <w:tcMar>
              <w:top w:w="11" w:type="dxa"/>
              <w:left w:w="58" w:type="dxa"/>
              <w:bottom w:w="11"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$28.5m (~3%)</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Walking equipment</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21</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$17.1m (~2%)</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 xml:space="preserve">Pressure mattresses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4</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$14.6m (~2%)</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Beds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20</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$34.2m (~4%)</w:t>
            </w:r>
          </w:p>
        </w:tc>
      </w:tr>
      <w:tr w:rsidR="00AD7BBA" w:rsidRPr="007D3436" w:rsidTr="00E95569">
        <w:trPr>
          <w:trHeight w:hRule="exact" w:val="340"/>
        </w:trPr>
        <w:tc>
          <w:tcPr>
            <w:tcW w:w="3063" w:type="dxa"/>
            <w:vMerge/>
            <w:tcBorders>
              <w:left w:val="nil"/>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Standing frame</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5</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$13.4m (~1%)</w:t>
            </w:r>
          </w:p>
        </w:tc>
      </w:tr>
      <w:tr w:rsidR="00AD7BBA" w:rsidRPr="007D3436" w:rsidTr="00E95569">
        <w:trPr>
          <w:trHeight w:hRule="exact" w:val="340"/>
        </w:trPr>
        <w:tc>
          <w:tcPr>
            <w:tcW w:w="3063" w:type="dxa"/>
            <w:vMerge/>
            <w:tcBorders>
              <w:left w:val="nil"/>
              <w:bottom w:val="single" w:sz="6" w:space="0" w:color="000000"/>
              <w:right w:val="nil"/>
            </w:tcBorders>
          </w:tcPr>
          <w:p w:rsidR="00AD7BBA" w:rsidRPr="007D3436" w:rsidRDefault="00AD7BBA" w:rsidP="00E24A55">
            <w:pPr>
              <w:rPr>
                <w:rFonts w:ascii="Arial Narrow" w:hAnsi="Arial Narrow"/>
                <w:sz w:val="18"/>
                <w:szCs w:val="18"/>
                <w:lang w:val="en-US"/>
              </w:rPr>
            </w:pPr>
          </w:p>
        </w:tc>
        <w:tc>
          <w:tcPr>
            <w:tcW w:w="3162" w:type="dxa"/>
            <w:tcBorders>
              <w:top w:val="dashed" w:sz="6" w:space="0" w:color="BFBFBF"/>
              <w:left w:val="nil"/>
              <w:bottom w:val="single" w:sz="6" w:space="0" w:color="000000"/>
              <w:right w:val="nil"/>
            </w:tcBorders>
            <w:shd w:val="clear" w:color="auto" w:fill="auto"/>
            <w:tcMar>
              <w:top w:w="29" w:type="dxa"/>
              <w:left w:w="58" w:type="dxa"/>
              <w:bottom w:w="29" w:type="dxa"/>
              <w:right w:w="58"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US"/>
              </w:rPr>
              <w:t>Basic wheelchairs</w:t>
            </w:r>
          </w:p>
        </w:tc>
        <w:tc>
          <w:tcPr>
            <w:tcW w:w="1039" w:type="dxa"/>
            <w:tcBorders>
              <w:top w:val="dashed" w:sz="6" w:space="0" w:color="BFBFBF"/>
              <w:left w:val="nil"/>
              <w:bottom w:val="single" w:sz="6" w:space="0" w:color="000000"/>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10</w:t>
            </w:r>
          </w:p>
        </w:tc>
        <w:tc>
          <w:tcPr>
            <w:tcW w:w="1878" w:type="dxa"/>
            <w:tcBorders>
              <w:top w:val="dashed" w:sz="6" w:space="0" w:color="BFBFBF"/>
              <w:left w:val="nil"/>
              <w:bottom w:val="single" w:sz="6" w:space="0" w:color="000000"/>
              <w:right w:val="nil"/>
            </w:tcBorders>
            <w:shd w:val="clear" w:color="auto" w:fill="auto"/>
            <w:tcMar>
              <w:top w:w="29" w:type="dxa"/>
              <w:left w:w="58" w:type="dxa"/>
              <w:bottom w:w="29" w:type="dxa"/>
              <w:right w:w="432" w:type="dxa"/>
            </w:tcMar>
            <w:hideMark/>
          </w:tcPr>
          <w:p w:rsidR="00AD7BBA" w:rsidRPr="007D3436" w:rsidRDefault="00AD7BBA" w:rsidP="00E24A55">
            <w:pPr>
              <w:rPr>
                <w:rFonts w:ascii="Arial Narrow" w:hAnsi="Arial Narrow"/>
                <w:sz w:val="18"/>
                <w:szCs w:val="18"/>
                <w:lang w:val="en-AU"/>
              </w:rPr>
            </w:pPr>
            <w:r w:rsidRPr="007D3436">
              <w:rPr>
                <w:rFonts w:ascii="Arial Narrow" w:hAnsi="Arial Narrow"/>
                <w:sz w:val="18"/>
                <w:szCs w:val="18"/>
                <w:lang w:val="en-AU"/>
              </w:rPr>
              <w:t>$10m (~1%)</w:t>
            </w:r>
          </w:p>
        </w:tc>
      </w:tr>
      <w:tr w:rsidR="00823315" w:rsidRPr="007D3436" w:rsidTr="00E95569">
        <w:trPr>
          <w:trHeight w:hRule="exact" w:val="397"/>
        </w:trPr>
        <w:tc>
          <w:tcPr>
            <w:tcW w:w="3063" w:type="dxa"/>
            <w:tcBorders>
              <w:top w:val="single" w:sz="6" w:space="0" w:color="000000"/>
              <w:left w:val="nil"/>
              <w:bottom w:val="nil"/>
              <w:right w:val="nil"/>
            </w:tcBorders>
          </w:tcPr>
          <w:p w:rsidR="00823315" w:rsidRPr="007D3436" w:rsidRDefault="00827289" w:rsidP="00E24A55">
            <w:pPr>
              <w:rPr>
                <w:rFonts w:ascii="Arial Narrow" w:hAnsi="Arial Narrow"/>
                <w:b/>
                <w:bCs/>
                <w:sz w:val="18"/>
                <w:szCs w:val="18"/>
                <w:lang w:val="en-US"/>
              </w:rPr>
            </w:pPr>
            <w:r w:rsidRPr="007D3436">
              <w:rPr>
                <w:rFonts w:ascii="Arial Narrow" w:hAnsi="Arial Narrow"/>
                <w:b/>
                <w:bCs/>
                <w:sz w:val="18"/>
                <w:szCs w:val="18"/>
                <w:lang w:val="en-US"/>
              </w:rPr>
              <w:t xml:space="preserve"> Totals</w:t>
            </w:r>
          </w:p>
        </w:tc>
        <w:tc>
          <w:tcPr>
            <w:tcW w:w="3162" w:type="dxa"/>
            <w:tcBorders>
              <w:top w:val="single" w:sz="6" w:space="0" w:color="000000"/>
              <w:left w:val="nil"/>
              <w:bottom w:val="nil"/>
              <w:right w:val="nil"/>
            </w:tcBorders>
            <w:shd w:val="clear" w:color="auto" w:fill="auto"/>
            <w:tcMar>
              <w:top w:w="29" w:type="dxa"/>
              <w:left w:w="58" w:type="dxa"/>
              <w:bottom w:w="29" w:type="dxa"/>
              <w:right w:w="58" w:type="dxa"/>
            </w:tcMar>
            <w:hideMark/>
          </w:tcPr>
          <w:p w:rsidR="00823315" w:rsidRPr="007D3436" w:rsidRDefault="00E95569" w:rsidP="00E24A55">
            <w:pPr>
              <w:rPr>
                <w:rFonts w:ascii="Arial Narrow" w:hAnsi="Arial Narrow"/>
                <w:sz w:val="18"/>
                <w:szCs w:val="18"/>
                <w:lang w:val="en-AU"/>
              </w:rPr>
            </w:pPr>
            <w:r w:rsidRPr="007D3436">
              <w:rPr>
                <w:rFonts w:ascii="Arial Narrow" w:hAnsi="Arial Narrow"/>
                <w:b/>
                <w:bCs/>
                <w:sz w:val="18"/>
                <w:szCs w:val="18"/>
                <w:lang w:val="en-US"/>
              </w:rPr>
              <w:t xml:space="preserve">14 </w:t>
            </w:r>
            <w:r w:rsidR="00823315" w:rsidRPr="007D3436">
              <w:rPr>
                <w:rFonts w:ascii="Arial Narrow" w:hAnsi="Arial Narrow"/>
                <w:b/>
                <w:bCs/>
                <w:sz w:val="18"/>
                <w:szCs w:val="18"/>
                <w:lang w:val="en-US"/>
              </w:rPr>
              <w:t>parcels</w:t>
            </w:r>
          </w:p>
        </w:tc>
        <w:tc>
          <w:tcPr>
            <w:tcW w:w="1039" w:type="dxa"/>
            <w:tcBorders>
              <w:top w:val="single" w:sz="6" w:space="0" w:color="000000"/>
              <w:left w:val="nil"/>
              <w:bottom w:val="nil"/>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b/>
                <w:bCs/>
                <w:sz w:val="18"/>
                <w:szCs w:val="18"/>
                <w:lang w:val="en-AU"/>
              </w:rPr>
              <w:t>182</w:t>
            </w:r>
          </w:p>
        </w:tc>
        <w:tc>
          <w:tcPr>
            <w:tcW w:w="1878" w:type="dxa"/>
            <w:tcBorders>
              <w:top w:val="single" w:sz="6" w:space="0" w:color="000000"/>
              <w:left w:val="nil"/>
              <w:bottom w:val="nil"/>
              <w:right w:val="nil"/>
            </w:tcBorders>
            <w:shd w:val="clear" w:color="auto" w:fill="auto"/>
            <w:tcMar>
              <w:top w:w="29" w:type="dxa"/>
              <w:left w:w="58" w:type="dxa"/>
              <w:bottom w:w="29" w:type="dxa"/>
              <w:right w:w="432" w:type="dxa"/>
            </w:tcMar>
            <w:hideMark/>
          </w:tcPr>
          <w:p w:rsidR="00823315" w:rsidRPr="007D3436" w:rsidRDefault="00823315" w:rsidP="00E24A55">
            <w:pPr>
              <w:rPr>
                <w:rFonts w:ascii="Arial Narrow" w:hAnsi="Arial Narrow"/>
                <w:sz w:val="18"/>
                <w:szCs w:val="18"/>
                <w:lang w:val="en-AU"/>
              </w:rPr>
            </w:pPr>
            <w:r w:rsidRPr="007D3436">
              <w:rPr>
                <w:rFonts w:ascii="Arial Narrow" w:hAnsi="Arial Narrow"/>
                <w:b/>
                <w:bCs/>
                <w:sz w:val="18"/>
                <w:szCs w:val="18"/>
                <w:lang w:val="en-AU"/>
              </w:rPr>
              <w:t>~$485m (~53%</w:t>
            </w:r>
            <w:r w:rsidRPr="007D3436">
              <w:rPr>
                <w:rFonts w:ascii="Arial Narrow" w:hAnsi="Arial Narrow"/>
                <w:b/>
                <w:bCs/>
                <w:sz w:val="18"/>
                <w:szCs w:val="18"/>
                <w:vertAlign w:val="superscript"/>
                <w:lang w:val="en-AU"/>
              </w:rPr>
              <w:t>2</w:t>
            </w:r>
            <w:r w:rsidRPr="007D3436">
              <w:rPr>
                <w:rFonts w:ascii="Arial Narrow" w:hAnsi="Arial Narrow"/>
                <w:b/>
                <w:bCs/>
                <w:sz w:val="18"/>
                <w:szCs w:val="18"/>
                <w:lang w:val="en-AU"/>
              </w:rPr>
              <w:t xml:space="preserve"> )</w:t>
            </w:r>
          </w:p>
        </w:tc>
      </w:tr>
    </w:tbl>
    <w:p w:rsidR="00BA0D94" w:rsidRDefault="00BA0D94" w:rsidP="00380069"/>
    <w:p w:rsidR="00876FE1" w:rsidRDefault="00876FE1">
      <w:pPr>
        <w:spacing w:before="0" w:after="0"/>
      </w:pPr>
      <w:r>
        <w:br w:type="page"/>
      </w:r>
    </w:p>
    <w:p w:rsidR="00A01C69" w:rsidRDefault="00B00CEF" w:rsidP="00380069">
      <w:r>
        <w:lastRenderedPageBreak/>
        <w:t xml:space="preserve">For </w:t>
      </w:r>
      <w:r w:rsidR="00827289">
        <w:t xml:space="preserve">15 </w:t>
      </w:r>
      <w:r>
        <w:t xml:space="preserve">other </w:t>
      </w:r>
      <w:r w:rsidR="00827289">
        <w:t>marketable parcels</w:t>
      </w:r>
      <w:r>
        <w:t>, NDIA will not intervene in the market beyond its information provision role</w:t>
      </w:r>
      <w:r w:rsidR="00827289">
        <w:t xml:space="preserve"> (</w:t>
      </w:r>
      <w:r w:rsidR="00857128">
        <w:t xml:space="preserve">Table </w:t>
      </w:r>
      <w:r w:rsidR="0053477B">
        <w:t>3</w:t>
      </w:r>
      <w:r w:rsidR="00827289">
        <w:t>).</w:t>
      </w:r>
      <w:r w:rsidR="00857128">
        <w:t xml:space="preserve"> </w:t>
      </w:r>
    </w:p>
    <w:p w:rsidR="00B00CEF" w:rsidRDefault="00E95569" w:rsidP="007D1623">
      <w:pPr>
        <w:pStyle w:val="Caption"/>
        <w:jc w:val="center"/>
      </w:pPr>
      <w:r>
        <w:t xml:space="preserve">Table </w:t>
      </w:r>
      <w:r w:rsidR="00D77382">
        <w:rPr>
          <w:b w:val="0"/>
          <w:bCs w:val="0"/>
        </w:rPr>
        <w:fldChar w:fldCharType="begin"/>
      </w:r>
      <w:r>
        <w:instrText xml:space="preserve"> SEQ Table \* ARABIC </w:instrText>
      </w:r>
      <w:r w:rsidR="00D77382">
        <w:rPr>
          <w:b w:val="0"/>
          <w:bCs w:val="0"/>
        </w:rPr>
        <w:fldChar w:fldCharType="separate"/>
      </w:r>
      <w:r w:rsidR="007717DF">
        <w:rPr>
          <w:noProof/>
        </w:rPr>
        <w:t>3</w:t>
      </w:r>
      <w:r w:rsidR="00D77382">
        <w:rPr>
          <w:b w:val="0"/>
          <w:bCs w:val="0"/>
        </w:rPr>
        <w:fldChar w:fldCharType="end"/>
      </w:r>
      <w:r>
        <w:t>: Recommended AT parcels for a free market, and annual spend by parcel</w:t>
      </w:r>
    </w:p>
    <w:tbl>
      <w:tblPr>
        <w:tblW w:w="9142" w:type="dxa"/>
        <w:tblInd w:w="-58" w:type="dxa"/>
        <w:tblCellMar>
          <w:left w:w="0" w:type="dxa"/>
          <w:right w:w="0" w:type="dxa"/>
        </w:tblCellMar>
        <w:tblLook w:val="0400" w:firstRow="0" w:lastRow="0" w:firstColumn="0" w:lastColumn="0" w:noHBand="0" w:noVBand="1"/>
      </w:tblPr>
      <w:tblGrid>
        <w:gridCol w:w="3063"/>
        <w:gridCol w:w="3162"/>
        <w:gridCol w:w="1039"/>
        <w:gridCol w:w="1878"/>
      </w:tblGrid>
      <w:tr w:rsidR="0053477B" w:rsidRPr="007D3436" w:rsidTr="00A75B1C">
        <w:trPr>
          <w:trHeight w:hRule="exact" w:val="587"/>
          <w:tblHeader/>
        </w:trPr>
        <w:tc>
          <w:tcPr>
            <w:tcW w:w="3063" w:type="dxa"/>
            <w:tcBorders>
              <w:top w:val="nil"/>
              <w:left w:val="nil"/>
              <w:bottom w:val="single" w:sz="12" w:space="0" w:color="48A3D7"/>
              <w:right w:val="nil"/>
            </w:tcBorders>
            <w:shd w:val="clear" w:color="auto" w:fill="5F497A" w:themeFill="accent4" w:themeFillShade="BF"/>
          </w:tcPr>
          <w:p w:rsidR="0053477B" w:rsidRPr="007D3436" w:rsidRDefault="0053477B" w:rsidP="009D317C">
            <w:pPr>
              <w:jc w:val="center"/>
              <w:rPr>
                <w:rFonts w:ascii="Arial Narrow" w:hAnsi="Arial Narrow"/>
                <w:b/>
                <w:bCs/>
                <w:color w:val="FFFFFF" w:themeColor="background1"/>
                <w:sz w:val="18"/>
                <w:szCs w:val="18"/>
                <w:lang w:val="en-AU"/>
              </w:rPr>
            </w:pPr>
            <w:r w:rsidRPr="007D3436">
              <w:rPr>
                <w:rFonts w:ascii="Arial Narrow" w:hAnsi="Arial Narrow"/>
                <w:b/>
                <w:bCs/>
                <w:color w:val="FFFFFF" w:themeColor="background1"/>
                <w:sz w:val="18"/>
                <w:szCs w:val="18"/>
                <w:lang w:val="en-AU"/>
              </w:rPr>
              <w:t xml:space="preserve">Sourcing model for </w:t>
            </w:r>
            <w:r w:rsidR="0071472B" w:rsidRPr="007D3436">
              <w:rPr>
                <w:rFonts w:ascii="Arial Narrow" w:hAnsi="Arial Narrow"/>
                <w:b/>
                <w:bCs/>
                <w:color w:val="FFFFFF" w:themeColor="background1"/>
                <w:sz w:val="18"/>
                <w:szCs w:val="18"/>
                <w:lang w:val="en-AU"/>
              </w:rPr>
              <w:t>NDIA</w:t>
            </w:r>
          </w:p>
        </w:tc>
        <w:tc>
          <w:tcPr>
            <w:tcW w:w="3162"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53477B" w:rsidRPr="007D3436" w:rsidRDefault="0053477B" w:rsidP="0053477B">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Marketable parcels</w:t>
            </w:r>
          </w:p>
        </w:tc>
        <w:tc>
          <w:tcPr>
            <w:tcW w:w="1039"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53477B" w:rsidRPr="007D3436" w:rsidRDefault="0053477B" w:rsidP="0053477B">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No. support items</w:t>
            </w:r>
          </w:p>
        </w:tc>
        <w:tc>
          <w:tcPr>
            <w:tcW w:w="1878"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53477B" w:rsidRPr="007D3436" w:rsidRDefault="0053477B" w:rsidP="0053477B">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Estimated annual spend in full scheme (% total)</w:t>
            </w:r>
            <w:r w:rsidRPr="007D3436">
              <w:rPr>
                <w:rStyle w:val="FootnoteReference"/>
                <w:rFonts w:ascii="Arial Narrow" w:hAnsi="Arial Narrow"/>
                <w:b/>
                <w:bCs/>
                <w:color w:val="FFFFFF" w:themeColor="background1"/>
                <w:sz w:val="18"/>
                <w:szCs w:val="18"/>
                <w:lang w:val="en-AU"/>
              </w:rPr>
              <w:footnoteReference w:id="17"/>
            </w:r>
          </w:p>
        </w:tc>
      </w:tr>
      <w:tr w:rsidR="0071472B" w:rsidRPr="007D3436" w:rsidTr="007D1623">
        <w:trPr>
          <w:trHeight w:hRule="exact" w:val="340"/>
        </w:trPr>
        <w:tc>
          <w:tcPr>
            <w:tcW w:w="3063" w:type="dxa"/>
            <w:tcBorders>
              <w:top w:val="nil"/>
              <w:left w:val="nil"/>
              <w:bottom w:val="single" w:sz="2" w:space="0" w:color="FFFFFF" w:themeColor="background1"/>
              <w:right w:val="nil"/>
            </w:tcBorders>
          </w:tcPr>
          <w:p w:rsidR="0071472B" w:rsidRPr="007D3436" w:rsidRDefault="0071472B" w:rsidP="009D317C">
            <w:pPr>
              <w:rPr>
                <w:rFonts w:ascii="Arial Narrow" w:hAnsi="Arial Narrow"/>
                <w:b/>
                <w:sz w:val="18"/>
                <w:szCs w:val="18"/>
                <w:lang w:val="en-US"/>
              </w:rPr>
            </w:pPr>
            <w:r w:rsidRPr="007D3436">
              <w:rPr>
                <w:rFonts w:ascii="Arial Narrow" w:hAnsi="Arial Narrow"/>
                <w:sz w:val="18"/>
                <w:szCs w:val="18"/>
                <w:lang w:val="en-US"/>
              </w:rPr>
              <w:t xml:space="preserve"> </w:t>
            </w:r>
            <w:r w:rsidRPr="007D3436">
              <w:rPr>
                <w:rFonts w:ascii="Arial Narrow" w:hAnsi="Arial Narrow"/>
                <w:b/>
                <w:sz w:val="18"/>
                <w:szCs w:val="18"/>
                <w:bdr w:val="single" w:sz="2" w:space="0" w:color="FFFFFF" w:themeColor="background1"/>
                <w:lang w:val="en-US"/>
              </w:rPr>
              <w:t>Free market</w:t>
            </w:r>
          </w:p>
        </w:tc>
        <w:tc>
          <w:tcPr>
            <w:tcW w:w="3162" w:type="dxa"/>
            <w:tcBorders>
              <w:top w:val="nil"/>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Other assistive devices </w:t>
            </w:r>
          </w:p>
        </w:tc>
        <w:tc>
          <w:tcPr>
            <w:tcW w:w="1039" w:type="dxa"/>
            <w:tcBorders>
              <w:top w:val="nil"/>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10</w:t>
            </w:r>
          </w:p>
        </w:tc>
        <w:tc>
          <w:tcPr>
            <w:tcW w:w="1878" w:type="dxa"/>
            <w:tcBorders>
              <w:top w:val="nil"/>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$15.9m (~2%)</w:t>
            </w:r>
          </w:p>
        </w:tc>
      </w:tr>
      <w:tr w:rsidR="0071472B" w:rsidRPr="007D3436" w:rsidTr="007D1623">
        <w:trPr>
          <w:trHeight w:hRule="exact" w:val="340"/>
        </w:trPr>
        <w:tc>
          <w:tcPr>
            <w:tcW w:w="3063" w:type="dxa"/>
            <w:vMerge w:val="restart"/>
            <w:tcBorders>
              <w:top w:val="single" w:sz="2" w:space="0" w:color="FFFFFF" w:themeColor="background1"/>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Low vision equipment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26</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$10m (~1%)</w:t>
            </w:r>
          </w:p>
        </w:tc>
      </w:tr>
      <w:tr w:rsidR="0071472B" w:rsidRPr="007D3436" w:rsidTr="007D1623">
        <w:trPr>
          <w:trHeight w:hRule="exact" w:val="340"/>
        </w:trPr>
        <w:tc>
          <w:tcPr>
            <w:tcW w:w="3063" w:type="dxa"/>
            <w:vMerge/>
            <w:tcBorders>
              <w:left w:val="nil"/>
              <w:bottom w:val="single" w:sz="2" w:space="0" w:color="FFFFFF" w:themeColor="background1"/>
              <w:right w:val="nil"/>
            </w:tcBorders>
          </w:tcPr>
          <w:p w:rsidR="0071472B" w:rsidRPr="007D3436" w:rsidRDefault="0071472B" w:rsidP="0053477B">
            <w:pPr>
              <w:rPr>
                <w:rFonts w:ascii="Arial Narrow" w:hAnsi="Arial Narrow"/>
                <w:b/>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Adapted recreation equipment</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9</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$8.1m (~1%)</w:t>
            </w:r>
          </w:p>
        </w:tc>
      </w:tr>
      <w:tr w:rsidR="0071472B" w:rsidRPr="007D3436" w:rsidTr="007D1623">
        <w:trPr>
          <w:trHeight w:hRule="exact" w:val="340"/>
        </w:trPr>
        <w:tc>
          <w:tcPr>
            <w:tcW w:w="3063" w:type="dxa"/>
            <w:vMerge w:val="restart"/>
            <w:tcBorders>
              <w:top w:val="single" w:sz="2" w:space="0" w:color="FFFFFF" w:themeColor="background1"/>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Alarms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8</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$5.2m (~0.6%)</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Environmental control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7</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$3.7m (~0.4%)</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Sleep system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center"/>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1</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$3.3m (~0.4%)</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71472B">
            <w:pPr>
              <w:rPr>
                <w:rFonts w:ascii="Arial Narrow" w:hAnsi="Arial Narrow"/>
                <w:sz w:val="18"/>
                <w:szCs w:val="18"/>
                <w:lang w:val="en-AU"/>
              </w:rPr>
            </w:pPr>
            <w:r w:rsidRPr="007D3436">
              <w:rPr>
                <w:rFonts w:ascii="Arial Narrow" w:hAnsi="Arial Narrow"/>
                <w:sz w:val="18"/>
                <w:szCs w:val="18"/>
                <w:lang w:val="en-AU"/>
              </w:rPr>
              <w:t xml:space="preserve">Orthoses &amp; footwear </w:t>
            </w:r>
          </w:p>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(off-the-shelf)</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3</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$2.2m (~0.2%)</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AU"/>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Standard home fixtures and fittings</w:t>
            </w:r>
            <w:r w:rsidRPr="007D3436">
              <w:rPr>
                <w:rFonts w:ascii="Arial Narrow" w:hAnsi="Arial Narrow"/>
                <w:sz w:val="18"/>
                <w:szCs w:val="18"/>
                <w:vertAlign w:val="superscript"/>
                <w:lang w:val="en-AU"/>
              </w:rPr>
              <w:t>2</w:t>
            </w:r>
            <w:r w:rsidRPr="007D3436">
              <w:rPr>
                <w:rFonts w:ascii="Arial Narrow" w:hAnsi="Arial Narrow"/>
                <w:sz w:val="18"/>
                <w:szCs w:val="18"/>
                <w:lang w:val="en-AU"/>
              </w:rPr>
              <w:t xml:space="preserve">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center"/>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1</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$2m (~0.2%)</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AU"/>
              </w:rPr>
            </w:pPr>
          </w:p>
        </w:tc>
        <w:tc>
          <w:tcPr>
            <w:tcW w:w="3162" w:type="dxa"/>
            <w:tcBorders>
              <w:top w:val="dashed" w:sz="6" w:space="0" w:color="BFBFBF"/>
              <w:left w:val="nil"/>
              <w:bottom w:val="dashed" w:sz="6" w:space="0" w:color="BFBFBF"/>
              <w:right w:val="nil"/>
            </w:tcBorders>
            <w:shd w:val="clear" w:color="auto" w:fill="auto"/>
            <w:tcMar>
              <w:top w:w="11" w:type="dxa"/>
              <w:left w:w="58" w:type="dxa"/>
              <w:bottom w:w="11"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Change tables </w:t>
            </w:r>
          </w:p>
        </w:tc>
        <w:tc>
          <w:tcPr>
            <w:tcW w:w="1039" w:type="dxa"/>
            <w:tcBorders>
              <w:top w:val="dashed" w:sz="6" w:space="0" w:color="BFBFBF"/>
              <w:left w:val="nil"/>
              <w:bottom w:val="dashed" w:sz="6" w:space="0" w:color="BFBFBF"/>
              <w:right w:val="nil"/>
            </w:tcBorders>
            <w:shd w:val="clear" w:color="auto" w:fill="auto"/>
            <w:tcMar>
              <w:top w:w="11" w:type="dxa"/>
              <w:left w:w="58" w:type="dxa"/>
              <w:bottom w:w="11"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2</w:t>
            </w:r>
          </w:p>
        </w:tc>
        <w:tc>
          <w:tcPr>
            <w:tcW w:w="1878" w:type="dxa"/>
            <w:tcBorders>
              <w:top w:val="dashed" w:sz="6" w:space="0" w:color="BFBFBF"/>
              <w:left w:val="nil"/>
              <w:bottom w:val="dashed" w:sz="6" w:space="0" w:color="BFBFBF"/>
              <w:right w:val="nil"/>
            </w:tcBorders>
            <w:shd w:val="clear" w:color="auto" w:fill="auto"/>
            <w:tcMar>
              <w:top w:w="11" w:type="dxa"/>
              <w:left w:w="58" w:type="dxa"/>
              <w:bottom w:w="11"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$2.1m (~0.2%)</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Transfer equipment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8</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$2.0m (~0.2%)</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Therapeutic splints </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 xml:space="preserve">2 </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w:t>
            </w:r>
            <w:proofErr w:type="gramStart"/>
            <w:r w:rsidRPr="007D3436">
              <w:rPr>
                <w:rFonts w:ascii="Arial Narrow" w:hAnsi="Arial Narrow"/>
                <w:sz w:val="18"/>
                <w:szCs w:val="18"/>
                <w:lang w:val="en-US"/>
              </w:rPr>
              <w:t>0.6m(</w:t>
            </w:r>
            <w:proofErr w:type="gramEnd"/>
            <w:r w:rsidRPr="007D3436">
              <w:rPr>
                <w:rFonts w:ascii="Arial Narrow" w:hAnsi="Arial Narrow"/>
                <w:sz w:val="18"/>
                <w:szCs w:val="18"/>
                <w:lang w:val="en-US"/>
              </w:rPr>
              <w:t>~0.1%)</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Bespoke wheelchairs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30</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$160m (~17%)</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Custom wheelchairs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18</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$95m (~10%)</w:t>
            </w:r>
          </w:p>
        </w:tc>
      </w:tr>
      <w:tr w:rsidR="0071472B" w:rsidRPr="007D3436" w:rsidTr="007D1623">
        <w:trPr>
          <w:trHeight w:hRule="exact" w:val="340"/>
        </w:trPr>
        <w:tc>
          <w:tcPr>
            <w:tcW w:w="3063" w:type="dxa"/>
            <w:vMerge/>
            <w:tcBorders>
              <w:left w:val="nil"/>
              <w:right w:val="nil"/>
            </w:tcBorders>
          </w:tcPr>
          <w:p w:rsidR="0071472B" w:rsidRPr="007D3436" w:rsidRDefault="0071472B" w:rsidP="0053477B">
            <w:pPr>
              <w:rPr>
                <w:rFonts w:ascii="Arial Narrow" w:hAnsi="Arial Narrow"/>
                <w:sz w:val="18"/>
                <w:szCs w:val="18"/>
                <w:lang w:val="en-US"/>
              </w:rPr>
            </w:pPr>
          </w:p>
        </w:tc>
        <w:tc>
          <w:tcPr>
            <w:tcW w:w="3162" w:type="dxa"/>
            <w:tcBorders>
              <w:top w:val="dashed" w:sz="6" w:space="0" w:color="BFBFBF"/>
              <w:left w:val="nil"/>
              <w:bottom w:val="dashed" w:sz="2" w:space="0" w:color="auto"/>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 xml:space="preserve">Other ICT equipment </w:t>
            </w:r>
          </w:p>
        </w:tc>
        <w:tc>
          <w:tcPr>
            <w:tcW w:w="1039" w:type="dxa"/>
            <w:tcBorders>
              <w:top w:val="dashed" w:sz="6" w:space="0" w:color="BFBFBF"/>
              <w:left w:val="nil"/>
              <w:bottom w:val="dashed" w:sz="2" w:space="0" w:color="auto"/>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32</w:t>
            </w:r>
          </w:p>
        </w:tc>
        <w:tc>
          <w:tcPr>
            <w:tcW w:w="1878" w:type="dxa"/>
            <w:tcBorders>
              <w:top w:val="dashed" w:sz="6" w:space="0" w:color="BFBFBF"/>
              <w:left w:val="nil"/>
              <w:bottom w:val="dashed" w:sz="2" w:space="0" w:color="auto"/>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$19.5m (~2%)</w:t>
            </w:r>
          </w:p>
        </w:tc>
      </w:tr>
      <w:tr w:rsidR="0071472B" w:rsidRPr="007D3436" w:rsidTr="007D1623">
        <w:trPr>
          <w:trHeight w:hRule="exact" w:val="340"/>
        </w:trPr>
        <w:tc>
          <w:tcPr>
            <w:tcW w:w="3063" w:type="dxa"/>
            <w:vMerge/>
            <w:tcBorders>
              <w:left w:val="nil"/>
              <w:bottom w:val="single" w:sz="6" w:space="0" w:color="000000"/>
              <w:right w:val="nil"/>
            </w:tcBorders>
          </w:tcPr>
          <w:p w:rsidR="0071472B" w:rsidRPr="007D3436" w:rsidRDefault="0071472B" w:rsidP="0053477B">
            <w:pPr>
              <w:rPr>
                <w:rFonts w:ascii="Arial Narrow" w:hAnsi="Arial Narrow"/>
                <w:sz w:val="18"/>
                <w:szCs w:val="18"/>
                <w:lang w:val="en-US"/>
              </w:rPr>
            </w:pPr>
          </w:p>
        </w:tc>
        <w:tc>
          <w:tcPr>
            <w:tcW w:w="3162" w:type="dxa"/>
            <w:tcBorders>
              <w:top w:val="dashed" w:sz="2" w:space="0" w:color="auto"/>
              <w:left w:val="nil"/>
              <w:bottom w:val="single" w:sz="6" w:space="0" w:color="000000"/>
              <w:right w:val="nil"/>
            </w:tcBorders>
            <w:shd w:val="clear" w:color="auto" w:fill="auto"/>
            <w:tcMar>
              <w:top w:w="29" w:type="dxa"/>
              <w:left w:w="58" w:type="dxa"/>
              <w:bottom w:w="29" w:type="dxa"/>
              <w:right w:w="58" w:type="dxa"/>
            </w:tcMar>
            <w:vAlign w:val="bottom"/>
          </w:tcPr>
          <w:p w:rsidR="0071472B" w:rsidRPr="007D3436" w:rsidRDefault="0071472B" w:rsidP="0053477B">
            <w:pPr>
              <w:rPr>
                <w:rFonts w:ascii="Arial Narrow" w:hAnsi="Arial Narrow"/>
                <w:sz w:val="18"/>
                <w:szCs w:val="18"/>
                <w:lang w:val="en-US"/>
              </w:rPr>
            </w:pPr>
            <w:r w:rsidRPr="007D3436">
              <w:rPr>
                <w:rFonts w:ascii="Arial Narrow" w:hAnsi="Arial Narrow"/>
                <w:sz w:val="18"/>
                <w:szCs w:val="18"/>
                <w:lang w:val="en-US"/>
              </w:rPr>
              <w:t>Scooters</w:t>
            </w:r>
          </w:p>
        </w:tc>
        <w:tc>
          <w:tcPr>
            <w:tcW w:w="1039" w:type="dxa"/>
            <w:tcBorders>
              <w:top w:val="dashed" w:sz="2" w:space="0" w:color="auto"/>
              <w:left w:val="nil"/>
              <w:bottom w:val="single" w:sz="6" w:space="0" w:color="000000"/>
              <w:right w:val="nil"/>
            </w:tcBorders>
            <w:shd w:val="clear" w:color="auto" w:fill="auto"/>
            <w:tcMar>
              <w:top w:w="29" w:type="dxa"/>
              <w:left w:w="58" w:type="dxa"/>
              <w:bottom w:w="29" w:type="dxa"/>
              <w:right w:w="432" w:type="dxa"/>
            </w:tcMar>
            <w:vAlign w:val="center"/>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AU"/>
              </w:rPr>
              <w:t>5</w:t>
            </w:r>
          </w:p>
        </w:tc>
        <w:tc>
          <w:tcPr>
            <w:tcW w:w="1878" w:type="dxa"/>
            <w:tcBorders>
              <w:top w:val="dashed" w:sz="2" w:space="0" w:color="auto"/>
              <w:left w:val="nil"/>
              <w:bottom w:val="single" w:sz="6" w:space="0" w:color="000000"/>
              <w:right w:val="nil"/>
            </w:tcBorders>
            <w:shd w:val="clear" w:color="auto" w:fill="auto"/>
            <w:tcMar>
              <w:top w:w="29" w:type="dxa"/>
              <w:left w:w="58" w:type="dxa"/>
              <w:bottom w:w="29" w:type="dxa"/>
              <w:right w:w="432" w:type="dxa"/>
            </w:tcMar>
          </w:tcPr>
          <w:p w:rsidR="0071472B" w:rsidRPr="007D3436" w:rsidRDefault="0071472B" w:rsidP="0053477B">
            <w:pPr>
              <w:rPr>
                <w:rFonts w:ascii="Arial Narrow" w:hAnsi="Arial Narrow"/>
                <w:sz w:val="18"/>
                <w:szCs w:val="18"/>
                <w:lang w:val="en-AU"/>
              </w:rPr>
            </w:pPr>
            <w:r w:rsidRPr="007D3436">
              <w:rPr>
                <w:rFonts w:ascii="Arial Narrow" w:hAnsi="Arial Narrow"/>
                <w:sz w:val="18"/>
                <w:szCs w:val="18"/>
                <w:lang w:val="en-US"/>
              </w:rPr>
              <w:t>$11.7m (~1%)</w:t>
            </w:r>
          </w:p>
        </w:tc>
      </w:tr>
      <w:tr w:rsidR="0071472B" w:rsidRPr="007D3436" w:rsidTr="007D1623">
        <w:trPr>
          <w:trHeight w:hRule="exact" w:val="397"/>
        </w:trPr>
        <w:tc>
          <w:tcPr>
            <w:tcW w:w="3063" w:type="dxa"/>
            <w:tcBorders>
              <w:top w:val="single" w:sz="6" w:space="0" w:color="000000"/>
              <w:left w:val="nil"/>
              <w:bottom w:val="nil"/>
              <w:right w:val="nil"/>
            </w:tcBorders>
          </w:tcPr>
          <w:p w:rsidR="0071472B" w:rsidRPr="007D3436" w:rsidRDefault="00827289" w:rsidP="0053477B">
            <w:pPr>
              <w:rPr>
                <w:rFonts w:ascii="Arial Narrow" w:hAnsi="Arial Narrow"/>
                <w:b/>
                <w:bCs/>
                <w:sz w:val="18"/>
                <w:szCs w:val="18"/>
                <w:lang w:val="en-US"/>
              </w:rPr>
            </w:pPr>
            <w:r w:rsidRPr="007D3436">
              <w:rPr>
                <w:rFonts w:ascii="Arial Narrow" w:hAnsi="Arial Narrow"/>
                <w:b/>
                <w:bCs/>
                <w:sz w:val="18"/>
                <w:szCs w:val="18"/>
                <w:lang w:val="en-US"/>
              </w:rPr>
              <w:t xml:space="preserve"> </w:t>
            </w:r>
            <w:r w:rsidR="0071472B" w:rsidRPr="007D3436">
              <w:rPr>
                <w:rFonts w:ascii="Arial Narrow" w:hAnsi="Arial Narrow"/>
                <w:b/>
                <w:bCs/>
                <w:sz w:val="18"/>
                <w:szCs w:val="18"/>
                <w:lang w:val="en-US"/>
              </w:rPr>
              <w:t>Totals</w:t>
            </w:r>
          </w:p>
        </w:tc>
        <w:tc>
          <w:tcPr>
            <w:tcW w:w="3162" w:type="dxa"/>
            <w:tcBorders>
              <w:top w:val="single" w:sz="6" w:space="0" w:color="000000"/>
              <w:left w:val="nil"/>
              <w:bottom w:val="nil"/>
              <w:right w:val="nil"/>
            </w:tcBorders>
            <w:shd w:val="clear" w:color="auto" w:fill="auto"/>
            <w:tcMar>
              <w:top w:w="29" w:type="dxa"/>
              <w:left w:w="58" w:type="dxa"/>
              <w:bottom w:w="29" w:type="dxa"/>
              <w:right w:w="58"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b/>
                <w:bCs/>
                <w:sz w:val="18"/>
                <w:szCs w:val="18"/>
                <w:lang w:val="en-US"/>
              </w:rPr>
              <w:t>15 parcels</w:t>
            </w:r>
          </w:p>
        </w:tc>
        <w:tc>
          <w:tcPr>
            <w:tcW w:w="1039" w:type="dxa"/>
            <w:tcBorders>
              <w:top w:val="single" w:sz="6" w:space="0" w:color="000000"/>
              <w:left w:val="nil"/>
              <w:bottom w:val="nil"/>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b/>
                <w:bCs/>
                <w:sz w:val="18"/>
                <w:szCs w:val="18"/>
                <w:lang w:val="en-AU"/>
              </w:rPr>
              <w:t>162</w:t>
            </w:r>
          </w:p>
        </w:tc>
        <w:tc>
          <w:tcPr>
            <w:tcW w:w="1878" w:type="dxa"/>
            <w:tcBorders>
              <w:top w:val="single" w:sz="6" w:space="0" w:color="000000"/>
              <w:left w:val="nil"/>
              <w:bottom w:val="nil"/>
              <w:right w:val="nil"/>
            </w:tcBorders>
            <w:shd w:val="clear" w:color="auto" w:fill="auto"/>
            <w:tcMar>
              <w:top w:w="29" w:type="dxa"/>
              <w:left w:w="58" w:type="dxa"/>
              <w:bottom w:w="29" w:type="dxa"/>
              <w:right w:w="432" w:type="dxa"/>
            </w:tcMar>
            <w:vAlign w:val="bottom"/>
            <w:hideMark/>
          </w:tcPr>
          <w:p w:rsidR="0071472B" w:rsidRPr="007D3436" w:rsidRDefault="0071472B" w:rsidP="0053477B">
            <w:pPr>
              <w:rPr>
                <w:rFonts w:ascii="Arial Narrow" w:hAnsi="Arial Narrow"/>
                <w:sz w:val="18"/>
                <w:szCs w:val="18"/>
                <w:lang w:val="en-AU"/>
              </w:rPr>
            </w:pPr>
            <w:r w:rsidRPr="007D3436">
              <w:rPr>
                <w:rFonts w:ascii="Arial Narrow" w:hAnsi="Arial Narrow"/>
                <w:b/>
                <w:bCs/>
                <w:sz w:val="18"/>
                <w:szCs w:val="18"/>
                <w:lang w:val="en-AU"/>
              </w:rPr>
              <w:t>~$342m (~37%</w:t>
            </w:r>
            <w:r w:rsidRPr="007D3436">
              <w:rPr>
                <w:rFonts w:ascii="Arial Narrow" w:hAnsi="Arial Narrow"/>
                <w:b/>
                <w:bCs/>
                <w:sz w:val="18"/>
                <w:szCs w:val="18"/>
                <w:vertAlign w:val="superscript"/>
                <w:lang w:val="en-AU"/>
              </w:rPr>
              <w:t>3</w:t>
            </w:r>
            <w:r w:rsidRPr="007D3436">
              <w:rPr>
                <w:rFonts w:ascii="Arial Narrow" w:hAnsi="Arial Narrow"/>
                <w:b/>
                <w:bCs/>
                <w:sz w:val="18"/>
                <w:szCs w:val="18"/>
                <w:lang w:val="en-AU"/>
              </w:rPr>
              <w:t xml:space="preserve"> )</w:t>
            </w:r>
          </w:p>
        </w:tc>
      </w:tr>
    </w:tbl>
    <w:p w:rsidR="002E72BA" w:rsidRDefault="002E72BA"/>
    <w:p w:rsidR="000D412A" w:rsidRDefault="00A01C69">
      <w:r>
        <w:t xml:space="preserve">NDIA will play a </w:t>
      </w:r>
      <w:r w:rsidR="00B013A4">
        <w:t>regulatory</w:t>
      </w:r>
      <w:r>
        <w:t xml:space="preserve"> role </w:t>
      </w:r>
      <w:r w:rsidR="00AD21FF">
        <w:t>in the sourcing of four marketable parcels (Table 4).</w:t>
      </w:r>
      <w:r w:rsidR="00E95569" w:rsidRPr="00E95569">
        <w:t xml:space="preserve"> </w:t>
      </w:r>
    </w:p>
    <w:p w:rsidR="00380069" w:rsidRDefault="00E95569" w:rsidP="007D1623">
      <w:pPr>
        <w:pStyle w:val="Caption"/>
        <w:jc w:val="center"/>
      </w:pPr>
      <w:r>
        <w:t xml:space="preserve">Table </w:t>
      </w:r>
      <w:r w:rsidR="00D77382">
        <w:fldChar w:fldCharType="begin"/>
      </w:r>
      <w:r>
        <w:instrText xml:space="preserve"> SEQ Table \* ARABIC </w:instrText>
      </w:r>
      <w:r w:rsidR="00D77382">
        <w:fldChar w:fldCharType="separate"/>
      </w:r>
      <w:r w:rsidR="007717DF">
        <w:rPr>
          <w:noProof/>
        </w:rPr>
        <w:t>4</w:t>
      </w:r>
      <w:r w:rsidR="00D77382">
        <w:fldChar w:fldCharType="end"/>
      </w:r>
      <w:r>
        <w:t xml:space="preserve">: Recommended AT parcels for a </w:t>
      </w:r>
      <w:r w:rsidR="00B013A4">
        <w:t>regulatory</w:t>
      </w:r>
      <w:r>
        <w:t xml:space="preserve"> role, and annual spend by parcel</w:t>
      </w:r>
    </w:p>
    <w:tbl>
      <w:tblPr>
        <w:tblW w:w="9142" w:type="dxa"/>
        <w:tblInd w:w="-58" w:type="dxa"/>
        <w:tblCellMar>
          <w:left w:w="0" w:type="dxa"/>
          <w:right w:w="0" w:type="dxa"/>
        </w:tblCellMar>
        <w:tblLook w:val="0400" w:firstRow="0" w:lastRow="0" w:firstColumn="0" w:lastColumn="0" w:noHBand="0" w:noVBand="1"/>
      </w:tblPr>
      <w:tblGrid>
        <w:gridCol w:w="3063"/>
        <w:gridCol w:w="3162"/>
        <w:gridCol w:w="1039"/>
        <w:gridCol w:w="1878"/>
      </w:tblGrid>
      <w:tr w:rsidR="00AD21FF" w:rsidRPr="007D3436" w:rsidTr="00AD21FF">
        <w:trPr>
          <w:trHeight w:hRule="exact" w:val="587"/>
        </w:trPr>
        <w:tc>
          <w:tcPr>
            <w:tcW w:w="3063" w:type="dxa"/>
            <w:tcBorders>
              <w:top w:val="nil"/>
              <w:left w:val="nil"/>
              <w:bottom w:val="single" w:sz="12" w:space="0" w:color="48A3D7"/>
              <w:right w:val="nil"/>
            </w:tcBorders>
            <w:shd w:val="clear" w:color="auto" w:fill="5F497A" w:themeFill="accent4" w:themeFillShade="BF"/>
          </w:tcPr>
          <w:p w:rsidR="00AD21FF" w:rsidRPr="007D3436" w:rsidRDefault="00AD21FF" w:rsidP="00AD21FF">
            <w:pPr>
              <w:jc w:val="center"/>
              <w:rPr>
                <w:rFonts w:ascii="Arial Narrow" w:hAnsi="Arial Narrow"/>
                <w:b/>
                <w:bCs/>
                <w:color w:val="FFFFFF" w:themeColor="background1"/>
                <w:sz w:val="18"/>
                <w:szCs w:val="18"/>
                <w:lang w:val="en-AU"/>
              </w:rPr>
            </w:pPr>
            <w:r w:rsidRPr="007D3436">
              <w:rPr>
                <w:rFonts w:ascii="Arial Narrow" w:hAnsi="Arial Narrow"/>
                <w:b/>
                <w:bCs/>
                <w:color w:val="FFFFFF" w:themeColor="background1"/>
                <w:sz w:val="18"/>
                <w:szCs w:val="18"/>
                <w:lang w:val="en-AU"/>
              </w:rPr>
              <w:t>Sourcing model for NDIA</w:t>
            </w:r>
          </w:p>
        </w:tc>
        <w:tc>
          <w:tcPr>
            <w:tcW w:w="3162"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AD21FF" w:rsidRPr="007D3436" w:rsidRDefault="00AD21FF" w:rsidP="00AD21FF">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Marketable parcels</w:t>
            </w:r>
          </w:p>
        </w:tc>
        <w:tc>
          <w:tcPr>
            <w:tcW w:w="1039"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AD21FF" w:rsidRPr="007D3436" w:rsidRDefault="00AD21FF" w:rsidP="00AD21FF">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No. support items</w:t>
            </w:r>
          </w:p>
        </w:tc>
        <w:tc>
          <w:tcPr>
            <w:tcW w:w="1878" w:type="dxa"/>
            <w:tcBorders>
              <w:top w:val="nil"/>
              <w:left w:val="nil"/>
              <w:bottom w:val="single" w:sz="12" w:space="0" w:color="48A3D7"/>
              <w:right w:val="nil"/>
            </w:tcBorders>
            <w:shd w:val="clear" w:color="auto" w:fill="5F497A" w:themeFill="accent4" w:themeFillShade="BF"/>
            <w:tcMar>
              <w:top w:w="72" w:type="dxa"/>
              <w:left w:w="58" w:type="dxa"/>
              <w:bottom w:w="72" w:type="dxa"/>
              <w:right w:w="58" w:type="dxa"/>
            </w:tcMar>
            <w:vAlign w:val="bottom"/>
            <w:hideMark/>
          </w:tcPr>
          <w:p w:rsidR="00AD21FF" w:rsidRPr="007D3436" w:rsidRDefault="00AD21FF" w:rsidP="00AD21FF">
            <w:pPr>
              <w:jc w:val="center"/>
              <w:rPr>
                <w:rFonts w:ascii="Arial Narrow" w:hAnsi="Arial Narrow"/>
                <w:color w:val="FFFFFF" w:themeColor="background1"/>
                <w:sz w:val="18"/>
                <w:szCs w:val="18"/>
                <w:lang w:val="en-AU"/>
              </w:rPr>
            </w:pPr>
            <w:r w:rsidRPr="007D3436">
              <w:rPr>
                <w:rFonts w:ascii="Arial Narrow" w:hAnsi="Arial Narrow"/>
                <w:b/>
                <w:bCs/>
                <w:color w:val="FFFFFF" w:themeColor="background1"/>
                <w:sz w:val="18"/>
                <w:szCs w:val="18"/>
                <w:lang w:val="en-AU"/>
              </w:rPr>
              <w:t>Estimated annual spend in full scheme (% total)</w:t>
            </w:r>
            <w:r w:rsidRPr="007D3436">
              <w:rPr>
                <w:rStyle w:val="FootnoteReference"/>
                <w:rFonts w:ascii="Arial Narrow" w:hAnsi="Arial Narrow"/>
                <w:b/>
                <w:bCs/>
                <w:color w:val="FFFFFF" w:themeColor="background1"/>
                <w:sz w:val="18"/>
                <w:szCs w:val="18"/>
                <w:lang w:val="en-AU"/>
              </w:rPr>
              <w:footnoteReference w:id="18"/>
            </w:r>
          </w:p>
        </w:tc>
      </w:tr>
      <w:tr w:rsidR="00D11C77" w:rsidRPr="007D3436" w:rsidTr="007D1623">
        <w:trPr>
          <w:trHeight w:hRule="exact" w:val="340"/>
        </w:trPr>
        <w:tc>
          <w:tcPr>
            <w:tcW w:w="3063" w:type="dxa"/>
            <w:tcBorders>
              <w:top w:val="nil"/>
              <w:left w:val="nil"/>
              <w:bottom w:val="single" w:sz="2" w:space="0" w:color="FFFFFF" w:themeColor="background1"/>
              <w:right w:val="nil"/>
            </w:tcBorders>
          </w:tcPr>
          <w:p w:rsidR="00D11C77" w:rsidRPr="007D3436" w:rsidRDefault="00D11C77" w:rsidP="009D317C">
            <w:pPr>
              <w:rPr>
                <w:rFonts w:ascii="Arial Narrow" w:hAnsi="Arial Narrow"/>
                <w:b/>
                <w:sz w:val="18"/>
                <w:szCs w:val="18"/>
                <w:lang w:val="en-US"/>
              </w:rPr>
            </w:pPr>
            <w:r w:rsidRPr="007D3436">
              <w:rPr>
                <w:rFonts w:ascii="Arial Narrow" w:hAnsi="Arial Narrow"/>
                <w:sz w:val="18"/>
                <w:szCs w:val="18"/>
                <w:lang w:val="en-US"/>
              </w:rPr>
              <w:t xml:space="preserve"> </w:t>
            </w:r>
            <w:r w:rsidRPr="007D3436">
              <w:rPr>
                <w:rFonts w:ascii="Arial Narrow" w:hAnsi="Arial Narrow"/>
                <w:b/>
                <w:sz w:val="18"/>
                <w:szCs w:val="18"/>
                <w:bdr w:val="single" w:sz="2" w:space="0" w:color="FFFFFF" w:themeColor="background1"/>
                <w:lang w:val="en-US"/>
              </w:rPr>
              <w:t>Regulatory role only</w:t>
            </w:r>
          </w:p>
        </w:tc>
        <w:tc>
          <w:tcPr>
            <w:tcW w:w="3162" w:type="dxa"/>
            <w:tcBorders>
              <w:top w:val="nil"/>
              <w:left w:val="nil"/>
              <w:bottom w:val="dashed" w:sz="6" w:space="0" w:color="BFBFBF"/>
              <w:right w:val="nil"/>
            </w:tcBorders>
            <w:shd w:val="clear" w:color="auto" w:fill="auto"/>
            <w:tcMar>
              <w:top w:w="29" w:type="dxa"/>
              <w:left w:w="58" w:type="dxa"/>
              <w:bottom w:w="29" w:type="dxa"/>
              <w:right w:w="58"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AU"/>
              </w:rPr>
              <w:t>Orthoses &amp; footwear (custom-made)</w:t>
            </w:r>
          </w:p>
        </w:tc>
        <w:tc>
          <w:tcPr>
            <w:tcW w:w="1039" w:type="dxa"/>
            <w:tcBorders>
              <w:top w:val="nil"/>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AU"/>
              </w:rPr>
              <w:t>15</w:t>
            </w:r>
          </w:p>
        </w:tc>
        <w:tc>
          <w:tcPr>
            <w:tcW w:w="1878" w:type="dxa"/>
            <w:tcBorders>
              <w:top w:val="nil"/>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US"/>
              </w:rPr>
              <w:t>$58.0m (~6%)</w:t>
            </w:r>
          </w:p>
        </w:tc>
      </w:tr>
      <w:tr w:rsidR="00D11C77" w:rsidRPr="007D3436" w:rsidTr="007D1623">
        <w:trPr>
          <w:trHeight w:hRule="exact" w:val="340"/>
        </w:trPr>
        <w:tc>
          <w:tcPr>
            <w:tcW w:w="3063" w:type="dxa"/>
            <w:vMerge w:val="restart"/>
            <w:tcBorders>
              <w:top w:val="single" w:sz="2" w:space="0" w:color="FFFFFF" w:themeColor="background1"/>
              <w:left w:val="nil"/>
              <w:right w:val="nil"/>
            </w:tcBorders>
          </w:tcPr>
          <w:p w:rsidR="00D11C77" w:rsidRPr="007D3436" w:rsidRDefault="00D11C77" w:rsidP="00AD21FF">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US"/>
              </w:rPr>
              <w:t>Postural support (custom-made)</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AU"/>
              </w:rPr>
              <w:t>5</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AU"/>
              </w:rPr>
              <w:t>$19.9m (~2%)</w:t>
            </w:r>
          </w:p>
        </w:tc>
      </w:tr>
      <w:tr w:rsidR="00D11C77" w:rsidRPr="007D3436" w:rsidTr="007D1623">
        <w:trPr>
          <w:trHeight w:hRule="exact" w:val="340"/>
        </w:trPr>
        <w:tc>
          <w:tcPr>
            <w:tcW w:w="3063" w:type="dxa"/>
            <w:vMerge/>
            <w:tcBorders>
              <w:left w:val="nil"/>
              <w:bottom w:val="single" w:sz="2" w:space="0" w:color="FFFFFF" w:themeColor="background1"/>
              <w:right w:val="nil"/>
            </w:tcBorders>
          </w:tcPr>
          <w:p w:rsidR="00D11C77" w:rsidRPr="007D3436" w:rsidRDefault="00D11C77" w:rsidP="00AD21FF">
            <w:pPr>
              <w:rPr>
                <w:rFonts w:ascii="Arial Narrow" w:hAnsi="Arial Narrow"/>
                <w:b/>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US"/>
              </w:rPr>
              <w:t>Guide dogs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AU"/>
              </w:rPr>
              <w:t>2</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US"/>
              </w:rPr>
              <w:t>$12.6m (~1%)</w:t>
            </w:r>
          </w:p>
        </w:tc>
      </w:tr>
      <w:tr w:rsidR="00D11C77" w:rsidRPr="007D3436" w:rsidTr="007D1623">
        <w:trPr>
          <w:trHeight w:hRule="exact" w:val="340"/>
        </w:trPr>
        <w:tc>
          <w:tcPr>
            <w:tcW w:w="3063" w:type="dxa"/>
            <w:tcBorders>
              <w:top w:val="single" w:sz="2" w:space="0" w:color="FFFFFF" w:themeColor="background1"/>
              <w:left w:val="nil"/>
              <w:right w:val="nil"/>
            </w:tcBorders>
          </w:tcPr>
          <w:p w:rsidR="00D11C77" w:rsidRPr="007D3436" w:rsidRDefault="00D11C77" w:rsidP="00AD21FF">
            <w:pPr>
              <w:rPr>
                <w:rFonts w:ascii="Arial Narrow" w:hAnsi="Arial Narrow"/>
                <w:sz w:val="18"/>
                <w:szCs w:val="18"/>
                <w:lang w:val="en-US"/>
              </w:rPr>
            </w:pPr>
          </w:p>
        </w:tc>
        <w:tc>
          <w:tcPr>
            <w:tcW w:w="3162" w:type="dxa"/>
            <w:tcBorders>
              <w:top w:val="dashed" w:sz="6" w:space="0" w:color="BFBFBF"/>
              <w:left w:val="nil"/>
              <w:bottom w:val="dashed" w:sz="6" w:space="0" w:color="BFBFBF"/>
              <w:right w:val="nil"/>
            </w:tcBorders>
            <w:shd w:val="clear" w:color="auto" w:fill="auto"/>
            <w:tcMar>
              <w:top w:w="29" w:type="dxa"/>
              <w:left w:w="58" w:type="dxa"/>
              <w:bottom w:w="29" w:type="dxa"/>
              <w:right w:w="58"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US"/>
              </w:rPr>
              <w:t>Prostheses</w:t>
            </w:r>
          </w:p>
        </w:tc>
        <w:tc>
          <w:tcPr>
            <w:tcW w:w="1039"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AU"/>
              </w:rPr>
              <w:t>9</w:t>
            </w:r>
          </w:p>
        </w:tc>
        <w:tc>
          <w:tcPr>
            <w:tcW w:w="1878" w:type="dxa"/>
            <w:tcBorders>
              <w:top w:val="dashed" w:sz="6" w:space="0" w:color="BFBFBF"/>
              <w:left w:val="nil"/>
              <w:bottom w:val="dashed" w:sz="6" w:space="0" w:color="BFBFBF"/>
              <w:right w:val="nil"/>
            </w:tcBorders>
            <w:shd w:val="clear" w:color="auto" w:fill="auto"/>
            <w:tcMar>
              <w:top w:w="29" w:type="dxa"/>
              <w:left w:w="58" w:type="dxa"/>
              <w:bottom w:w="29" w:type="dxa"/>
              <w:right w:w="432" w:type="dxa"/>
            </w:tcMar>
            <w:hideMark/>
          </w:tcPr>
          <w:p w:rsidR="00D11C77" w:rsidRPr="007D3436" w:rsidRDefault="00D11C77" w:rsidP="00AD21FF">
            <w:pPr>
              <w:rPr>
                <w:rFonts w:ascii="Arial Narrow" w:hAnsi="Arial Narrow"/>
                <w:sz w:val="18"/>
                <w:szCs w:val="18"/>
                <w:lang w:val="en-AU"/>
              </w:rPr>
            </w:pPr>
            <w:r w:rsidRPr="007D3436">
              <w:rPr>
                <w:rFonts w:ascii="Arial Narrow" w:hAnsi="Arial Narrow"/>
                <w:sz w:val="18"/>
                <w:szCs w:val="18"/>
                <w:lang w:val="en-AU"/>
              </w:rPr>
              <w:t>$7.0m (~1%)</w:t>
            </w:r>
          </w:p>
        </w:tc>
      </w:tr>
      <w:tr w:rsidR="00AD21FF" w:rsidRPr="007D3436" w:rsidTr="00AD21FF">
        <w:trPr>
          <w:trHeight w:hRule="exact" w:val="397"/>
        </w:trPr>
        <w:tc>
          <w:tcPr>
            <w:tcW w:w="3063" w:type="dxa"/>
            <w:tcBorders>
              <w:top w:val="single" w:sz="6" w:space="0" w:color="000000"/>
              <w:left w:val="nil"/>
              <w:bottom w:val="nil"/>
              <w:right w:val="nil"/>
            </w:tcBorders>
          </w:tcPr>
          <w:p w:rsidR="00AD21FF" w:rsidRPr="007D3436" w:rsidRDefault="00AD21FF" w:rsidP="00AD21FF">
            <w:pPr>
              <w:rPr>
                <w:rFonts w:ascii="Arial Narrow" w:hAnsi="Arial Narrow"/>
                <w:b/>
                <w:bCs/>
                <w:sz w:val="18"/>
                <w:szCs w:val="18"/>
                <w:lang w:val="en-US"/>
              </w:rPr>
            </w:pPr>
            <w:r w:rsidRPr="007D3436">
              <w:rPr>
                <w:rFonts w:ascii="Arial Narrow" w:hAnsi="Arial Narrow"/>
                <w:b/>
                <w:bCs/>
                <w:sz w:val="18"/>
                <w:szCs w:val="18"/>
                <w:lang w:val="en-US"/>
              </w:rPr>
              <w:t xml:space="preserve"> Totals</w:t>
            </w:r>
          </w:p>
        </w:tc>
        <w:tc>
          <w:tcPr>
            <w:tcW w:w="3162" w:type="dxa"/>
            <w:tcBorders>
              <w:top w:val="single" w:sz="6" w:space="0" w:color="000000"/>
              <w:left w:val="nil"/>
              <w:bottom w:val="nil"/>
              <w:right w:val="nil"/>
            </w:tcBorders>
            <w:shd w:val="clear" w:color="auto" w:fill="auto"/>
            <w:tcMar>
              <w:top w:w="29" w:type="dxa"/>
              <w:left w:w="58" w:type="dxa"/>
              <w:bottom w:w="29" w:type="dxa"/>
              <w:right w:w="58" w:type="dxa"/>
            </w:tcMar>
            <w:vAlign w:val="bottom"/>
            <w:hideMark/>
          </w:tcPr>
          <w:p w:rsidR="00AD21FF" w:rsidRPr="007D3436" w:rsidRDefault="00D11C77" w:rsidP="00AD21FF">
            <w:pPr>
              <w:rPr>
                <w:rFonts w:ascii="Arial Narrow" w:hAnsi="Arial Narrow"/>
                <w:sz w:val="18"/>
                <w:szCs w:val="18"/>
                <w:lang w:val="en-AU"/>
              </w:rPr>
            </w:pPr>
            <w:r w:rsidRPr="007D3436">
              <w:rPr>
                <w:rFonts w:ascii="Arial Narrow" w:hAnsi="Arial Narrow"/>
                <w:b/>
                <w:bCs/>
                <w:sz w:val="18"/>
                <w:szCs w:val="18"/>
                <w:lang w:val="en-US"/>
              </w:rPr>
              <w:t>4</w:t>
            </w:r>
            <w:r w:rsidR="00AD21FF" w:rsidRPr="007D3436">
              <w:rPr>
                <w:rFonts w:ascii="Arial Narrow" w:hAnsi="Arial Narrow"/>
                <w:b/>
                <w:bCs/>
                <w:sz w:val="18"/>
                <w:szCs w:val="18"/>
                <w:lang w:val="en-US"/>
              </w:rPr>
              <w:t xml:space="preserve"> parcels</w:t>
            </w:r>
          </w:p>
        </w:tc>
        <w:tc>
          <w:tcPr>
            <w:tcW w:w="1039" w:type="dxa"/>
            <w:tcBorders>
              <w:top w:val="single" w:sz="6" w:space="0" w:color="000000"/>
              <w:left w:val="nil"/>
              <w:bottom w:val="nil"/>
              <w:right w:val="nil"/>
            </w:tcBorders>
            <w:shd w:val="clear" w:color="auto" w:fill="auto"/>
            <w:tcMar>
              <w:top w:w="29" w:type="dxa"/>
              <w:left w:w="58" w:type="dxa"/>
              <w:bottom w:w="29" w:type="dxa"/>
              <w:right w:w="432" w:type="dxa"/>
            </w:tcMar>
            <w:vAlign w:val="bottom"/>
            <w:hideMark/>
          </w:tcPr>
          <w:p w:rsidR="00AD21FF" w:rsidRPr="007D3436" w:rsidRDefault="00D11C77" w:rsidP="00AD21FF">
            <w:pPr>
              <w:rPr>
                <w:rFonts w:ascii="Arial Narrow" w:hAnsi="Arial Narrow"/>
                <w:sz w:val="18"/>
                <w:szCs w:val="18"/>
                <w:lang w:val="en-AU"/>
              </w:rPr>
            </w:pPr>
            <w:r w:rsidRPr="007D3436">
              <w:rPr>
                <w:rFonts w:ascii="Arial Narrow" w:hAnsi="Arial Narrow"/>
                <w:b/>
                <w:bCs/>
                <w:sz w:val="18"/>
                <w:szCs w:val="18"/>
                <w:lang w:val="en-AU"/>
              </w:rPr>
              <w:t>31</w:t>
            </w:r>
          </w:p>
        </w:tc>
        <w:tc>
          <w:tcPr>
            <w:tcW w:w="1878" w:type="dxa"/>
            <w:tcBorders>
              <w:top w:val="single" w:sz="6" w:space="0" w:color="000000"/>
              <w:left w:val="nil"/>
              <w:bottom w:val="nil"/>
              <w:right w:val="nil"/>
            </w:tcBorders>
            <w:shd w:val="clear" w:color="auto" w:fill="auto"/>
            <w:tcMar>
              <w:top w:w="29" w:type="dxa"/>
              <w:left w:w="58" w:type="dxa"/>
              <w:bottom w:w="29" w:type="dxa"/>
              <w:right w:w="432" w:type="dxa"/>
            </w:tcMar>
            <w:vAlign w:val="bottom"/>
            <w:hideMark/>
          </w:tcPr>
          <w:p w:rsidR="00AD21FF" w:rsidRPr="007D3436" w:rsidRDefault="00D11C77" w:rsidP="00AD21FF">
            <w:pPr>
              <w:rPr>
                <w:rFonts w:ascii="Arial Narrow" w:hAnsi="Arial Narrow"/>
                <w:sz w:val="18"/>
                <w:szCs w:val="18"/>
                <w:lang w:val="en-AU"/>
              </w:rPr>
            </w:pPr>
            <w:r w:rsidRPr="007D3436">
              <w:rPr>
                <w:rFonts w:ascii="Arial Narrow" w:hAnsi="Arial Narrow"/>
                <w:b/>
                <w:bCs/>
                <w:sz w:val="18"/>
                <w:szCs w:val="18"/>
                <w:lang w:val="en-AU"/>
              </w:rPr>
              <w:t>~$97m (~10%</w:t>
            </w:r>
            <w:r w:rsidRPr="007D3436">
              <w:rPr>
                <w:rFonts w:ascii="Arial Narrow" w:hAnsi="Arial Narrow"/>
                <w:b/>
                <w:bCs/>
                <w:sz w:val="18"/>
                <w:szCs w:val="18"/>
                <w:vertAlign w:val="superscript"/>
                <w:lang w:val="en-AU"/>
              </w:rPr>
              <w:t>2</w:t>
            </w:r>
            <w:r w:rsidRPr="007D3436">
              <w:rPr>
                <w:rFonts w:ascii="Arial Narrow" w:hAnsi="Arial Narrow"/>
                <w:b/>
                <w:bCs/>
                <w:sz w:val="18"/>
                <w:szCs w:val="18"/>
                <w:lang w:val="en-AU"/>
              </w:rPr>
              <w:t xml:space="preserve"> )</w:t>
            </w:r>
          </w:p>
        </w:tc>
      </w:tr>
    </w:tbl>
    <w:p w:rsidR="00A75B1C" w:rsidRDefault="00A75B1C" w:rsidP="00E95569">
      <w:pPr>
        <w:rPr>
          <w:rFonts w:cs="Arial"/>
        </w:rPr>
      </w:pPr>
    </w:p>
    <w:p w:rsidR="0079464B" w:rsidRDefault="0079464B">
      <w:pPr>
        <w:spacing w:before="0" w:after="0"/>
        <w:rPr>
          <w:rFonts w:cs="Arial"/>
        </w:rPr>
      </w:pPr>
      <w:r>
        <w:rPr>
          <w:rFonts w:cs="Arial"/>
        </w:rPr>
        <w:br w:type="page"/>
      </w:r>
    </w:p>
    <w:p w:rsidR="00BC3662" w:rsidRPr="00E95569" w:rsidRDefault="000D41D1" w:rsidP="00E95569">
      <w:pPr>
        <w:rPr>
          <w:rFonts w:cs="Arial"/>
        </w:rPr>
      </w:pPr>
      <w:r w:rsidRPr="00E95569">
        <w:rPr>
          <w:rFonts w:cs="Arial"/>
        </w:rPr>
        <w:lastRenderedPageBreak/>
        <w:t>Implementation of the differential resourcing model will deliver improved outcomes for participants as well as a positive financial impact for</w:t>
      </w:r>
      <w:r w:rsidR="00BC3662" w:rsidRPr="00D851DF">
        <w:rPr>
          <w:rFonts w:cs="Arial"/>
        </w:rPr>
        <w:t xml:space="preserve"> the scheme (see Section </w:t>
      </w:r>
      <w:r w:rsidR="00BC3662">
        <w:rPr>
          <w:rFonts w:cs="Arial"/>
        </w:rPr>
        <w:t>3</w:t>
      </w:r>
      <w:r w:rsidR="00BC3662" w:rsidRPr="00D851DF">
        <w:rPr>
          <w:rFonts w:cs="Arial"/>
        </w:rPr>
        <w:t>.3.4)</w:t>
      </w:r>
      <w:r w:rsidR="00BC3662" w:rsidRPr="00E95569">
        <w:rPr>
          <w:rFonts w:cs="Arial"/>
        </w:rPr>
        <w:t>, as outlined below.</w:t>
      </w:r>
    </w:p>
    <w:p w:rsidR="00A70B71" w:rsidRDefault="000D41D1" w:rsidP="00A70B71">
      <w:pPr>
        <w:rPr>
          <w:rFonts w:cs="Arial"/>
        </w:rPr>
      </w:pPr>
      <w:r w:rsidRPr="00D851DF">
        <w:rPr>
          <w:rFonts w:cs="Arial"/>
        </w:rPr>
        <w:t xml:space="preserve">First, for all </w:t>
      </w:r>
      <w:r w:rsidR="00BC3662" w:rsidRPr="00D851DF">
        <w:rPr>
          <w:rFonts w:cs="Arial"/>
        </w:rPr>
        <w:t xml:space="preserve">centrally sourced </w:t>
      </w:r>
      <w:r w:rsidRPr="004E254D">
        <w:rPr>
          <w:rFonts w:cs="Arial"/>
        </w:rPr>
        <w:t xml:space="preserve">AT parcels, </w:t>
      </w:r>
      <w:r w:rsidR="00BC3662" w:rsidRPr="00194E14">
        <w:rPr>
          <w:rFonts w:cs="Arial"/>
        </w:rPr>
        <w:t xml:space="preserve">the recommended approach </w:t>
      </w:r>
      <w:r w:rsidRPr="00DD7073">
        <w:rPr>
          <w:rFonts w:cs="Arial"/>
        </w:rPr>
        <w:t>will enhance participants’ ability to choose products that meet their needs</w:t>
      </w:r>
      <w:r w:rsidR="00BC3662" w:rsidRPr="00DD7073">
        <w:rPr>
          <w:rFonts w:cs="Arial"/>
        </w:rPr>
        <w:t xml:space="preserve"> by </w:t>
      </w:r>
      <w:r w:rsidR="00E21E06">
        <w:rPr>
          <w:rFonts w:cs="Arial"/>
        </w:rPr>
        <w:t>offering</w:t>
      </w:r>
      <w:r w:rsidR="00E21E06" w:rsidRPr="00DD7073">
        <w:rPr>
          <w:rFonts w:cs="Arial"/>
        </w:rPr>
        <w:t xml:space="preserve"> </w:t>
      </w:r>
      <w:r w:rsidR="00BC3662" w:rsidRPr="00DD7073">
        <w:rPr>
          <w:rFonts w:cs="Arial"/>
        </w:rPr>
        <w:t xml:space="preserve">an </w:t>
      </w:r>
      <w:r w:rsidR="00E21E06">
        <w:rPr>
          <w:rFonts w:cs="Arial"/>
          <w:bCs/>
          <w:lang w:val="en-AU"/>
        </w:rPr>
        <w:t>appropriate range of pre-tested products</w:t>
      </w:r>
      <w:r w:rsidR="00BC3662" w:rsidRPr="00E95569">
        <w:rPr>
          <w:rFonts w:cs="Arial"/>
          <w:bCs/>
          <w:lang w:val="en-AU"/>
        </w:rPr>
        <w:t xml:space="preserve"> </w:t>
      </w:r>
      <w:r w:rsidR="00E95569">
        <w:rPr>
          <w:rFonts w:cs="Arial"/>
          <w:lang w:val="en-AU"/>
        </w:rPr>
        <w:t xml:space="preserve">from </w:t>
      </w:r>
      <w:r w:rsidR="00BC3662" w:rsidRPr="00E95569">
        <w:rPr>
          <w:rFonts w:cs="Arial"/>
          <w:lang w:val="en-AU"/>
        </w:rPr>
        <w:t xml:space="preserve">a tender or panel, based on merit (superior quality, competitive price). In addition, the multichannel information portal (see Section 3.2.3) will enable </w:t>
      </w:r>
      <w:r w:rsidR="00BC3662" w:rsidRPr="00E95569">
        <w:rPr>
          <w:rFonts w:cs="Arial"/>
          <w:bCs/>
          <w:lang w:val="en-AU"/>
        </w:rPr>
        <w:t xml:space="preserve">simple, accessible product and service comparisons </w:t>
      </w:r>
      <w:r w:rsidR="00BC3662" w:rsidRPr="00E95569">
        <w:rPr>
          <w:rFonts w:cs="Arial"/>
          <w:lang w:val="en-AU"/>
        </w:rPr>
        <w:t>(including on price, specifications and participant ratings).</w:t>
      </w:r>
      <w:r w:rsidR="00A70B71">
        <w:rPr>
          <w:rFonts w:cs="Arial"/>
          <w:lang w:val="en-AU"/>
        </w:rPr>
        <w:t xml:space="preserve"> </w:t>
      </w:r>
      <w:r w:rsidR="007952B7">
        <w:rPr>
          <w:rFonts w:cs="Arial"/>
          <w:lang w:val="en-AU"/>
        </w:rPr>
        <w:t xml:space="preserve">NDIA will </w:t>
      </w:r>
      <w:r w:rsidR="00A70B71">
        <w:rPr>
          <w:rFonts w:cs="Arial"/>
          <w:lang w:val="en-AU"/>
        </w:rPr>
        <w:t xml:space="preserve">measure the </w:t>
      </w:r>
      <w:r w:rsidR="00A70B71">
        <w:rPr>
          <w:rFonts w:cs="Arial"/>
          <w:bCs/>
        </w:rPr>
        <w:t>p</w:t>
      </w:r>
      <w:r w:rsidR="00A70B71" w:rsidRPr="00E95569">
        <w:rPr>
          <w:rFonts w:cs="Arial"/>
          <w:bCs/>
        </w:rPr>
        <w:t xml:space="preserve">ercentage of participants </w:t>
      </w:r>
      <w:r w:rsidR="00A70B71">
        <w:rPr>
          <w:rFonts w:cs="Arial"/>
          <w:bCs/>
        </w:rPr>
        <w:t>who</w:t>
      </w:r>
      <w:r w:rsidR="00A70B71" w:rsidRPr="00E95569">
        <w:rPr>
          <w:rFonts w:cs="Arial"/>
          <w:bCs/>
        </w:rPr>
        <w:t xml:space="preserve"> </w:t>
      </w:r>
      <w:r w:rsidR="00A70B71">
        <w:rPr>
          <w:rFonts w:cs="Arial"/>
          <w:bCs/>
        </w:rPr>
        <w:t>elect to source AT from</w:t>
      </w:r>
      <w:r w:rsidR="00A70B71" w:rsidRPr="00D851DF">
        <w:rPr>
          <w:rFonts w:cs="Arial"/>
        </w:rPr>
        <w:t xml:space="preserve"> </w:t>
      </w:r>
      <w:r w:rsidR="00E21E06">
        <w:rPr>
          <w:rFonts w:cs="Arial"/>
        </w:rPr>
        <w:t xml:space="preserve">this range of products </w:t>
      </w:r>
      <w:r w:rsidR="00A70B71">
        <w:rPr>
          <w:rFonts w:cs="Arial"/>
        </w:rPr>
        <w:t>to determine the success of this approach and make refinements where required.</w:t>
      </w:r>
    </w:p>
    <w:p w:rsidR="00611A36" w:rsidRPr="004E254D" w:rsidRDefault="00A70B71" w:rsidP="00611A36">
      <w:pPr>
        <w:rPr>
          <w:rFonts w:cs="Arial"/>
          <w:bCs/>
        </w:rPr>
      </w:pPr>
      <w:r w:rsidRPr="00D851DF">
        <w:rPr>
          <w:rFonts w:cs="Arial"/>
        </w:rPr>
        <w:t xml:space="preserve">Second, the recommended approach will improve product and service quality </w:t>
      </w:r>
      <w:r w:rsidR="001B6D9D">
        <w:rPr>
          <w:rFonts w:cs="Arial"/>
        </w:rPr>
        <w:t>in</w:t>
      </w:r>
      <w:r w:rsidRPr="00D851DF">
        <w:rPr>
          <w:rFonts w:cs="Arial"/>
        </w:rPr>
        <w:t xml:space="preserve"> highly technical AT parcels (e.g. prostheses and orthoses). </w:t>
      </w:r>
      <w:r w:rsidR="001B6D9D">
        <w:rPr>
          <w:rFonts w:cs="Arial"/>
        </w:rPr>
        <w:t xml:space="preserve">NDIA’s </w:t>
      </w:r>
      <w:r w:rsidR="00B013A4">
        <w:rPr>
          <w:rFonts w:cs="Arial"/>
        </w:rPr>
        <w:t>regulatory</w:t>
      </w:r>
      <w:r w:rsidR="001B6D9D">
        <w:rPr>
          <w:rFonts w:cs="Arial"/>
        </w:rPr>
        <w:t xml:space="preserve"> role</w:t>
      </w:r>
      <w:r w:rsidRPr="00D851DF">
        <w:rPr>
          <w:rFonts w:cs="Arial"/>
        </w:rPr>
        <w:t xml:space="preserve"> will achieve this by </w:t>
      </w:r>
      <w:r w:rsidRPr="00E21E06">
        <w:rPr>
          <w:rFonts w:cs="Arial"/>
          <w:bCs/>
          <w:lang w:val="en-AU"/>
        </w:rPr>
        <w:t>regulating product and service quality</w:t>
      </w:r>
      <w:r w:rsidR="001B6D9D">
        <w:rPr>
          <w:rFonts w:cs="Arial"/>
          <w:bCs/>
          <w:lang w:val="en-AU"/>
        </w:rPr>
        <w:t xml:space="preserve">, improving supplier performance on the basis of feedback through the information portal, and improving quality through ongoing tender or panel processes where relevant. </w:t>
      </w:r>
      <w:r w:rsidR="00E21E06" w:rsidRPr="00D851DF">
        <w:rPr>
          <w:rFonts w:cs="Arial"/>
          <w:bCs/>
          <w:lang w:val="en-AU"/>
        </w:rPr>
        <w:t>N</w:t>
      </w:r>
      <w:r w:rsidR="00E21E06">
        <w:rPr>
          <w:rFonts w:cs="Arial"/>
          <w:bCs/>
          <w:lang w:val="en-AU"/>
        </w:rPr>
        <w:t>D</w:t>
      </w:r>
      <w:r w:rsidR="00E21E06" w:rsidRPr="00D851DF">
        <w:rPr>
          <w:rFonts w:cs="Arial"/>
          <w:bCs/>
          <w:lang w:val="en-AU"/>
        </w:rPr>
        <w:t xml:space="preserve">IA </w:t>
      </w:r>
      <w:r w:rsidR="00611A36" w:rsidRPr="00D851DF">
        <w:rPr>
          <w:rFonts w:cs="Arial"/>
          <w:bCs/>
          <w:lang w:val="en-AU"/>
        </w:rPr>
        <w:t>will measure the success of this approach by collecting and analysing</w:t>
      </w:r>
      <w:r w:rsidR="00611A36" w:rsidRPr="004E254D">
        <w:rPr>
          <w:rFonts w:cs="Arial"/>
          <w:bCs/>
          <w:lang w:val="en-AU"/>
        </w:rPr>
        <w:t xml:space="preserve"> </w:t>
      </w:r>
      <w:r w:rsidR="00611A36" w:rsidRPr="00E21E06">
        <w:rPr>
          <w:rFonts w:cs="Arial"/>
          <w:bCs/>
        </w:rPr>
        <w:t xml:space="preserve">participant satisfaction ratings </w:t>
      </w:r>
      <w:r w:rsidR="00611A36" w:rsidRPr="00D851DF">
        <w:rPr>
          <w:rFonts w:cs="Arial"/>
          <w:bCs/>
        </w:rPr>
        <w:t>for relevant products or services, using the multichannel information portal.</w:t>
      </w:r>
      <w:r w:rsidR="00611A36" w:rsidRPr="004E254D">
        <w:rPr>
          <w:rFonts w:cs="Arial"/>
          <w:bCs/>
        </w:rPr>
        <w:t xml:space="preserve"> </w:t>
      </w:r>
    </w:p>
    <w:p w:rsidR="00A70B71" w:rsidRPr="00D851DF" w:rsidRDefault="00611A36" w:rsidP="00D851DF">
      <w:pPr>
        <w:rPr>
          <w:rFonts w:cs="Arial"/>
        </w:rPr>
      </w:pPr>
      <w:r w:rsidRPr="000D0B36">
        <w:rPr>
          <w:rFonts w:cs="Arial"/>
        </w:rPr>
        <w:t>Third, the recommended approach will reduce waiting times for AT parcels with a high reissue value (e.g. beds, walking equipm</w:t>
      </w:r>
      <w:r w:rsidRPr="00194E14">
        <w:rPr>
          <w:rFonts w:cs="Arial"/>
        </w:rPr>
        <w:t>ent). It will do so</w:t>
      </w:r>
      <w:r w:rsidRPr="00131F0A">
        <w:rPr>
          <w:rFonts w:cs="Arial"/>
        </w:rPr>
        <w:t xml:space="preserve"> </w:t>
      </w:r>
      <w:r w:rsidR="00BC269B">
        <w:rPr>
          <w:rFonts w:cs="Arial"/>
          <w:bCs/>
          <w:lang w:val="en-AU"/>
        </w:rPr>
        <w:t>through the operation of a</w:t>
      </w:r>
      <w:r w:rsidRPr="00E21E06">
        <w:rPr>
          <w:rFonts w:cs="Arial"/>
          <w:bCs/>
          <w:lang w:val="en-AU"/>
        </w:rPr>
        <w:t xml:space="preserve"> responsive 'pool' model </w:t>
      </w:r>
      <w:r w:rsidRPr="00E21E06">
        <w:rPr>
          <w:rFonts w:cs="Arial"/>
          <w:lang w:val="en-AU"/>
        </w:rPr>
        <w:t>that meets real-time participants</w:t>
      </w:r>
      <w:r w:rsidR="00BC269B">
        <w:rPr>
          <w:rFonts w:cs="Arial"/>
          <w:lang w:val="en-AU"/>
        </w:rPr>
        <w:t>’</w:t>
      </w:r>
      <w:r w:rsidRPr="00E21E06">
        <w:rPr>
          <w:rFonts w:cs="Arial"/>
          <w:lang w:val="en-AU"/>
        </w:rPr>
        <w:t xml:space="preserve"> needs using refurbished </w:t>
      </w:r>
      <w:r w:rsidR="00BC269B">
        <w:rPr>
          <w:rFonts w:cs="Arial"/>
          <w:lang w:val="en-AU"/>
        </w:rPr>
        <w:t xml:space="preserve">products and devices, as well as through </w:t>
      </w:r>
      <w:r w:rsidR="00E21E06">
        <w:rPr>
          <w:rFonts w:cs="Arial"/>
          <w:bCs/>
          <w:lang w:val="en-AU"/>
        </w:rPr>
        <w:t>w</w:t>
      </w:r>
      <w:r w:rsidR="00E21E06" w:rsidRPr="00D851DF">
        <w:rPr>
          <w:rFonts w:cs="Arial"/>
          <w:bCs/>
          <w:lang w:val="en-AU"/>
        </w:rPr>
        <w:t>ell-</w:t>
      </w:r>
      <w:r w:rsidR="00E21E06" w:rsidRPr="00E21E06">
        <w:rPr>
          <w:rFonts w:cs="Arial"/>
          <w:bCs/>
          <w:lang w:val="en-AU"/>
        </w:rPr>
        <w:t>functioning</w:t>
      </w:r>
      <w:r w:rsidRPr="00E21E06">
        <w:rPr>
          <w:rFonts w:cs="Arial"/>
          <w:bCs/>
          <w:lang w:val="en-AU"/>
        </w:rPr>
        <w:t xml:space="preserve"> tender and/or panel arrangements</w:t>
      </w:r>
      <w:r w:rsidRPr="00E21E06">
        <w:rPr>
          <w:rFonts w:cs="Arial"/>
          <w:lang w:val="en-AU"/>
        </w:rPr>
        <w:t xml:space="preserve"> that track and meet participant</w:t>
      </w:r>
      <w:r w:rsidR="00BC269B">
        <w:rPr>
          <w:rFonts w:cs="Arial"/>
          <w:lang w:val="en-AU"/>
        </w:rPr>
        <w:t>s’</w:t>
      </w:r>
      <w:r w:rsidRPr="00E21E06">
        <w:rPr>
          <w:rFonts w:cs="Arial"/>
          <w:lang w:val="en-AU"/>
        </w:rPr>
        <w:t xml:space="preserve"> </w:t>
      </w:r>
      <w:r w:rsidR="00BC269B">
        <w:rPr>
          <w:rFonts w:cs="Arial"/>
          <w:lang w:val="en-AU"/>
        </w:rPr>
        <w:t xml:space="preserve">AT needs. </w:t>
      </w:r>
      <w:r w:rsidR="00D851DF">
        <w:rPr>
          <w:rFonts w:cs="Arial"/>
          <w:lang w:val="en-AU"/>
        </w:rPr>
        <w:t>NDIA will measure wait times to understand trends and refine the approach as appropriate to underpin continuous improvement.</w:t>
      </w:r>
    </w:p>
    <w:p w:rsidR="00380069" w:rsidRPr="00BC3662" w:rsidRDefault="009D317C" w:rsidP="00E21E06">
      <w:pPr>
        <w:pStyle w:val="Heading4"/>
        <w:ind w:left="284" w:hanging="284"/>
      </w:pPr>
      <w:r w:rsidRPr="00BC3662">
        <w:t>2</w:t>
      </w:r>
      <w:r>
        <w:t>.</w:t>
      </w:r>
      <w:r w:rsidRPr="00BC3662">
        <w:t xml:space="preserve"> </w:t>
      </w:r>
      <w:r w:rsidR="00380069" w:rsidRPr="00D851DF">
        <w:t xml:space="preserve">Develop the organisational capability and governance needed to ensure </w:t>
      </w:r>
      <w:r w:rsidR="0026549A">
        <w:t xml:space="preserve">scheme </w:t>
      </w:r>
      <w:r w:rsidR="00380069" w:rsidRPr="00BC3662">
        <w:t>sustainability and value creation</w:t>
      </w:r>
    </w:p>
    <w:p w:rsidR="005F50D5" w:rsidRDefault="009D317C" w:rsidP="00BC3662">
      <w:pPr>
        <w:rPr>
          <w:rStyle w:val="Strong"/>
          <w:b w:val="0"/>
        </w:rPr>
      </w:pPr>
      <w:r>
        <w:rPr>
          <w:rStyle w:val="Strong"/>
          <w:b w:val="0"/>
        </w:rPr>
        <w:t xml:space="preserve">The following </w:t>
      </w:r>
      <w:r w:rsidR="002458B4">
        <w:rPr>
          <w:rStyle w:val="Strong"/>
          <w:b w:val="0"/>
        </w:rPr>
        <w:t xml:space="preserve">internal </w:t>
      </w:r>
      <w:r>
        <w:rPr>
          <w:rStyle w:val="Strong"/>
          <w:b w:val="0"/>
        </w:rPr>
        <w:t xml:space="preserve">conditions need to be </w:t>
      </w:r>
      <w:r w:rsidR="0026549A">
        <w:rPr>
          <w:rStyle w:val="Strong"/>
          <w:b w:val="0"/>
        </w:rPr>
        <w:t>established</w:t>
      </w:r>
      <w:r>
        <w:rPr>
          <w:rStyle w:val="Strong"/>
          <w:b w:val="0"/>
        </w:rPr>
        <w:t xml:space="preserve"> for NDIA to successfully implement </w:t>
      </w:r>
      <w:r w:rsidR="0026549A">
        <w:rPr>
          <w:rStyle w:val="Strong"/>
          <w:b w:val="0"/>
        </w:rPr>
        <w:t>the</w:t>
      </w:r>
      <w:r>
        <w:rPr>
          <w:rStyle w:val="Strong"/>
          <w:b w:val="0"/>
        </w:rPr>
        <w:t xml:space="preserve"> differentiated sourcing strateg</w:t>
      </w:r>
      <w:r w:rsidR="002458B4">
        <w:rPr>
          <w:rStyle w:val="Strong"/>
          <w:b w:val="0"/>
        </w:rPr>
        <w:t>y</w:t>
      </w:r>
      <w:r w:rsidR="0026549A">
        <w:rPr>
          <w:rStyle w:val="Strong"/>
          <w:b w:val="0"/>
        </w:rPr>
        <w:t xml:space="preserve"> required for scheme sustainability and value creation</w:t>
      </w:r>
      <w:r w:rsidR="002458B4">
        <w:rPr>
          <w:rStyle w:val="Strong"/>
          <w:b w:val="0"/>
        </w:rPr>
        <w:t>:</w:t>
      </w:r>
      <w:r>
        <w:rPr>
          <w:rStyle w:val="Strong"/>
          <w:b w:val="0"/>
        </w:rPr>
        <w:t xml:space="preserve"> </w:t>
      </w:r>
    </w:p>
    <w:p w:rsidR="002458B4" w:rsidRPr="00D605BC" w:rsidRDefault="002458B4" w:rsidP="00D605BC">
      <w:pPr>
        <w:pStyle w:val="ListParagraph"/>
        <w:numPr>
          <w:ilvl w:val="0"/>
          <w:numId w:val="20"/>
        </w:numPr>
        <w:ind w:left="714" w:hanging="357"/>
        <w:contextualSpacing w:val="0"/>
        <w:rPr>
          <w:bCs/>
        </w:rPr>
      </w:pPr>
      <w:r w:rsidRPr="00D605BC">
        <w:t xml:space="preserve">The organisation structure for sourcing and procurement should be the minimum sufficient to provide end-to-end accountability </w:t>
      </w:r>
      <w:r w:rsidRPr="00D605BC">
        <w:rPr>
          <w:bCs/>
        </w:rPr>
        <w:t xml:space="preserve">for AT category and sourcing management, and should also be aligned with the overarching NDIA sourcing model and approach, as well as leverage existing shared services (e.g. Contract Management Office).  </w:t>
      </w:r>
    </w:p>
    <w:p w:rsidR="002458B4" w:rsidRPr="00DA7ED3" w:rsidRDefault="002458B4" w:rsidP="00D605BC">
      <w:pPr>
        <w:pStyle w:val="ListParagraph"/>
        <w:numPr>
          <w:ilvl w:val="0"/>
          <w:numId w:val="20"/>
        </w:numPr>
        <w:ind w:left="714" w:hanging="357"/>
        <w:contextualSpacing w:val="0"/>
        <w:rPr>
          <w:bCs/>
        </w:rPr>
      </w:pPr>
      <w:r w:rsidRPr="00D605BC">
        <w:t xml:space="preserve">The governance model for sourcing and procurement should dictate regular interaction with the NDIA Board to </w:t>
      </w:r>
      <w:r w:rsidRPr="00D605BC">
        <w:rPr>
          <w:bCs/>
        </w:rPr>
        <w:t>ensure ongoing strategic alignment with the overall Agency vision and objectives; the sourcing and categorisation approaches should be subject to independent annual review, including through engagement with participants and suppliers; and strong relationships should be established with participants and suppliers (potentially delivered through IAC) to encourage honest and constructive feedback.</w:t>
      </w:r>
    </w:p>
    <w:p w:rsidR="002458B4" w:rsidRPr="00D605BC" w:rsidRDefault="002458B4" w:rsidP="00D605BC">
      <w:pPr>
        <w:pStyle w:val="ListParagraph"/>
        <w:numPr>
          <w:ilvl w:val="0"/>
          <w:numId w:val="20"/>
        </w:numPr>
        <w:ind w:left="714" w:hanging="357"/>
        <w:contextualSpacing w:val="0"/>
        <w:rPr>
          <w:bCs/>
        </w:rPr>
      </w:pPr>
      <w:r w:rsidRPr="00D605BC">
        <w:t xml:space="preserve">Sourcing roles and responsibilities </w:t>
      </w:r>
      <w:r w:rsidRPr="00D605BC">
        <w:rPr>
          <w:bCs/>
        </w:rPr>
        <w:t xml:space="preserve">should be clearly defined across </w:t>
      </w:r>
      <w:r w:rsidR="0026549A" w:rsidRPr="00D605BC">
        <w:rPr>
          <w:bCs/>
        </w:rPr>
        <w:t>every layer of the organisation; and skills and capabilities aligned with responsibilities</w:t>
      </w:r>
      <w:r w:rsidR="000D412A" w:rsidRPr="00D605BC">
        <w:rPr>
          <w:bCs/>
        </w:rPr>
        <w:t xml:space="preserve">. </w:t>
      </w:r>
    </w:p>
    <w:p w:rsidR="002458B4" w:rsidRPr="00DA7ED3" w:rsidRDefault="0026549A" w:rsidP="00D605BC">
      <w:pPr>
        <w:pStyle w:val="ListParagraph"/>
        <w:numPr>
          <w:ilvl w:val="0"/>
          <w:numId w:val="20"/>
        </w:numPr>
        <w:ind w:left="714" w:hanging="357"/>
        <w:contextualSpacing w:val="0"/>
        <w:rPr>
          <w:bCs/>
        </w:rPr>
      </w:pPr>
      <w:r w:rsidRPr="00D605BC">
        <w:rPr>
          <w:bCs/>
        </w:rPr>
        <w:t>Capabilities in category management should be developed across all parcels to monitor participant needs, outcomes, trends and market capabilities; and skills in pricing and regulation, sourcing, supply chain management and product development developed and/acquired for those parcels where more market intervention is required.</w:t>
      </w:r>
    </w:p>
    <w:p w:rsidR="007553E7" w:rsidRPr="004841CC" w:rsidRDefault="005E11C1" w:rsidP="00E917B1">
      <w:pPr>
        <w:pStyle w:val="Heading3"/>
      </w:pPr>
      <w:bookmarkStart w:id="35" w:name="_Toc432683891"/>
      <w:r w:rsidRPr="004841CC">
        <w:t>3.3.4 Financial impact of implementing differential sourcing</w:t>
      </w:r>
      <w:bookmarkEnd w:id="35"/>
    </w:p>
    <w:p w:rsidR="00E42768" w:rsidRDefault="001B3183" w:rsidP="00E21E06">
      <w:pPr>
        <w:rPr>
          <w:bCs/>
          <w:lang w:val="en-AU"/>
        </w:rPr>
      </w:pPr>
      <w:r w:rsidRPr="00DA7ED3">
        <w:t>As well as the improved outcomes for participants described above, implementing the proposed sourcing initiatives will deliver</w:t>
      </w:r>
      <w:r w:rsidR="004E254D" w:rsidRPr="00DA7ED3">
        <w:t xml:space="preserve"> the </w:t>
      </w:r>
      <w:r w:rsidR="00B76596">
        <w:t>S</w:t>
      </w:r>
      <w:r w:rsidR="004E254D" w:rsidRPr="00DA7ED3">
        <w:t>cheme</w:t>
      </w:r>
      <w:r w:rsidRPr="00DA7ED3">
        <w:t xml:space="preserve"> </w:t>
      </w:r>
      <w:r w:rsidR="004E254D" w:rsidRPr="00DA7ED3">
        <w:rPr>
          <w:bCs/>
          <w:lang w:val="en-AU"/>
        </w:rPr>
        <w:t>net incremental financial benef</w:t>
      </w:r>
      <w:r w:rsidR="00171CA7">
        <w:rPr>
          <w:bCs/>
          <w:lang w:val="en-AU"/>
        </w:rPr>
        <w:t xml:space="preserve">its of an estimated </w:t>
      </w:r>
      <w:r w:rsidR="004E254D" w:rsidRPr="00DA7ED3">
        <w:rPr>
          <w:bCs/>
          <w:lang w:val="en-AU"/>
        </w:rPr>
        <w:t>$</w:t>
      </w:r>
      <w:r w:rsidR="006E29A3">
        <w:rPr>
          <w:bCs/>
          <w:lang w:val="en-AU"/>
        </w:rPr>
        <w:t>161</w:t>
      </w:r>
      <w:r w:rsidR="006E29A3" w:rsidRPr="00DA7ED3">
        <w:rPr>
          <w:bCs/>
          <w:lang w:val="en-AU"/>
        </w:rPr>
        <w:t xml:space="preserve"> </w:t>
      </w:r>
      <w:r w:rsidR="004E254D" w:rsidRPr="00DA7ED3">
        <w:rPr>
          <w:bCs/>
          <w:lang w:val="en-AU"/>
        </w:rPr>
        <w:t>m</w:t>
      </w:r>
      <w:r w:rsidR="00510722" w:rsidRPr="00DA7ED3">
        <w:rPr>
          <w:bCs/>
          <w:lang w:val="en-AU"/>
        </w:rPr>
        <w:t>illion</w:t>
      </w:r>
      <w:r w:rsidR="004E254D" w:rsidRPr="00DA7ED3">
        <w:rPr>
          <w:bCs/>
          <w:lang w:val="en-AU"/>
        </w:rPr>
        <w:t xml:space="preserve"> </w:t>
      </w:r>
      <w:r w:rsidR="00510722" w:rsidRPr="00DA7ED3">
        <w:rPr>
          <w:bCs/>
          <w:lang w:val="en-AU"/>
        </w:rPr>
        <w:t>per annum</w:t>
      </w:r>
      <w:r w:rsidR="004E254D" w:rsidRPr="00DA7ED3">
        <w:rPr>
          <w:bCs/>
          <w:lang w:val="en-AU"/>
        </w:rPr>
        <w:t xml:space="preserve"> by FY19-20 </w:t>
      </w:r>
      <w:r w:rsidR="002A5498" w:rsidRPr="00DA7ED3">
        <w:rPr>
          <w:bCs/>
          <w:lang w:val="en-AU"/>
        </w:rPr>
        <w:t xml:space="preserve">(Figure 3) </w:t>
      </w:r>
      <w:r w:rsidR="004E254D" w:rsidRPr="00DA7ED3">
        <w:rPr>
          <w:bCs/>
          <w:lang w:val="en-AU"/>
        </w:rPr>
        <w:t xml:space="preserve">and </w:t>
      </w:r>
      <w:r w:rsidR="006E29A3">
        <w:rPr>
          <w:bCs/>
          <w:lang w:val="en-AU"/>
        </w:rPr>
        <w:t xml:space="preserve">more than </w:t>
      </w:r>
      <w:r w:rsidR="004E254D" w:rsidRPr="00DA7ED3">
        <w:rPr>
          <w:bCs/>
          <w:lang w:val="en-AU"/>
        </w:rPr>
        <w:t>$1</w:t>
      </w:r>
      <w:r w:rsidR="006E29A3">
        <w:rPr>
          <w:bCs/>
          <w:lang w:val="en-AU"/>
        </w:rPr>
        <w:t>.2 billion</w:t>
      </w:r>
      <w:r w:rsidR="006E29A3" w:rsidRPr="00DA7ED3">
        <w:rPr>
          <w:bCs/>
          <w:lang w:val="en-AU"/>
        </w:rPr>
        <w:t xml:space="preserve"> </w:t>
      </w:r>
      <w:r w:rsidR="004E254D" w:rsidRPr="00DA7ED3">
        <w:rPr>
          <w:bCs/>
          <w:lang w:val="en-AU"/>
        </w:rPr>
        <w:t>over 10 years</w:t>
      </w:r>
      <w:r w:rsidR="00B76596">
        <w:rPr>
          <w:bCs/>
          <w:lang w:val="en-AU"/>
        </w:rPr>
        <w:t xml:space="preserve"> (Figure 4). </w:t>
      </w:r>
      <w:r w:rsidR="002A5498" w:rsidRPr="00DA7ED3">
        <w:rPr>
          <w:bCs/>
          <w:lang w:val="en-AU"/>
        </w:rPr>
        <w:t xml:space="preserve">These are conservative estimates based on observed savings with the implementation of analogous initiatives in Australia and elsewhere, economic modelling using NDIA actuarial estimates and an 85% opt-in rate for centrally sourced items, compared with an observed rate of over 90% in similar schemes. </w:t>
      </w:r>
    </w:p>
    <w:p w:rsidR="004E254D" w:rsidRDefault="00E42768" w:rsidP="00E21E06">
      <w:pPr>
        <w:rPr>
          <w:bCs/>
          <w:lang w:val="en-AU"/>
        </w:rPr>
      </w:pPr>
      <w:r>
        <w:t>It should be noted that the baseline, annual expenditure on AT (forecast to be $0.94 billion by 2020), was calculated assuming that, in the absence of a new strategy, the current state (where</w:t>
      </w:r>
      <w:r w:rsidRPr="0072195E">
        <w:t xml:space="preserve"> NSW, Vic and SA are leveraging existing state schemes and the benefits of their procurement contracts and reissue pools</w:t>
      </w:r>
      <w:r>
        <w:t>) would be able to be maintained to support the NDIS at full scheme</w:t>
      </w:r>
      <w:r w:rsidRPr="0072195E">
        <w:t>.</w:t>
      </w:r>
      <w:r>
        <w:t xml:space="preserve"> </w:t>
      </w:r>
    </w:p>
    <w:p w:rsidR="002A5498" w:rsidRPr="000D0B36" w:rsidRDefault="002A5498" w:rsidP="00E21E06">
      <w:pPr>
        <w:rPr>
          <w:lang w:val="en-AU"/>
        </w:rPr>
      </w:pPr>
      <w:r>
        <w:rPr>
          <w:bCs/>
          <w:lang w:val="en-AU"/>
        </w:rPr>
        <w:lastRenderedPageBreak/>
        <w:t xml:space="preserve">The </w:t>
      </w:r>
      <w:r w:rsidR="00E42768">
        <w:rPr>
          <w:bCs/>
          <w:lang w:val="en-AU"/>
        </w:rPr>
        <w:t xml:space="preserve">financial benefits </w:t>
      </w:r>
      <w:r w:rsidR="005230CF">
        <w:rPr>
          <w:bCs/>
          <w:lang w:val="en-AU"/>
        </w:rPr>
        <w:t>will be delivered through the following means:</w:t>
      </w:r>
    </w:p>
    <w:p w:rsidR="004E254D" w:rsidRPr="004E254D" w:rsidRDefault="004E254D" w:rsidP="00D605BC">
      <w:pPr>
        <w:numPr>
          <w:ilvl w:val="1"/>
          <w:numId w:val="24"/>
        </w:numPr>
        <w:tabs>
          <w:tab w:val="left" w:pos="2268"/>
        </w:tabs>
        <w:rPr>
          <w:lang w:val="en-AU"/>
        </w:rPr>
      </w:pPr>
      <w:r>
        <w:rPr>
          <w:lang w:val="en-AU"/>
        </w:rPr>
        <w:t>The</w:t>
      </w:r>
      <w:r w:rsidRPr="004E254D">
        <w:rPr>
          <w:lang w:val="en-AU"/>
        </w:rPr>
        <w:t xml:space="preserve"> </w:t>
      </w:r>
      <w:r>
        <w:rPr>
          <w:lang w:val="en-AU"/>
        </w:rPr>
        <w:t>multichannel</w:t>
      </w:r>
      <w:r w:rsidRPr="004E254D">
        <w:rPr>
          <w:lang w:val="en-AU"/>
        </w:rPr>
        <w:t xml:space="preserve"> information portal for all AT will facilitate better choice</w:t>
      </w:r>
      <w:r w:rsidR="00171CA7">
        <w:rPr>
          <w:lang w:val="en-AU"/>
        </w:rPr>
        <w:t xml:space="preserve">s and lower prices, delivering an estimated </w:t>
      </w:r>
      <w:r w:rsidRPr="004E254D">
        <w:rPr>
          <w:lang w:val="en-AU"/>
        </w:rPr>
        <w:t>$15</w:t>
      </w:r>
      <w:r w:rsidR="00510722">
        <w:rPr>
          <w:lang w:val="en-AU"/>
        </w:rPr>
        <w:t xml:space="preserve"> </w:t>
      </w:r>
      <w:r w:rsidRPr="004E254D">
        <w:rPr>
          <w:lang w:val="en-AU"/>
        </w:rPr>
        <w:t>m</w:t>
      </w:r>
      <w:r w:rsidR="00510722">
        <w:rPr>
          <w:lang w:val="en-AU"/>
        </w:rPr>
        <w:t>illion</w:t>
      </w:r>
      <w:r w:rsidRPr="004E254D">
        <w:rPr>
          <w:lang w:val="en-AU"/>
        </w:rPr>
        <w:t xml:space="preserve"> </w:t>
      </w:r>
      <w:r>
        <w:rPr>
          <w:lang w:val="en-AU"/>
        </w:rPr>
        <w:t>per annum;</w:t>
      </w:r>
    </w:p>
    <w:p w:rsidR="004E254D" w:rsidRPr="004E254D" w:rsidRDefault="004E254D" w:rsidP="00D605BC">
      <w:pPr>
        <w:numPr>
          <w:ilvl w:val="1"/>
          <w:numId w:val="24"/>
        </w:numPr>
        <w:tabs>
          <w:tab w:val="left" w:pos="2268"/>
        </w:tabs>
        <w:rPr>
          <w:lang w:val="en-AU"/>
        </w:rPr>
      </w:pPr>
      <w:r w:rsidRPr="004E254D">
        <w:rPr>
          <w:lang w:val="en-AU"/>
        </w:rPr>
        <w:t>Scale purchasing through tenders o</w:t>
      </w:r>
      <w:r w:rsidR="00171CA7">
        <w:rPr>
          <w:lang w:val="en-AU"/>
        </w:rPr>
        <w:t xml:space="preserve">r panels for an estimated </w:t>
      </w:r>
      <w:r w:rsidRPr="004E254D">
        <w:rPr>
          <w:lang w:val="en-AU"/>
        </w:rPr>
        <w:t>30% of AT will deliver $</w:t>
      </w:r>
      <w:r w:rsidR="006E29A3">
        <w:rPr>
          <w:lang w:val="en-AU"/>
        </w:rPr>
        <w:t xml:space="preserve">80 </w:t>
      </w:r>
      <w:r w:rsidRPr="004E254D">
        <w:rPr>
          <w:lang w:val="en-AU"/>
        </w:rPr>
        <w:t>m</w:t>
      </w:r>
      <w:r w:rsidR="00510722">
        <w:rPr>
          <w:lang w:val="en-AU"/>
        </w:rPr>
        <w:t>illion</w:t>
      </w:r>
      <w:r w:rsidRPr="004E254D">
        <w:rPr>
          <w:lang w:val="en-AU"/>
        </w:rPr>
        <w:t xml:space="preserve"> </w:t>
      </w:r>
      <w:r w:rsidR="00510722">
        <w:rPr>
          <w:lang w:val="en-AU"/>
        </w:rPr>
        <w:t>per annum;</w:t>
      </w:r>
      <w:r w:rsidRPr="004E254D">
        <w:rPr>
          <w:lang w:val="en-AU"/>
        </w:rPr>
        <w:t xml:space="preserve"> </w:t>
      </w:r>
      <w:r w:rsidR="00510722">
        <w:rPr>
          <w:lang w:val="en-AU"/>
        </w:rPr>
        <w:t>and</w:t>
      </w:r>
    </w:p>
    <w:p w:rsidR="004E254D" w:rsidRPr="004E254D" w:rsidRDefault="004E254D" w:rsidP="00D605BC">
      <w:pPr>
        <w:numPr>
          <w:ilvl w:val="1"/>
          <w:numId w:val="24"/>
        </w:numPr>
        <w:tabs>
          <w:tab w:val="left" w:pos="2268"/>
        </w:tabs>
        <w:rPr>
          <w:lang w:val="en-AU"/>
        </w:rPr>
      </w:pPr>
      <w:r w:rsidRPr="004E254D">
        <w:rPr>
          <w:lang w:val="en-AU"/>
        </w:rPr>
        <w:t>Higher AT utilisation through pool models</w:t>
      </w:r>
      <w:r w:rsidR="00973767" w:rsidRPr="00973767">
        <w:rPr>
          <w:lang w:val="en-AU"/>
        </w:rPr>
        <w:t xml:space="preserve"> </w:t>
      </w:r>
      <w:r w:rsidR="00171CA7">
        <w:rPr>
          <w:lang w:val="en-AU"/>
        </w:rPr>
        <w:t xml:space="preserve">for an estimated </w:t>
      </w:r>
      <w:r w:rsidR="00973767" w:rsidRPr="004E254D">
        <w:rPr>
          <w:lang w:val="en-AU"/>
        </w:rPr>
        <w:t>23% of AT</w:t>
      </w:r>
      <w:r w:rsidR="00973767">
        <w:rPr>
          <w:lang w:val="en-AU"/>
        </w:rPr>
        <w:t>, where AT is initially purchased through a tender or panel,</w:t>
      </w:r>
      <w:r w:rsidR="00171CA7">
        <w:rPr>
          <w:lang w:val="en-AU"/>
        </w:rPr>
        <w:t xml:space="preserve"> will deliver an estimated </w:t>
      </w:r>
      <w:r w:rsidRPr="004E254D">
        <w:rPr>
          <w:lang w:val="en-AU"/>
        </w:rPr>
        <w:t>$43</w:t>
      </w:r>
      <w:r w:rsidR="00510722">
        <w:rPr>
          <w:lang w:val="en-AU"/>
        </w:rPr>
        <w:t xml:space="preserve"> million per annum.</w:t>
      </w:r>
      <w:r w:rsidRPr="004E254D">
        <w:rPr>
          <w:lang w:val="en-AU"/>
        </w:rPr>
        <w:t xml:space="preserve"> </w:t>
      </w:r>
    </w:p>
    <w:p w:rsidR="004E254D" w:rsidRDefault="00510722" w:rsidP="00D605BC">
      <w:pPr>
        <w:numPr>
          <w:ilvl w:val="1"/>
          <w:numId w:val="24"/>
        </w:numPr>
        <w:tabs>
          <w:tab w:val="left" w:pos="2268"/>
        </w:tabs>
        <w:rPr>
          <w:lang w:val="en-AU"/>
        </w:rPr>
      </w:pPr>
      <w:r>
        <w:rPr>
          <w:lang w:val="en-AU"/>
        </w:rPr>
        <w:t>In addition, j</w:t>
      </w:r>
      <w:r w:rsidR="004E254D" w:rsidRPr="004E254D">
        <w:rPr>
          <w:lang w:val="en-AU"/>
        </w:rPr>
        <w:t xml:space="preserve">oint tenders with other government agencies </w:t>
      </w:r>
      <w:r>
        <w:rPr>
          <w:lang w:val="en-AU"/>
        </w:rPr>
        <w:t>could</w:t>
      </w:r>
      <w:r w:rsidR="004E254D" w:rsidRPr="004E254D">
        <w:rPr>
          <w:lang w:val="en-AU"/>
        </w:rPr>
        <w:t xml:space="preserve"> drive further scale benefits</w:t>
      </w:r>
      <w:r>
        <w:rPr>
          <w:lang w:val="en-AU"/>
        </w:rPr>
        <w:t xml:space="preserve"> in the order of</w:t>
      </w:r>
      <w:r w:rsidR="004E254D" w:rsidRPr="004E254D">
        <w:rPr>
          <w:lang w:val="en-AU"/>
        </w:rPr>
        <w:t xml:space="preserve"> $25</w:t>
      </w:r>
      <w:r>
        <w:rPr>
          <w:lang w:val="en-AU"/>
        </w:rPr>
        <w:t xml:space="preserve"> </w:t>
      </w:r>
      <w:r w:rsidR="004E254D" w:rsidRPr="004E254D">
        <w:rPr>
          <w:lang w:val="en-AU"/>
        </w:rPr>
        <w:t>m</w:t>
      </w:r>
      <w:r>
        <w:rPr>
          <w:lang w:val="en-AU"/>
        </w:rPr>
        <w:t>illion</w:t>
      </w:r>
      <w:r w:rsidR="004E254D" w:rsidRPr="004E254D">
        <w:rPr>
          <w:lang w:val="en-AU"/>
        </w:rPr>
        <w:t xml:space="preserve"> </w:t>
      </w:r>
      <w:r>
        <w:rPr>
          <w:lang w:val="en-AU"/>
        </w:rPr>
        <w:t>per annum.</w:t>
      </w:r>
    </w:p>
    <w:p w:rsidR="00AA3148" w:rsidRDefault="00B76596" w:rsidP="00AA3148">
      <w:pPr>
        <w:tabs>
          <w:tab w:val="left" w:pos="2268"/>
        </w:tabs>
        <w:rPr>
          <w:lang w:val="en-AU"/>
        </w:rPr>
      </w:pPr>
      <w:r w:rsidRPr="00B76596">
        <w:rPr>
          <w:noProof/>
          <w:lang w:val="en-AU" w:eastAsia="en-AU"/>
        </w:rPr>
        <w:drawing>
          <wp:inline distT="0" distB="0" distL="0" distR="0" wp14:anchorId="3CE1DCA6" wp14:editId="3FDAA34C">
            <wp:extent cx="5726152" cy="3004457"/>
            <wp:effectExtent l="25400" t="25400" r="14605" b="1841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20134" b="4078"/>
                    <a:stretch/>
                  </pic:blipFill>
                  <pic:spPr bwMode="auto">
                    <a:xfrm>
                      <a:off x="0" y="0"/>
                      <a:ext cx="5727700" cy="3005269"/>
                    </a:xfrm>
                    <a:prstGeom prst="rect">
                      <a:avLst/>
                    </a:prstGeom>
                    <a:noFill/>
                    <a:ln>
                      <a:solidFill>
                        <a:srgbClr val="4F81BD"/>
                      </a:solidFill>
                    </a:ln>
                    <a:extLst>
                      <a:ext uri="{53640926-AAD7-44D8-BBD7-CCE9431645EC}">
                        <a14:shadowObscured xmlns:a14="http://schemas.microsoft.com/office/drawing/2010/main"/>
                      </a:ext>
                    </a:extLst>
                  </pic:spPr>
                </pic:pic>
              </a:graphicData>
            </a:graphic>
          </wp:inline>
        </w:drawing>
      </w:r>
    </w:p>
    <w:p w:rsidR="00EE50C6" w:rsidRDefault="00EE50C6" w:rsidP="00E21E06">
      <w:pPr>
        <w:pStyle w:val="Caption"/>
        <w:jc w:val="center"/>
        <w:rPr>
          <w:lang w:val="en-AU"/>
        </w:rPr>
      </w:pPr>
      <w:r>
        <w:t xml:space="preserve">Figure </w:t>
      </w:r>
      <w:r w:rsidR="00D77382">
        <w:fldChar w:fldCharType="begin"/>
      </w:r>
      <w:r>
        <w:instrText xml:space="preserve"> SEQ Figure \* ARABIC </w:instrText>
      </w:r>
      <w:r w:rsidR="00D77382">
        <w:fldChar w:fldCharType="separate"/>
      </w:r>
      <w:r w:rsidR="007717DF">
        <w:rPr>
          <w:noProof/>
        </w:rPr>
        <w:t>3</w:t>
      </w:r>
      <w:r w:rsidR="00D77382">
        <w:fldChar w:fldCharType="end"/>
      </w:r>
      <w:r w:rsidR="002A5498">
        <w:t>: Net savings breakdown and estimated annual AT spend in FY19-20</w:t>
      </w:r>
    </w:p>
    <w:p w:rsidR="00EE50C6" w:rsidRPr="004E254D" w:rsidRDefault="00B76596" w:rsidP="00E21E06">
      <w:pPr>
        <w:rPr>
          <w:lang w:val="en-AU"/>
        </w:rPr>
      </w:pPr>
      <w:r w:rsidRPr="00B76596">
        <w:rPr>
          <w:noProof/>
          <w:lang w:val="en-AU" w:eastAsia="en-AU"/>
        </w:rPr>
        <w:drawing>
          <wp:inline distT="0" distB="0" distL="0" distR="0" wp14:anchorId="41B77007" wp14:editId="35519915">
            <wp:extent cx="5723450" cy="3069643"/>
            <wp:effectExtent l="25400" t="25400" r="17145" b="2921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t="18254" b="4277"/>
                    <a:stretch/>
                  </pic:blipFill>
                  <pic:spPr bwMode="auto">
                    <a:xfrm>
                      <a:off x="0" y="0"/>
                      <a:ext cx="5723450" cy="3069643"/>
                    </a:xfrm>
                    <a:prstGeom prst="rect">
                      <a:avLst/>
                    </a:prstGeom>
                    <a:noFill/>
                    <a:ln>
                      <a:solidFill>
                        <a:srgbClr val="4F81BD"/>
                      </a:solidFill>
                    </a:ln>
                    <a:extLst>
                      <a:ext uri="{53640926-AAD7-44D8-BBD7-CCE9431645EC}">
                        <a14:shadowObscured xmlns:a14="http://schemas.microsoft.com/office/drawing/2010/main"/>
                      </a:ext>
                    </a:extLst>
                  </pic:spPr>
                </pic:pic>
              </a:graphicData>
            </a:graphic>
          </wp:inline>
        </w:drawing>
      </w:r>
    </w:p>
    <w:p w:rsidR="00073DCF" w:rsidRDefault="005230CF" w:rsidP="00E21E06">
      <w:pPr>
        <w:pStyle w:val="Caption"/>
        <w:jc w:val="center"/>
      </w:pPr>
      <w:r>
        <w:t xml:space="preserve">Figure </w:t>
      </w:r>
      <w:r w:rsidR="00D77382">
        <w:fldChar w:fldCharType="begin"/>
      </w:r>
      <w:r>
        <w:instrText xml:space="preserve"> SEQ Figure \* ARABIC </w:instrText>
      </w:r>
      <w:r w:rsidR="00D77382">
        <w:fldChar w:fldCharType="separate"/>
      </w:r>
      <w:r w:rsidR="007717DF">
        <w:rPr>
          <w:noProof/>
        </w:rPr>
        <w:t>4</w:t>
      </w:r>
      <w:r w:rsidR="00D77382">
        <w:fldChar w:fldCharType="end"/>
      </w:r>
      <w:r>
        <w:t>: Additional net economic benefits from AT sourcing initiatives, 10-year profile</w:t>
      </w:r>
    </w:p>
    <w:p w:rsidR="0079464B" w:rsidRDefault="0079464B">
      <w:pPr>
        <w:spacing w:before="0" w:after="0"/>
      </w:pPr>
      <w:r>
        <w:rPr>
          <w:b/>
          <w:bCs/>
        </w:rPr>
        <w:br w:type="page"/>
      </w:r>
    </w:p>
    <w:p w:rsidR="00B772D5" w:rsidRPr="004841CC" w:rsidRDefault="00B772D5" w:rsidP="00E917B1">
      <w:pPr>
        <w:pStyle w:val="Heading3"/>
      </w:pPr>
      <w:bookmarkStart w:id="36" w:name="_Toc432683892"/>
      <w:r w:rsidRPr="004841CC">
        <w:lastRenderedPageBreak/>
        <w:t>3.3.5 Risks and mitigation approach</w:t>
      </w:r>
      <w:bookmarkEnd w:id="36"/>
    </w:p>
    <w:p w:rsidR="00CB3246" w:rsidRDefault="00AB0A74" w:rsidP="00E42768">
      <w:r>
        <w:t xml:space="preserve">There are a number of reasons this AT </w:t>
      </w:r>
      <w:r w:rsidR="00CB3246">
        <w:t xml:space="preserve">strategy may not achieve its strategic priorities and lead to </w:t>
      </w:r>
      <w:r>
        <w:t>(1)</w:t>
      </w:r>
      <w:r w:rsidR="00E42768">
        <w:t xml:space="preserve"> participants not being able</w:t>
      </w:r>
      <w:r w:rsidR="00E42768" w:rsidRPr="001276C1">
        <w:t xml:space="preserve"> to access appropriate AT supports</w:t>
      </w:r>
      <w:r w:rsidR="00CB3246">
        <w:t>, and/or</w:t>
      </w:r>
      <w:r w:rsidR="00E42768">
        <w:t xml:space="preserve"> </w:t>
      </w:r>
      <w:r>
        <w:t xml:space="preserve">(2) </w:t>
      </w:r>
      <w:r w:rsidR="00E42768" w:rsidRPr="001276C1">
        <w:t xml:space="preserve">expenditure </w:t>
      </w:r>
      <w:r w:rsidR="00E42768">
        <w:t xml:space="preserve">on AT </w:t>
      </w:r>
      <w:r w:rsidR="00CB3246">
        <w:t xml:space="preserve">being </w:t>
      </w:r>
      <w:r w:rsidR="00E42768" w:rsidRPr="001276C1">
        <w:t>unsustainable for the NDIS</w:t>
      </w:r>
      <w:r w:rsidR="00CB3246">
        <w:t xml:space="preserve">. Below is a brief list of how to mitigate and handle risks and problems that </w:t>
      </w:r>
      <w:r w:rsidR="001B2687">
        <w:t xml:space="preserve">may </w:t>
      </w:r>
      <w:r w:rsidR="00CB3246">
        <w:t xml:space="preserve">arise to ensure </w:t>
      </w:r>
      <w:r>
        <w:t>tha</w:t>
      </w:r>
      <w:r w:rsidR="00CB3246">
        <w:t>t the benefits for participants and the scheme are delivered in full:</w:t>
      </w:r>
    </w:p>
    <w:p w:rsidR="00E42768" w:rsidRDefault="00E42768" w:rsidP="00D605BC">
      <w:pPr>
        <w:pStyle w:val="ListParagraph"/>
        <w:numPr>
          <w:ilvl w:val="0"/>
          <w:numId w:val="26"/>
        </w:numPr>
        <w:spacing w:before="0" w:after="0"/>
      </w:pPr>
      <w:r>
        <w:t>Failure to agree</w:t>
      </w:r>
      <w:r w:rsidR="00171CA7">
        <w:t xml:space="preserve"> to</w:t>
      </w:r>
      <w:r>
        <w:t xml:space="preserve"> t</w:t>
      </w:r>
      <w:r w:rsidRPr="0072195E">
        <w:t xml:space="preserve">ransition arrangements </w:t>
      </w:r>
      <w:r>
        <w:t xml:space="preserve">and the </w:t>
      </w:r>
      <w:r w:rsidRPr="0072195E">
        <w:t xml:space="preserve">loss of expertise and </w:t>
      </w:r>
      <w:r>
        <w:t xml:space="preserve">benefits of </w:t>
      </w:r>
      <w:r w:rsidRPr="0072195E">
        <w:t xml:space="preserve">state </w:t>
      </w:r>
      <w:r>
        <w:t xml:space="preserve">and territory </w:t>
      </w:r>
      <w:r w:rsidRPr="0072195E">
        <w:t>schemes</w:t>
      </w:r>
      <w:r>
        <w:t xml:space="preserve"> can be mitigated by continued engagement and ongoing sharing of knowledge between programs.</w:t>
      </w:r>
    </w:p>
    <w:p w:rsidR="00111E4F" w:rsidRDefault="00BF0E0A" w:rsidP="00D605BC">
      <w:pPr>
        <w:pStyle w:val="ListParagraph"/>
        <w:numPr>
          <w:ilvl w:val="0"/>
          <w:numId w:val="26"/>
        </w:numPr>
        <w:spacing w:before="0" w:after="0"/>
      </w:pPr>
      <w:r>
        <w:t>Failure to deliver based on a l</w:t>
      </w:r>
      <w:r w:rsidR="00111E4F">
        <w:t>ack of sourcing mana</w:t>
      </w:r>
      <w:r w:rsidR="00CB3246">
        <w:t>gement capability in NDIA,</w:t>
      </w:r>
      <w:r w:rsidR="00111E4F">
        <w:t xml:space="preserve"> can be mitigated by going to the market to recruit suitably skilled and experienced people and drawing on external expertise</w:t>
      </w:r>
      <w:r>
        <w:t>;</w:t>
      </w:r>
    </w:p>
    <w:p w:rsidR="00BF0E0A" w:rsidRDefault="00BF0E0A" w:rsidP="00D605BC">
      <w:pPr>
        <w:pStyle w:val="ListParagraph"/>
        <w:numPr>
          <w:ilvl w:val="0"/>
          <w:numId w:val="26"/>
        </w:numPr>
        <w:spacing w:before="0" w:after="0"/>
      </w:pPr>
      <w:r>
        <w:t>Failure to implement the strategy based on organisational o</w:t>
      </w:r>
      <w:r w:rsidR="00CB3246">
        <w:t>r other internal barriers,</w:t>
      </w:r>
      <w:r>
        <w:t xml:space="preserve"> can be mitigated through clarification of, and early agreement on, roles, responsibilities and accountabilities for implementation across the Agency;</w:t>
      </w:r>
    </w:p>
    <w:p w:rsidR="00BF0E0A" w:rsidRDefault="00BF0E0A" w:rsidP="00D605BC">
      <w:pPr>
        <w:pStyle w:val="ListParagraph"/>
        <w:numPr>
          <w:ilvl w:val="0"/>
          <w:numId w:val="26"/>
        </w:numPr>
        <w:spacing w:before="0" w:after="0"/>
      </w:pPr>
      <w:r>
        <w:t>Failure to implement based on poor stakeholder understanding of, and s</w:t>
      </w:r>
      <w:r w:rsidR="00CB3246">
        <w:t xml:space="preserve">upport for, the strategy, </w:t>
      </w:r>
      <w:r>
        <w:t>can be mitigated through a comprehensive, on-going stakeholder engagement strategy;</w:t>
      </w:r>
    </w:p>
    <w:p w:rsidR="00BF0E0A" w:rsidRDefault="00BF0E0A" w:rsidP="00D605BC">
      <w:pPr>
        <w:pStyle w:val="ListParagraph"/>
        <w:numPr>
          <w:ilvl w:val="0"/>
          <w:numId w:val="26"/>
        </w:numPr>
        <w:spacing w:before="0" w:after="0"/>
      </w:pPr>
      <w:r>
        <w:t>Market-stifling collusion in less competitive AT markets with implementation of the multichannel inform</w:t>
      </w:r>
      <w:r w:rsidR="00CB3246">
        <w:t>ation model,</w:t>
      </w:r>
      <w:r>
        <w:t xml:space="preserve"> can be mitigated by ensuring barriers to participation are low (e.g. through easy registration on the website) and drawing on expert advice;</w:t>
      </w:r>
    </w:p>
    <w:p w:rsidR="00BF0E0A" w:rsidRDefault="00BF0E0A" w:rsidP="00D605BC">
      <w:pPr>
        <w:pStyle w:val="ListParagraph"/>
        <w:numPr>
          <w:ilvl w:val="0"/>
          <w:numId w:val="26"/>
        </w:numPr>
        <w:spacing w:before="0" w:after="0"/>
      </w:pPr>
      <w:r>
        <w:t>Constraints on choice as a result of a narrow product set in</w:t>
      </w:r>
      <w:r w:rsidR="00CB3246">
        <w:t xml:space="preserve"> the tender/panel models, </w:t>
      </w:r>
      <w:r>
        <w:t>can be mitigated by including participants in the product selection process, coupled with the opt-out provision;</w:t>
      </w:r>
    </w:p>
    <w:p w:rsidR="00BF0E0A" w:rsidRDefault="00BF0E0A" w:rsidP="00D605BC">
      <w:pPr>
        <w:pStyle w:val="ListParagraph"/>
        <w:numPr>
          <w:ilvl w:val="0"/>
          <w:numId w:val="26"/>
        </w:numPr>
        <w:spacing w:before="0" w:after="0"/>
      </w:pPr>
      <w:r>
        <w:t>Failure to achieve the projected financial benefits from the pool/tender models ba</w:t>
      </w:r>
      <w:r w:rsidR="00CB3246">
        <w:t xml:space="preserve">sed on a low opt-in rate, </w:t>
      </w:r>
      <w:r>
        <w:t xml:space="preserve">can be </w:t>
      </w:r>
      <w:r w:rsidR="00181BC9">
        <w:t xml:space="preserve">mitigated by limiting participant funding to the pool/tender price for the same item; and </w:t>
      </w:r>
    </w:p>
    <w:p w:rsidR="00181BC9" w:rsidRDefault="00181BC9" w:rsidP="00D605BC">
      <w:pPr>
        <w:pStyle w:val="ListParagraph"/>
        <w:numPr>
          <w:ilvl w:val="0"/>
          <w:numId w:val="26"/>
        </w:numPr>
        <w:spacing w:before="0" w:after="0"/>
      </w:pPr>
      <w:r>
        <w:t>Failure to deliver projected benefits based on low reissue rates based on inadequate inc</w:t>
      </w:r>
      <w:r w:rsidR="00CB3246">
        <w:t xml:space="preserve">entives and capabilities </w:t>
      </w:r>
      <w:r>
        <w:t>can be mitigated through competitive tenders, strict service KPIs and non-conformance penalties.</w:t>
      </w:r>
    </w:p>
    <w:p w:rsidR="00527F8B" w:rsidRDefault="00527F8B" w:rsidP="00527F8B">
      <w:r>
        <w:t xml:space="preserve">Given changes of the nature and magnitude described here—in particular the approach to AT sourcing—a structured, phased approach to implementation will be critical to success. NDIA has developed a three-year implementation roadmap for each element of the AT strategy, including stakeholder consultation; governance, organisation, process and capability changes; and the work needed to finalise, build and operationalise the innovation hub and multichannel information model. </w:t>
      </w:r>
    </w:p>
    <w:p w:rsidR="00CB3246" w:rsidRDefault="00527F8B" w:rsidP="00527F8B">
      <w:r>
        <w:t>Implementation will be closely monitored, with the plan adjusted and refined as required, based on outcome metrics.</w:t>
      </w:r>
    </w:p>
    <w:p w:rsidR="00B772D5" w:rsidRDefault="00B772D5">
      <w:pPr>
        <w:spacing w:before="0" w:after="0"/>
      </w:pPr>
    </w:p>
    <w:p w:rsidR="00B772D5" w:rsidRDefault="00B772D5">
      <w:pPr>
        <w:spacing w:before="0" w:after="0"/>
      </w:pPr>
    </w:p>
    <w:p w:rsidR="00AD7F92" w:rsidRPr="00B00CEF" w:rsidRDefault="00AD7F92">
      <w:pPr>
        <w:spacing w:before="0" w:after="0"/>
        <w:rPr>
          <w:rFonts w:eastAsia="MS Gothic" w:cs="Times New Roman"/>
          <w:b/>
          <w:bCs/>
          <w:color w:val="6B2976"/>
          <w:kern w:val="32"/>
          <w:sz w:val="36"/>
          <w:szCs w:val="40"/>
        </w:rPr>
      </w:pPr>
      <w:r w:rsidRPr="00B00CEF">
        <w:br w:type="page"/>
      </w:r>
    </w:p>
    <w:p w:rsidR="003C1728" w:rsidRDefault="003C1728" w:rsidP="003C1728">
      <w:pPr>
        <w:pStyle w:val="Heading1"/>
        <w:rPr>
          <w:rFonts w:eastAsia="Times New Roman"/>
        </w:rPr>
      </w:pPr>
      <w:bookmarkStart w:id="37" w:name="_Toc432683893"/>
      <w:r>
        <w:rPr>
          <w:rFonts w:eastAsia="Times New Roman"/>
        </w:rPr>
        <w:lastRenderedPageBreak/>
        <w:t>Appendices</w:t>
      </w:r>
      <w:bookmarkEnd w:id="37"/>
    </w:p>
    <w:p w:rsidR="008809C6" w:rsidRDefault="008809C6" w:rsidP="008809C6">
      <w:pPr>
        <w:pStyle w:val="Heading2"/>
        <w:ind w:left="0" w:firstLine="0"/>
      </w:pPr>
    </w:p>
    <w:p w:rsidR="008809C6" w:rsidRDefault="00CB3246" w:rsidP="008809C6">
      <w:pPr>
        <w:pStyle w:val="Heading2"/>
        <w:ind w:left="0" w:firstLine="0"/>
      </w:pPr>
      <w:bookmarkStart w:id="38" w:name="_Toc432683894"/>
      <w:r>
        <w:t>Appendix 1</w:t>
      </w:r>
      <w:r w:rsidR="008809C6">
        <w:tab/>
        <w:t xml:space="preserve">Strategy </w:t>
      </w:r>
      <w:r w:rsidR="007B2B0A">
        <w:t>d</w:t>
      </w:r>
      <w:r w:rsidR="008809C6">
        <w:t>evelopment</w:t>
      </w:r>
      <w:bookmarkEnd w:id="38"/>
    </w:p>
    <w:p w:rsidR="008809C6" w:rsidRDefault="008809C6" w:rsidP="008809C6"/>
    <w:p w:rsidR="008809C6" w:rsidRPr="00633370" w:rsidRDefault="008809C6" w:rsidP="008809C6">
      <w:pPr>
        <w:rPr>
          <w:lang w:eastAsia="en-AU"/>
        </w:rPr>
      </w:pPr>
      <w:r w:rsidRPr="00633370">
        <w:t xml:space="preserve">Development of the strategic framework and initiatives </w:t>
      </w:r>
      <w:r w:rsidR="00F90857">
        <w:t>in the AT strategy</w:t>
      </w:r>
      <w:r w:rsidRPr="00633370">
        <w:t xml:space="preserve"> was informed by:</w:t>
      </w:r>
    </w:p>
    <w:p w:rsidR="008809C6" w:rsidRPr="00633370" w:rsidRDefault="008809C6" w:rsidP="008809C6">
      <w:pPr>
        <w:pStyle w:val="ListBullet"/>
        <w:numPr>
          <w:ilvl w:val="0"/>
          <w:numId w:val="59"/>
        </w:numPr>
      </w:pPr>
      <w:r w:rsidRPr="00633370">
        <w:t>NDI</w:t>
      </w:r>
      <w:r>
        <w:t>A</w:t>
      </w:r>
      <w:r w:rsidRPr="00633370">
        <w:t xml:space="preserve"> 2013-16 Strategic Plan;</w:t>
      </w:r>
    </w:p>
    <w:p w:rsidR="008809C6" w:rsidRPr="00633370" w:rsidRDefault="008809C6" w:rsidP="008809C6">
      <w:pPr>
        <w:pStyle w:val="ListBullet"/>
        <w:numPr>
          <w:ilvl w:val="0"/>
          <w:numId w:val="59"/>
        </w:numPr>
      </w:pPr>
      <w:r w:rsidRPr="00633370">
        <w:t>‘Research for National Disability Agreement Aids and Equipment Reform’ (Jenny Pearson &amp; Associates, 2013);</w:t>
      </w:r>
    </w:p>
    <w:p w:rsidR="008809C6" w:rsidRPr="00D851DF" w:rsidRDefault="008809C6" w:rsidP="008809C6">
      <w:pPr>
        <w:pStyle w:val="ListBullet"/>
        <w:numPr>
          <w:ilvl w:val="0"/>
          <w:numId w:val="59"/>
        </w:numPr>
      </w:pPr>
      <w:r w:rsidRPr="00231A52">
        <w:t>‘Price Disparities for Disability Aids and Equipment’ (Queensland Competition Authority 2014)</w:t>
      </w:r>
      <w:r w:rsidRPr="00BC3662">
        <w:t>;</w:t>
      </w:r>
    </w:p>
    <w:p w:rsidR="008809C6" w:rsidRPr="00633370" w:rsidRDefault="008809C6" w:rsidP="008809C6">
      <w:pPr>
        <w:pStyle w:val="ListBullet"/>
        <w:numPr>
          <w:ilvl w:val="0"/>
          <w:numId w:val="59"/>
        </w:numPr>
      </w:pPr>
      <w:r w:rsidRPr="004E254D">
        <w:t>Report and Discussion Document on the Scoping of State and Territory Aids and Equipment Services (Jackie Hiller-Broughton &amp; He</w:t>
      </w:r>
      <w:r w:rsidRPr="000D0B36">
        <w:t>athe</w:t>
      </w:r>
      <w:r w:rsidRPr="00194E14">
        <w:t xml:space="preserve">r Browning, NDIA, </w:t>
      </w:r>
      <w:r w:rsidRPr="00131F0A">
        <w:t>April 2014);</w:t>
      </w:r>
    </w:p>
    <w:p w:rsidR="008809C6" w:rsidRPr="00633370" w:rsidRDefault="008809C6" w:rsidP="008809C6">
      <w:pPr>
        <w:pStyle w:val="ListBullet"/>
        <w:numPr>
          <w:ilvl w:val="0"/>
          <w:numId w:val="59"/>
        </w:numPr>
      </w:pPr>
      <w:r w:rsidRPr="00633370">
        <w:t>EMG paper ‘Transition to sustainable national aid</w:t>
      </w:r>
      <w:r>
        <w:t>s</w:t>
      </w:r>
      <w:r w:rsidRPr="00633370">
        <w:t xml:space="preserve"> and equipment provision in the NDIS’, presented 7 October 2014; </w:t>
      </w:r>
    </w:p>
    <w:p w:rsidR="008809C6" w:rsidRPr="00633370" w:rsidRDefault="008809C6" w:rsidP="008809C6">
      <w:pPr>
        <w:pStyle w:val="ListBullet"/>
        <w:numPr>
          <w:ilvl w:val="0"/>
          <w:numId w:val="59"/>
        </w:numPr>
      </w:pPr>
      <w:r w:rsidRPr="00633370">
        <w:t xml:space="preserve">NDIA discussion paper ‘Towards Solutions for Assistive Technology’ (December 2014); </w:t>
      </w:r>
    </w:p>
    <w:p w:rsidR="008809C6" w:rsidRPr="00633370" w:rsidRDefault="008809C6" w:rsidP="008809C6">
      <w:pPr>
        <w:pStyle w:val="ListBullet"/>
        <w:numPr>
          <w:ilvl w:val="0"/>
          <w:numId w:val="59"/>
        </w:numPr>
      </w:pPr>
      <w:r w:rsidRPr="00633370">
        <w:t>The findings and recommendations of a team from The Boston Consulting Group, which worked in collaboration with an internal team to develop the AT sourcing strategy; and</w:t>
      </w:r>
    </w:p>
    <w:p w:rsidR="008809C6" w:rsidRPr="00633370" w:rsidRDefault="008809C6" w:rsidP="008809C6">
      <w:pPr>
        <w:pStyle w:val="ListBullet"/>
        <w:numPr>
          <w:ilvl w:val="0"/>
          <w:numId w:val="59"/>
        </w:numPr>
      </w:pPr>
      <w:r w:rsidRPr="00633370">
        <w:t xml:space="preserve">The Australian Government </w:t>
      </w:r>
      <w:r w:rsidRPr="00633370">
        <w:rPr>
          <w:i/>
        </w:rPr>
        <w:t>Competition Policy Review</w:t>
      </w:r>
      <w:r w:rsidRPr="00633370">
        <w:t xml:space="preserve"> (Harper Review), March 2015</w:t>
      </w:r>
      <w:r>
        <w:t>.</w:t>
      </w:r>
    </w:p>
    <w:p w:rsidR="008809C6" w:rsidRDefault="008809C6">
      <w:pPr>
        <w:spacing w:before="0" w:after="0"/>
      </w:pPr>
      <w:r>
        <w:br w:type="page"/>
      </w:r>
    </w:p>
    <w:p w:rsidR="007D693F" w:rsidRPr="008809C6" w:rsidRDefault="008809C6" w:rsidP="008809C6">
      <w:pPr>
        <w:pStyle w:val="Heading2"/>
        <w:ind w:left="0" w:firstLine="0"/>
      </w:pPr>
      <w:bookmarkStart w:id="39" w:name="_Toc432683895"/>
      <w:r>
        <w:lastRenderedPageBreak/>
        <w:t>Appendix 2</w:t>
      </w:r>
      <w:r w:rsidR="007D693F">
        <w:tab/>
        <w:t xml:space="preserve">Membership of </w:t>
      </w:r>
      <w:r w:rsidR="00527F8B">
        <w:t xml:space="preserve">AT </w:t>
      </w:r>
      <w:r w:rsidR="007D693F">
        <w:t>reference and working groups</w:t>
      </w:r>
      <w:bookmarkEnd w:id="39"/>
    </w:p>
    <w:p w:rsidR="007D693F" w:rsidRDefault="007D693F" w:rsidP="007D693F">
      <w:pPr>
        <w:rPr>
          <w:b/>
          <w:sz w:val="24"/>
          <w:szCs w:val="24"/>
        </w:rPr>
      </w:pPr>
    </w:p>
    <w:p w:rsidR="007D693F" w:rsidRPr="00633370" w:rsidRDefault="007D693F" w:rsidP="007D693F">
      <w:r w:rsidRPr="00633370">
        <w:rPr>
          <w:b/>
          <w:sz w:val="24"/>
          <w:szCs w:val="24"/>
        </w:rPr>
        <w:t xml:space="preserve">AT Sector Reference Group </w:t>
      </w:r>
    </w:p>
    <w:p w:rsidR="007D693F" w:rsidRPr="00633370" w:rsidRDefault="007D693F" w:rsidP="007D693F">
      <w:pPr>
        <w:rPr>
          <w:w w:val="104"/>
        </w:rPr>
      </w:pPr>
      <w:r w:rsidRPr="00633370">
        <w:rPr>
          <w:w w:val="104"/>
        </w:rPr>
        <w:t>Chair = Mary Hawkins, Branch Manager, Supports and Services.</w:t>
      </w:r>
    </w:p>
    <w:p w:rsidR="007D693F" w:rsidRPr="00633370" w:rsidRDefault="007D693F" w:rsidP="007D693F">
      <w:pPr>
        <w:rPr>
          <w:w w:val="104"/>
        </w:rPr>
      </w:pPr>
      <w:r w:rsidRPr="00633370">
        <w:rPr>
          <w:w w:val="104"/>
        </w:rPr>
        <w:t>Membership includes a nominated representative from each of the following;</w:t>
      </w:r>
    </w:p>
    <w:p w:rsidR="007D693F" w:rsidRPr="00633370" w:rsidRDefault="007D693F" w:rsidP="000E6BAB">
      <w:pPr>
        <w:pStyle w:val="ListBullet"/>
        <w:numPr>
          <w:ilvl w:val="0"/>
          <w:numId w:val="56"/>
        </w:numPr>
        <w:rPr>
          <w:w w:val="104"/>
        </w:rPr>
      </w:pPr>
      <w:r w:rsidRPr="00633370">
        <w:rPr>
          <w:w w:val="104"/>
        </w:rPr>
        <w:t xml:space="preserve">Francis Vicary – nominated by NDIA Advisory Council </w:t>
      </w:r>
    </w:p>
    <w:p w:rsidR="007D693F" w:rsidRPr="00633370" w:rsidRDefault="007D693F" w:rsidP="000E6BAB">
      <w:pPr>
        <w:pStyle w:val="ListBullet"/>
        <w:numPr>
          <w:ilvl w:val="0"/>
          <w:numId w:val="56"/>
        </w:numPr>
        <w:rPr>
          <w:w w:val="104"/>
        </w:rPr>
      </w:pPr>
      <w:r w:rsidRPr="00633370">
        <w:rPr>
          <w:w w:val="104"/>
        </w:rPr>
        <w:t xml:space="preserve">Damian Griffiths - nominated by First Peoples Disability Network – FPDN </w:t>
      </w:r>
    </w:p>
    <w:p w:rsidR="007D693F" w:rsidRPr="00633370" w:rsidRDefault="007D693F" w:rsidP="000E6BAB">
      <w:pPr>
        <w:pStyle w:val="ListBullet"/>
        <w:numPr>
          <w:ilvl w:val="0"/>
          <w:numId w:val="56"/>
        </w:numPr>
        <w:rPr>
          <w:w w:val="104"/>
        </w:rPr>
      </w:pPr>
      <w:r w:rsidRPr="00633370">
        <w:rPr>
          <w:w w:val="104"/>
        </w:rPr>
        <w:t xml:space="preserve">Sean Fitzgerald - nominated by Disability Advocacy Network Australia Ltd – DANA </w:t>
      </w:r>
    </w:p>
    <w:p w:rsidR="007D693F" w:rsidRPr="00633370" w:rsidRDefault="007D693F" w:rsidP="000E6BAB">
      <w:pPr>
        <w:pStyle w:val="ListBullet"/>
        <w:numPr>
          <w:ilvl w:val="0"/>
          <w:numId w:val="56"/>
        </w:numPr>
        <w:rPr>
          <w:w w:val="104"/>
        </w:rPr>
      </w:pPr>
      <w:r w:rsidRPr="00633370">
        <w:rPr>
          <w:w w:val="104"/>
        </w:rPr>
        <w:t>John Harmer - nominated by South Australia NDIA (nomination of person with a disability sought from a launch site)</w:t>
      </w:r>
    </w:p>
    <w:p w:rsidR="007D693F" w:rsidRPr="00633370" w:rsidRDefault="007D693F" w:rsidP="000E6BAB">
      <w:pPr>
        <w:pStyle w:val="ListBullet"/>
        <w:numPr>
          <w:ilvl w:val="0"/>
          <w:numId w:val="56"/>
        </w:numPr>
        <w:rPr>
          <w:w w:val="104"/>
        </w:rPr>
      </w:pPr>
      <w:r w:rsidRPr="00633370">
        <w:rPr>
          <w:w w:val="104"/>
        </w:rPr>
        <w:t xml:space="preserve">Chris Sparks / Dr Michael Summers - nominated by Assistive Technology Suppliers Australasia - ATSA </w:t>
      </w:r>
    </w:p>
    <w:p w:rsidR="007D693F" w:rsidRPr="00633370" w:rsidRDefault="007D693F" w:rsidP="000E6BAB">
      <w:pPr>
        <w:pStyle w:val="ListBullet"/>
        <w:numPr>
          <w:ilvl w:val="0"/>
          <w:numId w:val="56"/>
        </w:numPr>
        <w:rPr>
          <w:w w:val="104"/>
        </w:rPr>
      </w:pPr>
      <w:r w:rsidRPr="00633370">
        <w:rPr>
          <w:w w:val="104"/>
        </w:rPr>
        <w:t xml:space="preserve">Dr Natasha Layton - nominated by Allied Health Professionals Australia - AHPA </w:t>
      </w:r>
    </w:p>
    <w:p w:rsidR="007D693F" w:rsidRPr="00633370" w:rsidRDefault="007D693F" w:rsidP="000E6BAB">
      <w:pPr>
        <w:pStyle w:val="ListBullet"/>
        <w:numPr>
          <w:ilvl w:val="0"/>
          <w:numId w:val="56"/>
        </w:numPr>
        <w:rPr>
          <w:w w:val="104"/>
        </w:rPr>
      </w:pPr>
      <w:r w:rsidRPr="00633370">
        <w:rPr>
          <w:w w:val="104"/>
        </w:rPr>
        <w:t>Dr Lloyd Walker - nominated by National Committee on Rehabilitation Engineering - NCRE</w:t>
      </w:r>
    </w:p>
    <w:p w:rsidR="007D693F" w:rsidRPr="00633370" w:rsidRDefault="007D693F" w:rsidP="000E6BAB">
      <w:pPr>
        <w:pStyle w:val="ListBullet"/>
        <w:numPr>
          <w:ilvl w:val="0"/>
          <w:numId w:val="56"/>
        </w:numPr>
        <w:rPr>
          <w:w w:val="104"/>
        </w:rPr>
      </w:pPr>
      <w:r w:rsidRPr="00633370">
        <w:rPr>
          <w:w w:val="104"/>
        </w:rPr>
        <w:t>Sandra Lowe - nominated by Independent Living Centres Australia - ILCA</w:t>
      </w:r>
    </w:p>
    <w:p w:rsidR="007D693F" w:rsidRPr="00633370" w:rsidRDefault="007D693F" w:rsidP="000E6BAB">
      <w:pPr>
        <w:pStyle w:val="ListBullet"/>
        <w:numPr>
          <w:ilvl w:val="0"/>
          <w:numId w:val="56"/>
        </w:numPr>
        <w:rPr>
          <w:w w:val="104"/>
        </w:rPr>
      </w:pPr>
      <w:r w:rsidRPr="00633370">
        <w:rPr>
          <w:w w:val="104"/>
        </w:rPr>
        <w:t>Dr Anthony Hobbs - nominated by Therapeutic Goods Association</w:t>
      </w:r>
    </w:p>
    <w:p w:rsidR="007D693F" w:rsidRPr="00633370" w:rsidRDefault="007D693F" w:rsidP="000E6BAB">
      <w:pPr>
        <w:pStyle w:val="ListBullet"/>
        <w:numPr>
          <w:ilvl w:val="0"/>
          <w:numId w:val="56"/>
        </w:numPr>
        <w:rPr>
          <w:w w:val="104"/>
        </w:rPr>
      </w:pPr>
      <w:r w:rsidRPr="00633370">
        <w:rPr>
          <w:w w:val="104"/>
        </w:rPr>
        <w:t xml:space="preserve">Bev </w:t>
      </w:r>
      <w:proofErr w:type="spellStart"/>
      <w:r w:rsidRPr="00633370">
        <w:rPr>
          <w:w w:val="104"/>
        </w:rPr>
        <w:t>Freeling</w:t>
      </w:r>
      <w:proofErr w:type="spellEnd"/>
      <w:r w:rsidRPr="00633370">
        <w:rPr>
          <w:w w:val="104"/>
        </w:rPr>
        <w:t xml:space="preserve"> – Carer Representative nominated by South Australia NDIA (in lieu of representative from Carers Australia) </w:t>
      </w:r>
    </w:p>
    <w:p w:rsidR="007D693F" w:rsidRPr="00633370" w:rsidRDefault="007D693F" w:rsidP="000E6BAB">
      <w:pPr>
        <w:pStyle w:val="ListBullet"/>
        <w:numPr>
          <w:ilvl w:val="0"/>
          <w:numId w:val="56"/>
        </w:numPr>
        <w:rPr>
          <w:w w:val="104"/>
        </w:rPr>
      </w:pPr>
      <w:r w:rsidRPr="00633370">
        <w:rPr>
          <w:w w:val="104"/>
        </w:rPr>
        <w:t xml:space="preserve">Tony Spano - nominated by DVA </w:t>
      </w:r>
    </w:p>
    <w:p w:rsidR="007D693F" w:rsidRPr="00633370" w:rsidRDefault="007D693F" w:rsidP="000E6BAB">
      <w:pPr>
        <w:pStyle w:val="ListBullet"/>
        <w:numPr>
          <w:ilvl w:val="0"/>
          <w:numId w:val="56"/>
        </w:numPr>
        <w:rPr>
          <w:w w:val="104"/>
        </w:rPr>
      </w:pPr>
      <w:proofErr w:type="gramStart"/>
      <w:r w:rsidRPr="00633370">
        <w:rPr>
          <w:w w:val="104"/>
        </w:rPr>
        <w:t>supported</w:t>
      </w:r>
      <w:proofErr w:type="gramEnd"/>
      <w:r w:rsidRPr="00633370">
        <w:rPr>
          <w:w w:val="104"/>
        </w:rPr>
        <w:t xml:space="preserve"> by Heather Browning and Jackie Hiller-Broughton - Project Managers. </w:t>
      </w:r>
    </w:p>
    <w:p w:rsidR="007D693F" w:rsidRDefault="007D693F" w:rsidP="007D693F">
      <w:pPr>
        <w:rPr>
          <w:b/>
          <w:sz w:val="24"/>
          <w:szCs w:val="24"/>
        </w:rPr>
      </w:pPr>
    </w:p>
    <w:p w:rsidR="007D693F" w:rsidRDefault="007D693F" w:rsidP="007D693F">
      <w:pPr>
        <w:rPr>
          <w:b/>
          <w:sz w:val="24"/>
          <w:szCs w:val="24"/>
        </w:rPr>
      </w:pPr>
    </w:p>
    <w:p w:rsidR="007D693F" w:rsidRPr="00633370" w:rsidRDefault="007D693F" w:rsidP="007D693F">
      <w:r w:rsidRPr="00633370">
        <w:rPr>
          <w:b/>
          <w:sz w:val="24"/>
          <w:szCs w:val="24"/>
        </w:rPr>
        <w:t xml:space="preserve">Aids and Equipment Services Working Group </w:t>
      </w:r>
    </w:p>
    <w:p w:rsidR="007D693F" w:rsidRPr="00633370" w:rsidRDefault="007D693F" w:rsidP="007D693F">
      <w:r w:rsidRPr="00633370">
        <w:t>Chair = shared between Project Managers Jackie Hiller-Broughton and Heather Browning</w:t>
      </w:r>
    </w:p>
    <w:p w:rsidR="007D693F" w:rsidRPr="00633370" w:rsidRDefault="007D693F" w:rsidP="007D693F">
      <w:r w:rsidRPr="00633370">
        <w:t xml:space="preserve">Membership included a Manager from each of the Jurisdictional Aids and Equipment Schemes. </w:t>
      </w:r>
    </w:p>
    <w:p w:rsidR="007D693F" w:rsidRPr="00633370" w:rsidRDefault="007D693F" w:rsidP="000E6BAB">
      <w:pPr>
        <w:pStyle w:val="ListBullet"/>
        <w:numPr>
          <w:ilvl w:val="0"/>
          <w:numId w:val="56"/>
        </w:numPr>
      </w:pPr>
      <w:r>
        <w:t>South Australia – Matthew Mass</w:t>
      </w:r>
      <w:r w:rsidRPr="00633370">
        <w:t>y-Westropp</w:t>
      </w:r>
    </w:p>
    <w:p w:rsidR="007D693F" w:rsidRPr="00633370" w:rsidRDefault="007D693F" w:rsidP="000E6BAB">
      <w:pPr>
        <w:pStyle w:val="ListBullet"/>
        <w:numPr>
          <w:ilvl w:val="0"/>
          <w:numId w:val="56"/>
        </w:numPr>
      </w:pPr>
      <w:r w:rsidRPr="00633370">
        <w:t xml:space="preserve">Victoria – </w:t>
      </w:r>
      <w:proofErr w:type="spellStart"/>
      <w:r w:rsidRPr="00633370">
        <w:t>Jeni</w:t>
      </w:r>
      <w:proofErr w:type="spellEnd"/>
      <w:r w:rsidRPr="00633370">
        <w:t xml:space="preserve"> Burton</w:t>
      </w:r>
    </w:p>
    <w:p w:rsidR="007D693F" w:rsidRPr="00633370" w:rsidRDefault="007D693F" w:rsidP="000E6BAB">
      <w:pPr>
        <w:pStyle w:val="ListBullet"/>
        <w:numPr>
          <w:ilvl w:val="0"/>
          <w:numId w:val="56"/>
        </w:numPr>
      </w:pPr>
      <w:r w:rsidRPr="00633370">
        <w:t>New South Wales – Maria Passarello / Bronwyn Scott</w:t>
      </w:r>
    </w:p>
    <w:p w:rsidR="007D693F" w:rsidRPr="00633370" w:rsidRDefault="007D693F" w:rsidP="000E6BAB">
      <w:pPr>
        <w:pStyle w:val="ListBullet"/>
        <w:numPr>
          <w:ilvl w:val="0"/>
          <w:numId w:val="56"/>
        </w:numPr>
      </w:pPr>
      <w:r w:rsidRPr="00633370">
        <w:t>Tasmania – Peter Maree</w:t>
      </w:r>
    </w:p>
    <w:p w:rsidR="007D693F" w:rsidRPr="00633370" w:rsidRDefault="007D693F" w:rsidP="000E6BAB">
      <w:pPr>
        <w:pStyle w:val="ListBullet"/>
        <w:numPr>
          <w:ilvl w:val="0"/>
          <w:numId w:val="56"/>
        </w:numPr>
      </w:pPr>
      <w:r w:rsidRPr="00633370">
        <w:t xml:space="preserve">Queensland – John </w:t>
      </w:r>
      <w:proofErr w:type="spellStart"/>
      <w:r w:rsidRPr="00633370">
        <w:t>Vasil</w:t>
      </w:r>
      <w:proofErr w:type="spellEnd"/>
    </w:p>
    <w:p w:rsidR="007D693F" w:rsidRPr="00633370" w:rsidRDefault="007D693F" w:rsidP="000E6BAB">
      <w:pPr>
        <w:pStyle w:val="ListBullet"/>
        <w:numPr>
          <w:ilvl w:val="0"/>
          <w:numId w:val="56"/>
        </w:numPr>
      </w:pPr>
      <w:r w:rsidRPr="00633370">
        <w:t xml:space="preserve">Northern Territory – </w:t>
      </w:r>
      <w:proofErr w:type="spellStart"/>
      <w:r w:rsidRPr="00633370">
        <w:t>Valli</w:t>
      </w:r>
      <w:proofErr w:type="spellEnd"/>
      <w:r w:rsidRPr="00633370">
        <w:t xml:space="preserve"> </w:t>
      </w:r>
      <w:proofErr w:type="spellStart"/>
      <w:r w:rsidRPr="00633370">
        <w:t>Camara</w:t>
      </w:r>
      <w:proofErr w:type="spellEnd"/>
      <w:r w:rsidRPr="00633370">
        <w:t xml:space="preserve"> </w:t>
      </w:r>
    </w:p>
    <w:p w:rsidR="007D693F" w:rsidRPr="00633370" w:rsidRDefault="007D693F" w:rsidP="000E6BAB">
      <w:pPr>
        <w:pStyle w:val="ListBullet"/>
        <w:numPr>
          <w:ilvl w:val="0"/>
          <w:numId w:val="56"/>
        </w:numPr>
      </w:pPr>
      <w:r w:rsidRPr="00633370">
        <w:t xml:space="preserve">ACT – Michael Keen </w:t>
      </w:r>
    </w:p>
    <w:p w:rsidR="007D693F" w:rsidRPr="00633370" w:rsidRDefault="007D693F" w:rsidP="000E6BAB">
      <w:pPr>
        <w:pStyle w:val="ListBullet"/>
        <w:numPr>
          <w:ilvl w:val="0"/>
          <w:numId w:val="56"/>
        </w:numPr>
      </w:pPr>
      <w:r w:rsidRPr="00633370">
        <w:t xml:space="preserve">West Australia – Linda </w:t>
      </w:r>
      <w:proofErr w:type="spellStart"/>
      <w:r w:rsidRPr="00633370">
        <w:t>Higgie</w:t>
      </w:r>
      <w:proofErr w:type="spellEnd"/>
      <w:r w:rsidRPr="00633370">
        <w:t xml:space="preserve"> / Linda </w:t>
      </w:r>
      <w:proofErr w:type="spellStart"/>
      <w:r w:rsidRPr="00633370">
        <w:t>Sperring</w:t>
      </w:r>
      <w:proofErr w:type="spellEnd"/>
      <w:r w:rsidRPr="00633370">
        <w:t xml:space="preserve"> </w:t>
      </w:r>
    </w:p>
    <w:p w:rsidR="007D693F" w:rsidRDefault="007D693F">
      <w:pPr>
        <w:spacing w:before="0" w:after="0"/>
        <w:sectPr w:rsidR="007D693F" w:rsidSect="00224591">
          <w:headerReference w:type="default" r:id="rId19"/>
          <w:pgSz w:w="11900" w:h="16840"/>
          <w:pgMar w:top="1440" w:right="1440" w:bottom="1440" w:left="1440" w:header="708" w:footer="708" w:gutter="0"/>
          <w:cols w:space="708"/>
          <w:docGrid w:linePitch="360"/>
        </w:sectPr>
      </w:pPr>
    </w:p>
    <w:p w:rsidR="007D693F" w:rsidRDefault="008809C6" w:rsidP="000D6477">
      <w:pPr>
        <w:pStyle w:val="Heading2"/>
      </w:pPr>
      <w:bookmarkStart w:id="40" w:name="_Toc432683896"/>
      <w:r>
        <w:lastRenderedPageBreak/>
        <w:t>Appendix 3</w:t>
      </w:r>
      <w:r w:rsidR="007D693F">
        <w:tab/>
        <w:t>Principles for opportunity identification and strategy development</w:t>
      </w:r>
      <w:bookmarkEnd w:id="40"/>
    </w:p>
    <w:p w:rsidR="007D693F" w:rsidRDefault="007D693F" w:rsidP="007D693F">
      <w:r w:rsidRPr="00633370">
        <w:t>The AT Sector Reference Group developed the following principles to guide innovation opportunity identification and strategy development.</w:t>
      </w:r>
    </w:p>
    <w:p w:rsidR="007D693F" w:rsidRDefault="007D693F" w:rsidP="007D693F">
      <w:r w:rsidRPr="00FE2E49">
        <w:rPr>
          <w:noProof/>
          <w:lang w:val="en-AU" w:eastAsia="en-AU"/>
        </w:rPr>
        <w:drawing>
          <wp:inline distT="0" distB="0" distL="0" distR="0" wp14:anchorId="4C8D34F8" wp14:editId="6035FEB6">
            <wp:extent cx="8790909" cy="4893750"/>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t="19636"/>
                    <a:stretch/>
                  </pic:blipFill>
                  <pic:spPr bwMode="auto">
                    <a:xfrm>
                      <a:off x="0" y="0"/>
                      <a:ext cx="8790909" cy="4893750"/>
                    </a:xfrm>
                    <a:prstGeom prst="rect">
                      <a:avLst/>
                    </a:prstGeom>
                    <a:noFill/>
                    <a:ln>
                      <a:noFill/>
                    </a:ln>
                    <a:extLst>
                      <a:ext uri="{53640926-AAD7-44D8-BBD7-CCE9431645EC}">
                        <a14:shadowObscured xmlns:a14="http://schemas.microsoft.com/office/drawing/2010/main"/>
                      </a:ext>
                    </a:extLst>
                  </pic:spPr>
                </pic:pic>
              </a:graphicData>
            </a:graphic>
          </wp:inline>
        </w:drawing>
      </w:r>
      <w:r>
        <w:br w:type="page"/>
      </w:r>
    </w:p>
    <w:p w:rsidR="007D693F" w:rsidRDefault="007D693F" w:rsidP="000D6477">
      <w:pPr>
        <w:pStyle w:val="Heading2"/>
      </w:pPr>
      <w:bookmarkStart w:id="41" w:name="_Toc432683897"/>
      <w:r>
        <w:lastRenderedPageBreak/>
        <w:t xml:space="preserve">Appendix </w:t>
      </w:r>
      <w:r w:rsidR="008809C6">
        <w:t>4</w:t>
      </w:r>
      <w:r>
        <w:tab/>
        <w:t>Cornerstones of AT service delivery</w:t>
      </w:r>
      <w:bookmarkEnd w:id="41"/>
    </w:p>
    <w:p w:rsidR="007D693F" w:rsidRDefault="007D693F" w:rsidP="007D693F">
      <w:pPr>
        <w:pStyle w:val="ListParagraph"/>
        <w:ind w:left="0"/>
        <w:rPr>
          <w:lang w:val="en-US"/>
        </w:rPr>
      </w:pPr>
      <w:r>
        <w:t xml:space="preserve">The AT Sector Reference Group agreed on four AT elements or cornerstones that, from a participant perspective, need to be included in the delivery of AT </w:t>
      </w:r>
      <w:r w:rsidRPr="00DA7ED3">
        <w:t>services</w:t>
      </w:r>
      <w:r>
        <w:t>.</w:t>
      </w:r>
    </w:p>
    <w:p w:rsidR="007D693F" w:rsidRDefault="007D693F" w:rsidP="007D693F">
      <w:pPr>
        <w:pStyle w:val="ListParagraph"/>
        <w:ind w:left="0"/>
        <w:rPr>
          <w:lang w:val="en-US"/>
        </w:rPr>
      </w:pPr>
      <w:r w:rsidRPr="00443DE7">
        <w:rPr>
          <w:noProof/>
          <w:lang w:val="en-AU" w:eastAsia="en-AU"/>
        </w:rPr>
        <w:drawing>
          <wp:inline distT="0" distB="0" distL="0" distR="0" wp14:anchorId="1279662F" wp14:editId="5651D949">
            <wp:extent cx="8622245" cy="49318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t="14616" b="2811"/>
                    <a:stretch/>
                  </pic:blipFill>
                  <pic:spPr bwMode="auto">
                    <a:xfrm>
                      <a:off x="0" y="0"/>
                      <a:ext cx="8622245" cy="4931850"/>
                    </a:xfrm>
                    <a:prstGeom prst="rect">
                      <a:avLst/>
                    </a:prstGeom>
                    <a:noFill/>
                    <a:ln>
                      <a:noFill/>
                    </a:ln>
                    <a:extLst>
                      <a:ext uri="{53640926-AAD7-44D8-BBD7-CCE9431645EC}">
                        <a14:shadowObscured xmlns:a14="http://schemas.microsoft.com/office/drawing/2010/main"/>
                      </a:ext>
                    </a:extLst>
                  </pic:spPr>
                </pic:pic>
              </a:graphicData>
            </a:graphic>
          </wp:inline>
        </w:drawing>
      </w:r>
    </w:p>
    <w:p w:rsidR="007D693F" w:rsidRDefault="007D693F">
      <w:pPr>
        <w:spacing w:before="0" w:after="0"/>
      </w:pPr>
      <w:r>
        <w:br w:type="page"/>
      </w:r>
    </w:p>
    <w:p w:rsidR="007D693F" w:rsidRDefault="007D693F" w:rsidP="000D6477">
      <w:pPr>
        <w:pStyle w:val="Heading2"/>
      </w:pPr>
      <w:bookmarkStart w:id="42" w:name="_Toc432683898"/>
      <w:r>
        <w:lastRenderedPageBreak/>
        <w:t xml:space="preserve">Appendix </w:t>
      </w:r>
      <w:r w:rsidR="008809C6">
        <w:t>5</w:t>
      </w:r>
      <w:r>
        <w:tab/>
        <w:t>Participant capacity-building framework</w:t>
      </w:r>
      <w:bookmarkEnd w:id="42"/>
    </w:p>
    <w:p w:rsidR="00527F8B" w:rsidRDefault="00527F8B" w:rsidP="00527F8B">
      <w:pPr>
        <w:rPr>
          <w:b/>
          <w:sz w:val="24"/>
          <w:szCs w:val="24"/>
        </w:rPr>
      </w:pPr>
    </w:p>
    <w:p w:rsidR="00527F8B" w:rsidRPr="00633370" w:rsidRDefault="00527F8B" w:rsidP="00527F8B">
      <w:r w:rsidRPr="00131F0A">
        <w:rPr>
          <w:b/>
          <w:sz w:val="24"/>
          <w:szCs w:val="24"/>
        </w:rPr>
        <w:t>Over</w:t>
      </w:r>
      <w:r w:rsidRPr="00633370">
        <w:rPr>
          <w:b/>
          <w:sz w:val="24"/>
          <w:szCs w:val="24"/>
        </w:rPr>
        <w:t>view of tools and approach</w:t>
      </w:r>
    </w:p>
    <w:p w:rsidR="00527F8B" w:rsidRDefault="00527F8B" w:rsidP="00527F8B">
      <w:pPr>
        <w:sectPr w:rsidR="00527F8B" w:rsidSect="00527F8B">
          <w:headerReference w:type="default" r:id="rId22"/>
          <w:pgSz w:w="16840" w:h="11900" w:orient="landscape"/>
          <w:pgMar w:top="1440" w:right="1440" w:bottom="1440" w:left="1440" w:header="708" w:footer="708" w:gutter="0"/>
          <w:cols w:space="708"/>
          <w:docGrid w:linePitch="360"/>
        </w:sectPr>
      </w:pPr>
    </w:p>
    <w:p w:rsidR="00527F8B" w:rsidRPr="00633370" w:rsidRDefault="00527F8B" w:rsidP="00527F8B">
      <w:pPr>
        <w:rPr>
          <w:b/>
        </w:rPr>
      </w:pPr>
      <w:r w:rsidRPr="00633370">
        <w:lastRenderedPageBreak/>
        <w:t>The proposed NDIA Assistive Technology Assessment Framework starts with the participant’s capacity to assess and select assistive technology solutions. Next, capacity building activities are considered. Finally the need for professional support to select assistive technology products is considered in light of the participant’s capacity.</w:t>
      </w:r>
    </w:p>
    <w:p w:rsidR="00527F8B" w:rsidRPr="00633370" w:rsidRDefault="00527F8B" w:rsidP="00527F8B">
      <w:pPr>
        <w:rPr>
          <w:b/>
        </w:rPr>
      </w:pPr>
      <w:r w:rsidRPr="00633370">
        <w:rPr>
          <w:b/>
        </w:rPr>
        <w:t>Three simple tables</w:t>
      </w:r>
    </w:p>
    <w:p w:rsidR="00527F8B" w:rsidRPr="00633370" w:rsidRDefault="00527F8B" w:rsidP="00527F8B">
      <w:r w:rsidRPr="00633370">
        <w:t xml:space="preserve">Table 1 - Aims to assist a participant in determining the level and type of support they require to make effective assistive technology product selections. It can also be used to identify the type of supports that could be used to increase the participant’s capacity to make more independent choices or to engage more actively in assistive technology selection. The participant could do this independently or they could be supported to evaluate their expertise in each area. </w:t>
      </w:r>
    </w:p>
    <w:p w:rsidR="00527F8B" w:rsidRPr="00633370" w:rsidRDefault="00527F8B" w:rsidP="00527F8B">
      <w:pPr>
        <w:rPr>
          <w:b/>
        </w:rPr>
      </w:pPr>
      <w:r>
        <w:rPr>
          <w:b/>
        </w:rPr>
        <w:br w:type="column"/>
      </w:r>
      <w:r w:rsidRPr="00633370">
        <w:rPr>
          <w:b/>
        </w:rPr>
        <w:lastRenderedPageBreak/>
        <w:t xml:space="preserve">Using the Tables 2 and 3 </w:t>
      </w:r>
    </w:p>
    <w:p w:rsidR="00527F8B" w:rsidRPr="00633370" w:rsidRDefault="00527F8B" w:rsidP="00527F8B">
      <w:r w:rsidRPr="00633370">
        <w:t xml:space="preserve">Step 1: Evaluate the participant’s current skills knowledge and capacity for self-directing assistive technology solutions. Looking at Table 1, column </w:t>
      </w:r>
      <w:proofErr w:type="gramStart"/>
      <w:r w:rsidRPr="00633370">
        <w:t>A</w:t>
      </w:r>
      <w:proofErr w:type="gramEnd"/>
      <w:r w:rsidRPr="00633370">
        <w:t>, work down the column and circle the description that best describes the participant’s current experience and life circumstances in relation to making assistive technology product choices. Repeat this process for columns B, C, and D.</w:t>
      </w:r>
    </w:p>
    <w:p w:rsidR="00527F8B" w:rsidRPr="00633370" w:rsidRDefault="00527F8B" w:rsidP="00527F8B">
      <w:r w:rsidRPr="00633370">
        <w:t>Step 2: For participants with current skill levels of ‘novice’ or ‘developing’ consider how the participant’s capacity may be enhanced using Table 2. These capacity building activities may be implemented by an allied health professional employed to assist in assistive technology product selection and solution design or they may be implemented independently.</w:t>
      </w:r>
    </w:p>
    <w:p w:rsidR="00527F8B" w:rsidRDefault="00527F8B" w:rsidP="00527F8B">
      <w:pPr>
        <w:sectPr w:rsidR="00527F8B" w:rsidSect="00527F8B">
          <w:type w:val="continuous"/>
          <w:pgSz w:w="16840" w:h="11900" w:orient="landscape"/>
          <w:pgMar w:top="1440" w:right="1440" w:bottom="1440" w:left="1440" w:header="708" w:footer="708" w:gutter="0"/>
          <w:cols w:num="2" w:space="708"/>
          <w:docGrid w:linePitch="360"/>
        </w:sectPr>
      </w:pPr>
      <w:r w:rsidRPr="00633370">
        <w:t>Step 3: Using Table 3 make a recommendation in regards to the level professional support required. Consider the persons current capacity, capacity building activities and the equipment’s complexity.</w:t>
      </w:r>
    </w:p>
    <w:p w:rsidR="00527F8B" w:rsidRDefault="00527F8B" w:rsidP="00527F8B">
      <w:pPr>
        <w:sectPr w:rsidR="00527F8B" w:rsidSect="00527F8B">
          <w:pgSz w:w="16840" w:h="11900" w:orient="landscape"/>
          <w:pgMar w:top="1440" w:right="1440" w:bottom="1440" w:left="1440" w:header="708" w:footer="708" w:gutter="0"/>
          <w:cols w:space="708"/>
          <w:docGrid w:linePitch="360"/>
        </w:sectPr>
      </w:pPr>
    </w:p>
    <w:p w:rsidR="00527F8B" w:rsidRPr="00633370" w:rsidRDefault="00527F8B" w:rsidP="00527F8B"/>
    <w:p w:rsidR="00E42768" w:rsidRPr="00011C2B" w:rsidRDefault="00E42768" w:rsidP="00E42768">
      <w:pPr>
        <w:pStyle w:val="Caption"/>
        <w:jc w:val="center"/>
        <w:rPr>
          <w:sz w:val="24"/>
          <w:szCs w:val="24"/>
        </w:rPr>
      </w:pPr>
      <w:r w:rsidRPr="00011C2B">
        <w:rPr>
          <w:sz w:val="24"/>
          <w:szCs w:val="24"/>
        </w:rPr>
        <w:t xml:space="preserve">Table 1: </w:t>
      </w:r>
      <w:r w:rsidRPr="00011C2B">
        <w:rPr>
          <w:sz w:val="24"/>
          <w:szCs w:val="24"/>
        </w:rPr>
        <w:tab/>
        <w:t>Levels of participants’ current capacity in relation to AT selection and implementation</w:t>
      </w:r>
    </w:p>
    <w:tbl>
      <w:tblPr>
        <w:tblStyle w:val="TableGrid"/>
        <w:tblW w:w="14283" w:type="dxa"/>
        <w:tblLayout w:type="fixed"/>
        <w:tblLook w:val="04A0" w:firstRow="1" w:lastRow="0" w:firstColumn="1" w:lastColumn="0" w:noHBand="0" w:noVBand="1"/>
      </w:tblPr>
      <w:tblGrid>
        <w:gridCol w:w="1384"/>
        <w:gridCol w:w="3224"/>
        <w:gridCol w:w="3155"/>
        <w:gridCol w:w="3295"/>
        <w:gridCol w:w="3225"/>
      </w:tblGrid>
      <w:tr w:rsidR="00527F8B" w:rsidRPr="00633370" w:rsidTr="00527F8B">
        <w:trPr>
          <w:trHeight w:val="144"/>
          <w:tblHeader/>
        </w:trPr>
        <w:tc>
          <w:tcPr>
            <w:tcW w:w="1384" w:type="dxa"/>
            <w:tcBorders>
              <w:bottom w:val="single" w:sz="4" w:space="0" w:color="auto"/>
            </w:tcBorders>
            <w:shd w:val="clear" w:color="auto" w:fill="660066"/>
          </w:tcPr>
          <w:p w:rsidR="00527F8B" w:rsidRPr="00D91881" w:rsidRDefault="00527F8B" w:rsidP="00527F8B">
            <w:pPr>
              <w:rPr>
                <w:b/>
              </w:rPr>
            </w:pPr>
            <w:r w:rsidRPr="00D91881">
              <w:rPr>
                <w:b/>
              </w:rPr>
              <w:t>Current capacity</w:t>
            </w:r>
          </w:p>
        </w:tc>
        <w:tc>
          <w:tcPr>
            <w:tcW w:w="3224" w:type="dxa"/>
            <w:tcBorders>
              <w:bottom w:val="single" w:sz="4" w:space="0" w:color="auto"/>
            </w:tcBorders>
            <w:shd w:val="clear" w:color="auto" w:fill="660066"/>
          </w:tcPr>
          <w:p w:rsidR="00527F8B" w:rsidRPr="00D91881" w:rsidRDefault="00527F8B" w:rsidP="00527F8B">
            <w:pPr>
              <w:rPr>
                <w:b/>
              </w:rPr>
            </w:pPr>
            <w:r w:rsidRPr="00D91881">
              <w:rPr>
                <w:b/>
              </w:rPr>
              <w:t>Experience using AT, current circumstances and understanding of impact of impairment</w:t>
            </w:r>
          </w:p>
        </w:tc>
        <w:tc>
          <w:tcPr>
            <w:tcW w:w="3155" w:type="dxa"/>
            <w:tcBorders>
              <w:bottom w:val="single" w:sz="4" w:space="0" w:color="auto"/>
            </w:tcBorders>
            <w:shd w:val="clear" w:color="auto" w:fill="660066"/>
          </w:tcPr>
          <w:p w:rsidR="00527F8B" w:rsidRPr="00D91881" w:rsidRDefault="00527F8B" w:rsidP="00527F8B">
            <w:pPr>
              <w:rPr>
                <w:b/>
              </w:rPr>
            </w:pPr>
            <w:r w:rsidRPr="00D91881">
              <w:rPr>
                <w:b/>
              </w:rPr>
              <w:t>Ability to access AT information</w:t>
            </w:r>
          </w:p>
        </w:tc>
        <w:tc>
          <w:tcPr>
            <w:tcW w:w="3295" w:type="dxa"/>
            <w:tcBorders>
              <w:bottom w:val="single" w:sz="4" w:space="0" w:color="auto"/>
            </w:tcBorders>
            <w:shd w:val="clear" w:color="auto" w:fill="660066"/>
          </w:tcPr>
          <w:p w:rsidR="00527F8B" w:rsidRPr="00D91881" w:rsidRDefault="00527F8B" w:rsidP="00527F8B">
            <w:pPr>
              <w:rPr>
                <w:b/>
              </w:rPr>
            </w:pPr>
            <w:r w:rsidRPr="00D91881">
              <w:rPr>
                <w:b/>
              </w:rPr>
              <w:t>Access to suppliers and trial equipment</w:t>
            </w:r>
          </w:p>
        </w:tc>
        <w:tc>
          <w:tcPr>
            <w:tcW w:w="3225" w:type="dxa"/>
            <w:tcBorders>
              <w:bottom w:val="single" w:sz="4" w:space="0" w:color="auto"/>
            </w:tcBorders>
            <w:shd w:val="clear" w:color="auto" w:fill="660066"/>
          </w:tcPr>
          <w:p w:rsidR="00527F8B" w:rsidRPr="00633370" w:rsidRDefault="00527F8B" w:rsidP="00527F8B">
            <w:pPr>
              <w:rPr>
                <w:b/>
              </w:rPr>
            </w:pPr>
            <w:r w:rsidRPr="00D91881">
              <w:rPr>
                <w:b/>
              </w:rPr>
              <w:t>Capacity and experience self-directing AT choices</w:t>
            </w:r>
          </w:p>
        </w:tc>
      </w:tr>
      <w:tr w:rsidR="00527F8B" w:rsidRPr="00633370" w:rsidTr="00527F8B">
        <w:trPr>
          <w:trHeight w:val="1133"/>
        </w:trPr>
        <w:tc>
          <w:tcPr>
            <w:tcW w:w="1384" w:type="dxa"/>
            <w:tcBorders>
              <w:bottom w:val="single" w:sz="4" w:space="0" w:color="auto"/>
            </w:tcBorders>
            <w:shd w:val="clear" w:color="auto" w:fill="D9D9D9" w:themeFill="background1" w:themeFillShade="D9"/>
          </w:tcPr>
          <w:p w:rsidR="00527F8B" w:rsidRPr="00633370" w:rsidRDefault="00527F8B" w:rsidP="00527F8B">
            <w:pPr>
              <w:rPr>
                <w:b/>
              </w:rPr>
            </w:pPr>
            <w:r w:rsidRPr="00633370">
              <w:rPr>
                <w:b/>
              </w:rPr>
              <w:t>Novice</w:t>
            </w:r>
          </w:p>
        </w:tc>
        <w:tc>
          <w:tcPr>
            <w:tcW w:w="3224" w:type="dxa"/>
            <w:tcBorders>
              <w:bottom w:val="single" w:sz="4" w:space="0" w:color="auto"/>
            </w:tcBorders>
            <w:shd w:val="clear" w:color="auto" w:fill="D9D9D9" w:themeFill="background1" w:themeFillShade="D9"/>
          </w:tcPr>
          <w:p w:rsidR="00527F8B" w:rsidRPr="00633370" w:rsidRDefault="00527F8B" w:rsidP="00527F8B">
            <w:r w:rsidRPr="00633370">
              <w:t>The person has little experience using AT or their needs, goals, or living situation are new or changing significantly. For example:</w:t>
            </w:r>
          </w:p>
          <w:p w:rsidR="00527F8B" w:rsidRPr="00633370" w:rsidRDefault="00527F8B" w:rsidP="00527F8B">
            <w:r w:rsidRPr="00633370">
              <w:t xml:space="preserve">Onset of the condition or impairment is recent </w:t>
            </w:r>
          </w:p>
          <w:p w:rsidR="00527F8B" w:rsidRPr="00633370" w:rsidRDefault="00527F8B" w:rsidP="00527F8B">
            <w:r w:rsidRPr="00633370">
              <w:t>There are recent significant changes such as improvement or deterioration in condition</w:t>
            </w:r>
          </w:p>
          <w:p w:rsidR="00527F8B" w:rsidRPr="00633370" w:rsidRDefault="00527F8B" w:rsidP="00527F8B">
            <w:r w:rsidRPr="00633370">
              <w:t xml:space="preserve">The person is entering a period of significant life transition </w:t>
            </w:r>
          </w:p>
        </w:tc>
        <w:tc>
          <w:tcPr>
            <w:tcW w:w="3155" w:type="dxa"/>
            <w:tcBorders>
              <w:bottom w:val="single" w:sz="4" w:space="0" w:color="auto"/>
            </w:tcBorders>
            <w:shd w:val="clear" w:color="auto" w:fill="D9D9D9" w:themeFill="background1" w:themeFillShade="D9"/>
          </w:tcPr>
          <w:p w:rsidR="00527F8B" w:rsidRPr="00633370" w:rsidRDefault="00527F8B" w:rsidP="00527F8B">
            <w:r w:rsidRPr="00633370">
              <w:t>The person is unable to access information about the AT and its expected impact. For example:</w:t>
            </w:r>
          </w:p>
          <w:p w:rsidR="00527F8B" w:rsidRPr="00633370" w:rsidRDefault="00527F8B" w:rsidP="00527F8B">
            <w:r w:rsidRPr="00633370">
              <w:t>They have significant difficulty accessing or understanding information. E.g. due to illiteracy</w:t>
            </w:r>
          </w:p>
          <w:p w:rsidR="00527F8B" w:rsidRPr="00633370" w:rsidRDefault="00527F8B" w:rsidP="00527F8B">
            <w:r w:rsidRPr="00633370">
              <w:t>They do not have access to the internet or alternate information sources</w:t>
            </w:r>
          </w:p>
          <w:p w:rsidR="00527F8B" w:rsidRPr="00633370" w:rsidRDefault="00527F8B" w:rsidP="00527F8B">
            <w:r w:rsidRPr="00633370">
              <w:t>Meaningful information about the relevant AT is not available or is not applicable to their situation</w:t>
            </w:r>
          </w:p>
        </w:tc>
        <w:tc>
          <w:tcPr>
            <w:tcW w:w="3295" w:type="dxa"/>
            <w:tcBorders>
              <w:bottom w:val="single" w:sz="4" w:space="0" w:color="auto"/>
            </w:tcBorders>
            <w:shd w:val="clear" w:color="auto" w:fill="D9D9D9" w:themeFill="background1" w:themeFillShade="D9"/>
          </w:tcPr>
          <w:p w:rsidR="00527F8B" w:rsidRPr="00633370" w:rsidRDefault="00527F8B" w:rsidP="00527F8B">
            <w:r w:rsidRPr="00633370">
              <w:t>The person does not have ready access equipment for trial for an effective period. For example due to:</w:t>
            </w:r>
          </w:p>
          <w:p w:rsidR="00527F8B" w:rsidRPr="00633370" w:rsidRDefault="00527F8B" w:rsidP="00527F8B">
            <w:r w:rsidRPr="00633370">
              <w:t>Living remotely</w:t>
            </w:r>
          </w:p>
          <w:p w:rsidR="00527F8B" w:rsidRPr="00633370" w:rsidRDefault="00527F8B" w:rsidP="00527F8B">
            <w:pPr>
              <w:rPr>
                <w:rFonts w:asciiTheme="minorHAnsi" w:hAnsiTheme="minorHAnsi"/>
              </w:rPr>
            </w:pPr>
            <w:r w:rsidRPr="00633370">
              <w:t>The Assistive Technology solution required is usually customised or custom made for their needs</w:t>
            </w:r>
          </w:p>
          <w:p w:rsidR="00527F8B" w:rsidRPr="00633370" w:rsidRDefault="00527F8B" w:rsidP="00527F8B">
            <w:r w:rsidRPr="00633370">
              <w:t>The equipment is not available in Australia</w:t>
            </w:r>
          </w:p>
        </w:tc>
        <w:tc>
          <w:tcPr>
            <w:tcW w:w="3225" w:type="dxa"/>
            <w:tcBorders>
              <w:bottom w:val="single" w:sz="4" w:space="0" w:color="auto"/>
            </w:tcBorders>
            <w:shd w:val="clear" w:color="auto" w:fill="D9D9D9" w:themeFill="background1" w:themeFillShade="D9"/>
          </w:tcPr>
          <w:p w:rsidR="00527F8B" w:rsidRPr="00633370" w:rsidRDefault="00527F8B" w:rsidP="00527F8B">
            <w:r w:rsidRPr="00633370">
              <w:t xml:space="preserve">The person has not previously made AT choices or engaged with a supplier. </w:t>
            </w:r>
          </w:p>
          <w:p w:rsidR="00527F8B" w:rsidRPr="00633370" w:rsidRDefault="00527F8B" w:rsidP="00527F8B">
            <w:r w:rsidRPr="00633370">
              <w:t>OR</w:t>
            </w:r>
          </w:p>
          <w:p w:rsidR="00527F8B" w:rsidRPr="00633370" w:rsidRDefault="00527F8B" w:rsidP="00527F8B">
            <w:r w:rsidRPr="00633370">
              <w:t xml:space="preserve">The person will require substantial support to indicate their preferences or make AT choices </w:t>
            </w:r>
          </w:p>
          <w:p w:rsidR="00527F8B" w:rsidRPr="00633370" w:rsidRDefault="00527F8B" w:rsidP="00527F8B">
            <w:r w:rsidRPr="00633370">
              <w:t>OR</w:t>
            </w:r>
          </w:p>
          <w:p w:rsidR="00527F8B" w:rsidRPr="00633370" w:rsidRDefault="00527F8B" w:rsidP="00527F8B">
            <w:r w:rsidRPr="00633370">
              <w:t>The person has behaviours of concern which impact decision making or negotiating and engaging with a supplier</w:t>
            </w:r>
          </w:p>
          <w:p w:rsidR="00527F8B" w:rsidRPr="00633370" w:rsidRDefault="00527F8B" w:rsidP="00527F8B">
            <w:r w:rsidRPr="00633370">
              <w:t>OR</w:t>
            </w:r>
          </w:p>
          <w:p w:rsidR="00527F8B" w:rsidRPr="00633370" w:rsidRDefault="00527F8B" w:rsidP="00527F8B">
            <w:r w:rsidRPr="00633370">
              <w:t>The person’s circle of support lacks sufficient experience or capacity to assist</w:t>
            </w:r>
          </w:p>
        </w:tc>
      </w:tr>
      <w:tr w:rsidR="00527F8B" w:rsidRPr="00633370" w:rsidTr="00527F8B">
        <w:trPr>
          <w:trHeight w:val="1133"/>
        </w:trPr>
        <w:tc>
          <w:tcPr>
            <w:tcW w:w="1384" w:type="dxa"/>
            <w:tcBorders>
              <w:bottom w:val="single" w:sz="4" w:space="0" w:color="auto"/>
            </w:tcBorders>
            <w:shd w:val="clear" w:color="auto" w:fill="FFFFFF" w:themeFill="background1"/>
          </w:tcPr>
          <w:p w:rsidR="00527F8B" w:rsidRPr="00633370" w:rsidRDefault="00527F8B" w:rsidP="00527F8B">
            <w:pPr>
              <w:rPr>
                <w:b/>
              </w:rPr>
            </w:pPr>
            <w:r w:rsidRPr="00633370">
              <w:rPr>
                <w:b/>
              </w:rPr>
              <w:t>Developing</w:t>
            </w:r>
          </w:p>
        </w:tc>
        <w:tc>
          <w:tcPr>
            <w:tcW w:w="3224" w:type="dxa"/>
            <w:tcBorders>
              <w:bottom w:val="single" w:sz="4" w:space="0" w:color="auto"/>
            </w:tcBorders>
            <w:shd w:val="clear" w:color="auto" w:fill="FFFFFF" w:themeFill="background1"/>
          </w:tcPr>
          <w:p w:rsidR="00527F8B" w:rsidRPr="00633370" w:rsidRDefault="00527F8B" w:rsidP="00527F8B">
            <w:r w:rsidRPr="00633370">
              <w:t>The person has experience using AT to meet their needs that is not directly applicable. For example there is:</w:t>
            </w:r>
          </w:p>
          <w:p w:rsidR="00527F8B" w:rsidRPr="00633370" w:rsidRDefault="00527F8B" w:rsidP="00527F8B">
            <w:r w:rsidRPr="00633370">
              <w:t>A gradual change in condition for example due to ageing</w:t>
            </w:r>
          </w:p>
          <w:p w:rsidR="00527F8B" w:rsidRPr="00633370" w:rsidRDefault="00527F8B" w:rsidP="00527F8B">
            <w:r w:rsidRPr="00633370">
              <w:t xml:space="preserve">A change in place of work or study </w:t>
            </w:r>
            <w:r w:rsidRPr="00633370">
              <w:lastRenderedPageBreak/>
              <w:t>or moving to a new but similar home</w:t>
            </w:r>
          </w:p>
          <w:p w:rsidR="00527F8B" w:rsidRPr="00633370" w:rsidRDefault="00527F8B" w:rsidP="00527F8B">
            <w:r w:rsidRPr="00633370">
              <w:t>A significant development in the availability or type of AT the person can access</w:t>
            </w:r>
          </w:p>
        </w:tc>
        <w:tc>
          <w:tcPr>
            <w:tcW w:w="3155" w:type="dxa"/>
            <w:tcBorders>
              <w:bottom w:val="single" w:sz="4" w:space="0" w:color="auto"/>
            </w:tcBorders>
            <w:shd w:val="clear" w:color="auto" w:fill="FFFFFF" w:themeFill="background1"/>
          </w:tcPr>
          <w:p w:rsidR="00527F8B" w:rsidRPr="00633370" w:rsidRDefault="00527F8B" w:rsidP="00527F8B">
            <w:r w:rsidRPr="00633370">
              <w:lastRenderedPageBreak/>
              <w:t>The person is able to access some information about AT but it is less than optimal in some way. For example the person needs:</w:t>
            </w:r>
          </w:p>
          <w:p w:rsidR="00527F8B" w:rsidRPr="00633370" w:rsidRDefault="00527F8B" w:rsidP="00527F8B">
            <w:r w:rsidRPr="00633370">
              <w:t>Assistance to find available electronic information</w:t>
            </w:r>
          </w:p>
          <w:p w:rsidR="00527F8B" w:rsidRPr="00633370" w:rsidRDefault="00527F8B" w:rsidP="00527F8B">
            <w:r w:rsidRPr="00633370">
              <w:t xml:space="preserve">Support to access information </w:t>
            </w:r>
            <w:r w:rsidRPr="00633370">
              <w:lastRenderedPageBreak/>
              <w:t>lines or to request assistance from suppliers</w:t>
            </w:r>
          </w:p>
          <w:p w:rsidR="00527F8B" w:rsidRPr="00633370" w:rsidRDefault="00527F8B" w:rsidP="00527F8B">
            <w:r w:rsidRPr="00633370">
              <w:t>Help to navigate, distil and evaluate the amount of information available</w:t>
            </w:r>
          </w:p>
          <w:p w:rsidR="00527F8B" w:rsidRPr="00633370" w:rsidRDefault="00527F8B" w:rsidP="00527F8B">
            <w:r w:rsidRPr="00633370">
              <w:t>Help to work out a strategy to fill information gaps</w:t>
            </w:r>
          </w:p>
        </w:tc>
        <w:tc>
          <w:tcPr>
            <w:tcW w:w="3295" w:type="dxa"/>
            <w:tcBorders>
              <w:bottom w:val="single" w:sz="4" w:space="0" w:color="auto"/>
            </w:tcBorders>
            <w:shd w:val="clear" w:color="auto" w:fill="FFFFFF" w:themeFill="background1"/>
          </w:tcPr>
          <w:p w:rsidR="00527F8B" w:rsidRPr="00633370" w:rsidRDefault="00527F8B" w:rsidP="00527F8B">
            <w:r w:rsidRPr="00633370">
              <w:lastRenderedPageBreak/>
              <w:t>The person can access trial equipment but trial is not optimal due to:</w:t>
            </w:r>
          </w:p>
          <w:p w:rsidR="00527F8B" w:rsidRPr="00633370" w:rsidRDefault="00527F8B" w:rsidP="00527F8B">
            <w:r w:rsidRPr="00633370">
              <w:t>Exact model is not available to trial</w:t>
            </w:r>
          </w:p>
          <w:p w:rsidR="00527F8B" w:rsidRPr="00633370" w:rsidRDefault="00527F8B" w:rsidP="00527F8B">
            <w:r w:rsidRPr="00633370">
              <w:t xml:space="preserve">Equipment could not be trialled in all environments </w:t>
            </w:r>
          </w:p>
          <w:p w:rsidR="00527F8B" w:rsidRPr="00633370" w:rsidRDefault="00527F8B" w:rsidP="00527F8B">
            <w:r w:rsidRPr="00633370">
              <w:lastRenderedPageBreak/>
              <w:t>Equipment could only be briefly trialled and the trial time is insufficient to demonstrate its effects and limitations.</w:t>
            </w:r>
          </w:p>
        </w:tc>
        <w:tc>
          <w:tcPr>
            <w:tcW w:w="3225" w:type="dxa"/>
            <w:tcBorders>
              <w:bottom w:val="single" w:sz="4" w:space="0" w:color="auto"/>
            </w:tcBorders>
            <w:shd w:val="clear" w:color="auto" w:fill="FFFFFF" w:themeFill="background1"/>
          </w:tcPr>
          <w:p w:rsidR="00527F8B" w:rsidRPr="00633370" w:rsidRDefault="00527F8B" w:rsidP="00527F8B">
            <w:r w:rsidRPr="00633370">
              <w:lastRenderedPageBreak/>
              <w:t xml:space="preserve">The person has not previously directed AT choices but has directed other supports. </w:t>
            </w:r>
          </w:p>
          <w:p w:rsidR="00527F8B" w:rsidRPr="00633370" w:rsidRDefault="00527F8B" w:rsidP="00527F8B">
            <w:r w:rsidRPr="00633370">
              <w:t>OR</w:t>
            </w:r>
          </w:p>
          <w:p w:rsidR="00527F8B" w:rsidRPr="00633370" w:rsidRDefault="00527F8B" w:rsidP="00527F8B">
            <w:r w:rsidRPr="00633370">
              <w:t xml:space="preserve">The person requires some support to set up effective trials such as interacting with suppliers/ allied </w:t>
            </w:r>
            <w:r w:rsidRPr="00633370">
              <w:lastRenderedPageBreak/>
              <w:t>health but can then make AT choices and engage a provider</w:t>
            </w:r>
          </w:p>
          <w:p w:rsidR="00527F8B" w:rsidRPr="00633370" w:rsidRDefault="00527F8B" w:rsidP="00527F8B">
            <w:pPr>
              <w:tabs>
                <w:tab w:val="center" w:pos="4320"/>
                <w:tab w:val="right" w:pos="8640"/>
              </w:tabs>
            </w:pPr>
          </w:p>
        </w:tc>
      </w:tr>
      <w:tr w:rsidR="00527F8B" w:rsidRPr="00633370" w:rsidTr="00527F8B">
        <w:trPr>
          <w:trHeight w:val="1133"/>
        </w:trPr>
        <w:tc>
          <w:tcPr>
            <w:tcW w:w="1384" w:type="dxa"/>
            <w:shd w:val="clear" w:color="auto" w:fill="D9D9D9" w:themeFill="background1" w:themeFillShade="D9"/>
          </w:tcPr>
          <w:p w:rsidR="00527F8B" w:rsidRPr="00633370" w:rsidRDefault="00527F8B" w:rsidP="00527F8B">
            <w:pPr>
              <w:rPr>
                <w:b/>
              </w:rPr>
            </w:pPr>
            <w:r w:rsidRPr="00633370">
              <w:rPr>
                <w:b/>
              </w:rPr>
              <w:lastRenderedPageBreak/>
              <w:t>Expert</w:t>
            </w:r>
          </w:p>
        </w:tc>
        <w:tc>
          <w:tcPr>
            <w:tcW w:w="3224" w:type="dxa"/>
            <w:shd w:val="clear" w:color="auto" w:fill="D9D9D9" w:themeFill="background1" w:themeFillShade="D9"/>
          </w:tcPr>
          <w:p w:rsidR="00527F8B" w:rsidRPr="00633370" w:rsidRDefault="00527F8B" w:rsidP="00527F8B">
            <w:r w:rsidRPr="00633370">
              <w:t>The person has significant experience using AT for an impairment that is stable or changing minimally. Their environments of use and life circumstances are not significantly changed and the developments in the AT are incremental.</w:t>
            </w:r>
          </w:p>
        </w:tc>
        <w:tc>
          <w:tcPr>
            <w:tcW w:w="3155" w:type="dxa"/>
            <w:shd w:val="clear" w:color="auto" w:fill="D9D9D9" w:themeFill="background1" w:themeFillShade="D9"/>
          </w:tcPr>
          <w:p w:rsidR="00527F8B" w:rsidRPr="00633370" w:rsidRDefault="00527F8B" w:rsidP="00527F8B">
            <w:r w:rsidRPr="00633370">
              <w:t>The person is adept at finding information, distilling it and evaluating it. E.g. the person can find and sort information and distinguish between marketing claims and information which may demonstrate effectiveness. The person is able to identify information gaps and devise a strategy to fill them.</w:t>
            </w:r>
          </w:p>
        </w:tc>
        <w:tc>
          <w:tcPr>
            <w:tcW w:w="3295" w:type="dxa"/>
            <w:shd w:val="clear" w:color="auto" w:fill="D9D9D9" w:themeFill="background1" w:themeFillShade="D9"/>
          </w:tcPr>
          <w:p w:rsidR="00527F8B" w:rsidRPr="00633370" w:rsidRDefault="00527F8B" w:rsidP="00527F8B">
            <w:r w:rsidRPr="00633370">
              <w:t>The person has had access to an optimal trial. A trial can take place in the person’s place of intended use for sufficient period to make decision about effectiveness. OR</w:t>
            </w:r>
          </w:p>
          <w:p w:rsidR="00527F8B" w:rsidRPr="00633370" w:rsidRDefault="00527F8B" w:rsidP="00527F8B">
            <w:r w:rsidRPr="00633370">
              <w:t>The Assistive Technology solution is replacing an effective item with a like product.</w:t>
            </w:r>
          </w:p>
        </w:tc>
        <w:tc>
          <w:tcPr>
            <w:tcW w:w="3225" w:type="dxa"/>
            <w:shd w:val="clear" w:color="auto" w:fill="D9D9D9" w:themeFill="background1" w:themeFillShade="D9"/>
          </w:tcPr>
          <w:p w:rsidR="00527F8B" w:rsidRPr="00633370" w:rsidRDefault="00527F8B" w:rsidP="00527F8B">
            <w:r w:rsidRPr="00633370">
              <w:t>The person has previously made effective AT choices and managed engagement with all provider(s)</w:t>
            </w:r>
          </w:p>
        </w:tc>
      </w:tr>
    </w:tbl>
    <w:p w:rsidR="00527F8B" w:rsidRPr="00633370" w:rsidRDefault="00527F8B" w:rsidP="00527F8B">
      <w:pPr>
        <w:spacing w:before="0" w:after="0"/>
        <w:rPr>
          <w:b/>
        </w:rPr>
      </w:pPr>
      <w:r w:rsidRPr="00633370">
        <w:rPr>
          <w:b/>
        </w:rPr>
        <w:br w:type="page"/>
      </w:r>
    </w:p>
    <w:p w:rsidR="00E42768" w:rsidRPr="00011C2B" w:rsidRDefault="00E42768" w:rsidP="00E42768">
      <w:pPr>
        <w:pStyle w:val="Caption"/>
        <w:jc w:val="center"/>
        <w:rPr>
          <w:sz w:val="24"/>
          <w:szCs w:val="24"/>
        </w:rPr>
      </w:pPr>
      <w:r w:rsidRPr="004C5694">
        <w:rPr>
          <w:sz w:val="24"/>
          <w:szCs w:val="24"/>
        </w:rPr>
        <w:lastRenderedPageBreak/>
        <w:t xml:space="preserve">Table 2: </w:t>
      </w:r>
      <w:r w:rsidRPr="00011C2B">
        <w:rPr>
          <w:sz w:val="24"/>
          <w:szCs w:val="24"/>
        </w:rPr>
        <w:tab/>
        <w:t>Suggestions for building participant capacity</w:t>
      </w:r>
    </w:p>
    <w:tbl>
      <w:tblPr>
        <w:tblStyle w:val="TableGrid"/>
        <w:tblW w:w="0" w:type="auto"/>
        <w:tblLook w:val="04A0" w:firstRow="1" w:lastRow="0" w:firstColumn="1" w:lastColumn="0" w:noHBand="0" w:noVBand="1"/>
      </w:tblPr>
      <w:tblGrid>
        <w:gridCol w:w="3393"/>
        <w:gridCol w:w="3394"/>
        <w:gridCol w:w="3394"/>
        <w:gridCol w:w="3394"/>
      </w:tblGrid>
      <w:tr w:rsidR="00527F8B" w:rsidRPr="00633370" w:rsidTr="00527F8B">
        <w:trPr>
          <w:tblHeader/>
        </w:trPr>
        <w:tc>
          <w:tcPr>
            <w:tcW w:w="3393" w:type="dxa"/>
            <w:shd w:val="clear" w:color="auto" w:fill="660066"/>
          </w:tcPr>
          <w:p w:rsidR="00527F8B" w:rsidRPr="00D91881" w:rsidRDefault="00527F8B" w:rsidP="00527F8B">
            <w:pPr>
              <w:rPr>
                <w:b/>
              </w:rPr>
            </w:pPr>
            <w:r w:rsidRPr="00D91881">
              <w:rPr>
                <w:b/>
              </w:rPr>
              <w:t>Participant’s relevant AT experience in relation to their needs</w:t>
            </w:r>
          </w:p>
        </w:tc>
        <w:tc>
          <w:tcPr>
            <w:tcW w:w="3394" w:type="dxa"/>
            <w:shd w:val="clear" w:color="auto" w:fill="660066"/>
          </w:tcPr>
          <w:p w:rsidR="00527F8B" w:rsidRPr="00D91881" w:rsidRDefault="00527F8B" w:rsidP="00527F8B">
            <w:pPr>
              <w:rPr>
                <w:b/>
              </w:rPr>
            </w:pPr>
            <w:r w:rsidRPr="00D91881">
              <w:rPr>
                <w:b/>
              </w:rPr>
              <w:t>Participants ability to access AT information</w:t>
            </w:r>
          </w:p>
        </w:tc>
        <w:tc>
          <w:tcPr>
            <w:tcW w:w="3394" w:type="dxa"/>
            <w:shd w:val="clear" w:color="auto" w:fill="660066"/>
          </w:tcPr>
          <w:p w:rsidR="00527F8B" w:rsidRPr="00D91881" w:rsidRDefault="00527F8B" w:rsidP="00527F8B">
            <w:pPr>
              <w:rPr>
                <w:b/>
              </w:rPr>
            </w:pPr>
            <w:r w:rsidRPr="00D91881">
              <w:rPr>
                <w:b/>
              </w:rPr>
              <w:t>Participants access to trial equipment</w:t>
            </w:r>
          </w:p>
        </w:tc>
        <w:tc>
          <w:tcPr>
            <w:tcW w:w="3394" w:type="dxa"/>
            <w:shd w:val="clear" w:color="auto" w:fill="660066"/>
          </w:tcPr>
          <w:p w:rsidR="00527F8B" w:rsidRPr="00633370" w:rsidRDefault="00527F8B" w:rsidP="00527F8B">
            <w:pPr>
              <w:rPr>
                <w:b/>
              </w:rPr>
            </w:pPr>
            <w:r w:rsidRPr="00D91881">
              <w:rPr>
                <w:b/>
              </w:rPr>
              <w:t>Participants capacity and experience self-directing AT choices</w:t>
            </w:r>
          </w:p>
        </w:tc>
      </w:tr>
      <w:tr w:rsidR="00527F8B" w:rsidRPr="00633370" w:rsidTr="00527F8B">
        <w:tc>
          <w:tcPr>
            <w:tcW w:w="3393" w:type="dxa"/>
          </w:tcPr>
          <w:p w:rsidR="00527F8B" w:rsidRPr="00633370" w:rsidRDefault="00527F8B" w:rsidP="00527F8B">
            <w:r w:rsidRPr="00633370">
              <w:t xml:space="preserve">Consider pairing the </w:t>
            </w:r>
            <w:proofErr w:type="gramStart"/>
            <w:r w:rsidRPr="00633370">
              <w:t>participant</w:t>
            </w:r>
            <w:proofErr w:type="gramEnd"/>
            <w:r w:rsidRPr="00633370">
              <w:t xml:space="preserve"> with a peer mentor who can discuss or demonstrate AT they are using.</w:t>
            </w:r>
          </w:p>
          <w:p w:rsidR="00527F8B" w:rsidRPr="00633370" w:rsidRDefault="00527F8B" w:rsidP="00527F8B">
            <w:r w:rsidRPr="00633370">
              <w:t>Ask an Allied Health Professional or other Assistive Technology Service Provider with experience in Assistive Technology for the type of disability, to discuss how Assistive Technology may assist in achieving planned goals, and related factors of relevance (</w:t>
            </w:r>
            <w:proofErr w:type="spellStart"/>
            <w:r w:rsidRPr="00633370">
              <w:t>e.g</w:t>
            </w:r>
            <w:proofErr w:type="spellEnd"/>
            <w:r w:rsidRPr="00633370">
              <w:t xml:space="preserve"> changes in condition) </w:t>
            </w:r>
          </w:p>
          <w:p w:rsidR="00527F8B" w:rsidRPr="00633370" w:rsidRDefault="00527F8B" w:rsidP="00527F8B">
            <w:r w:rsidRPr="00633370">
              <w:t>Consider the relevant resources available to the participant to increase their knowledge of strategies and experiences of others with a similar disability such as fact sheets, internet resources etc.</w:t>
            </w:r>
          </w:p>
        </w:tc>
        <w:tc>
          <w:tcPr>
            <w:tcW w:w="3394" w:type="dxa"/>
          </w:tcPr>
          <w:p w:rsidR="00527F8B" w:rsidRPr="00633370" w:rsidRDefault="00527F8B" w:rsidP="00527F8B">
            <w:r w:rsidRPr="00633370">
              <w:t>Introduce the participant to web based resources including the Independent Living Centres sites, Ask Sara etc.</w:t>
            </w:r>
          </w:p>
          <w:p w:rsidR="00527F8B" w:rsidRPr="00633370" w:rsidRDefault="00527F8B" w:rsidP="00527F8B">
            <w:r w:rsidRPr="00633370">
              <w:t xml:space="preserve">Introduce the participant to help lines for example Independent Living Centre </w:t>
            </w:r>
          </w:p>
          <w:p w:rsidR="00527F8B" w:rsidRPr="00633370" w:rsidRDefault="00527F8B" w:rsidP="00527F8B">
            <w:r w:rsidRPr="00633370">
              <w:t>Provide a list of relevant Assistive Technology service providers with a guide sheet on “Key Questions to Ask”</w:t>
            </w:r>
          </w:p>
          <w:p w:rsidR="00527F8B" w:rsidRPr="00633370" w:rsidRDefault="00527F8B" w:rsidP="00527F8B">
            <w:r w:rsidRPr="00633370">
              <w:t>Provide personal support to access the internet, sort information and identify information gaps</w:t>
            </w:r>
          </w:p>
          <w:p w:rsidR="00527F8B" w:rsidRPr="00633370" w:rsidRDefault="00527F8B" w:rsidP="00527F8B">
            <w:r w:rsidRPr="00633370">
              <w:t>Participate in capacity building workshops which include information about how to critically evaluate information</w:t>
            </w:r>
          </w:p>
          <w:p w:rsidR="00527F8B" w:rsidRPr="00633370" w:rsidRDefault="00527F8B" w:rsidP="00527F8B">
            <w:r w:rsidRPr="00633370">
              <w:t xml:space="preserve">Create opportunities to have allied health professionals available as coaches </w:t>
            </w:r>
          </w:p>
          <w:p w:rsidR="00527F8B" w:rsidRPr="00633370" w:rsidRDefault="00527F8B" w:rsidP="00527F8B">
            <w:pPr>
              <w:tabs>
                <w:tab w:val="center" w:pos="4320"/>
                <w:tab w:val="right" w:pos="8640"/>
              </w:tabs>
            </w:pPr>
          </w:p>
        </w:tc>
        <w:tc>
          <w:tcPr>
            <w:tcW w:w="3394" w:type="dxa"/>
          </w:tcPr>
          <w:p w:rsidR="00527F8B" w:rsidRPr="00633370" w:rsidRDefault="00527F8B" w:rsidP="00527F8B">
            <w:r w:rsidRPr="00633370">
              <w:t>Assist the participant to identify suppliers who have display or trial stock</w:t>
            </w:r>
          </w:p>
          <w:p w:rsidR="00527F8B" w:rsidRPr="00633370" w:rsidRDefault="00527F8B" w:rsidP="00527F8B">
            <w:r w:rsidRPr="00633370">
              <w:t>Introduce the participant to Independent Living Centre display centres and rural mobile services</w:t>
            </w:r>
          </w:p>
          <w:p w:rsidR="00527F8B" w:rsidRPr="00633370" w:rsidRDefault="00527F8B" w:rsidP="00527F8B">
            <w:r w:rsidRPr="00633370">
              <w:t>Link participants to other people with equipment they can try</w:t>
            </w:r>
          </w:p>
          <w:p w:rsidR="00527F8B" w:rsidRPr="00633370" w:rsidRDefault="00527F8B" w:rsidP="00527F8B">
            <w:r w:rsidRPr="00633370">
              <w:t>Assist the participant to identify suitable length and location of trials and strategies to negotiate this with a supplier</w:t>
            </w:r>
          </w:p>
          <w:p w:rsidR="00527F8B" w:rsidRPr="00633370" w:rsidRDefault="00527F8B" w:rsidP="00527F8B">
            <w:r w:rsidRPr="00633370">
              <w:t>Hire equipment and negotiate to deduct the hire from the cost of equipment if selected</w:t>
            </w:r>
          </w:p>
          <w:p w:rsidR="00527F8B" w:rsidRPr="00633370" w:rsidRDefault="00527F8B" w:rsidP="00527F8B">
            <w:r w:rsidRPr="00633370">
              <w:t>Negotiate trial of like stock or a mock-up of equipment that helps the participant determine effectiveness.</w:t>
            </w:r>
          </w:p>
        </w:tc>
        <w:tc>
          <w:tcPr>
            <w:tcW w:w="3394" w:type="dxa"/>
          </w:tcPr>
          <w:p w:rsidR="00527F8B" w:rsidRPr="00633370" w:rsidRDefault="00527F8B" w:rsidP="00527F8B">
            <w:r w:rsidRPr="00633370">
              <w:t>Encourage the participant to self-direct low cost, non-complex and low risk AT choices in the first instance.</w:t>
            </w:r>
          </w:p>
          <w:p w:rsidR="00527F8B" w:rsidRPr="00633370" w:rsidRDefault="00527F8B" w:rsidP="00527F8B">
            <w:r w:rsidRPr="00633370">
              <w:t xml:space="preserve">Provide a mentor or other support to rehearse steps or implementation /negotiation activities </w:t>
            </w:r>
          </w:p>
          <w:p w:rsidR="00527F8B" w:rsidRPr="00633370" w:rsidRDefault="00527F8B" w:rsidP="00527F8B">
            <w:r w:rsidRPr="00633370">
              <w:t xml:space="preserve">Develop participant skills and understanding through their active partnerships and engagements with a range of entities involved in the Assistive Technology supply chain and its management </w:t>
            </w:r>
          </w:p>
          <w:p w:rsidR="00527F8B" w:rsidRPr="00633370" w:rsidRDefault="00527F8B" w:rsidP="00527F8B">
            <w:pPr>
              <w:tabs>
                <w:tab w:val="center" w:pos="4320"/>
                <w:tab w:val="right" w:pos="8640"/>
              </w:tabs>
            </w:pPr>
          </w:p>
        </w:tc>
      </w:tr>
    </w:tbl>
    <w:p w:rsidR="00527F8B" w:rsidRPr="00633370" w:rsidRDefault="00527F8B" w:rsidP="00527F8B">
      <w:pPr>
        <w:rPr>
          <w:i/>
          <w:iCs/>
          <w:smallCaps/>
        </w:rPr>
      </w:pPr>
      <w:r w:rsidRPr="00633370">
        <w:rPr>
          <w:i/>
          <w:iCs/>
          <w:smallCaps/>
        </w:rPr>
        <w:br w:type="page"/>
      </w:r>
    </w:p>
    <w:p w:rsidR="00527F8B" w:rsidRPr="00633370" w:rsidRDefault="00527F8B" w:rsidP="00527F8B">
      <w:pPr>
        <w:rPr>
          <w:b/>
        </w:rPr>
        <w:sectPr w:rsidR="00527F8B" w:rsidRPr="00633370" w:rsidSect="00527F8B">
          <w:type w:val="continuous"/>
          <w:pgSz w:w="16840" w:h="11900" w:orient="landscape"/>
          <w:pgMar w:top="1440" w:right="1440" w:bottom="1440" w:left="1440" w:header="708" w:footer="708" w:gutter="0"/>
          <w:cols w:space="708"/>
          <w:docGrid w:linePitch="360"/>
        </w:sectPr>
      </w:pPr>
    </w:p>
    <w:p w:rsidR="00E42768" w:rsidRPr="00011C2B" w:rsidRDefault="00E42768" w:rsidP="00E42768">
      <w:pPr>
        <w:pStyle w:val="Caption"/>
        <w:jc w:val="center"/>
        <w:rPr>
          <w:sz w:val="24"/>
          <w:szCs w:val="24"/>
        </w:rPr>
      </w:pPr>
      <w:r w:rsidRPr="004C5694">
        <w:rPr>
          <w:sz w:val="24"/>
          <w:szCs w:val="24"/>
        </w:rPr>
        <w:lastRenderedPageBreak/>
        <w:t xml:space="preserve">Table </w:t>
      </w:r>
      <w:r w:rsidRPr="00011C2B">
        <w:rPr>
          <w:sz w:val="24"/>
          <w:szCs w:val="24"/>
        </w:rPr>
        <w:t xml:space="preserve">3: </w:t>
      </w:r>
      <w:r w:rsidRPr="00011C2B">
        <w:rPr>
          <w:sz w:val="24"/>
          <w:szCs w:val="24"/>
        </w:rPr>
        <w:tab/>
        <w:t>Recommended level of professional support for assistive technology selection based on participant capacity and assistive technology type</w:t>
      </w:r>
    </w:p>
    <w:tbl>
      <w:tblPr>
        <w:tblStyle w:val="TableGrid"/>
        <w:tblW w:w="14860" w:type="dxa"/>
        <w:tblInd w:w="-34" w:type="dxa"/>
        <w:tblLook w:val="04A0" w:firstRow="1" w:lastRow="0" w:firstColumn="1" w:lastColumn="0" w:noHBand="0" w:noVBand="1"/>
      </w:tblPr>
      <w:tblGrid>
        <w:gridCol w:w="2977"/>
        <w:gridCol w:w="2977"/>
        <w:gridCol w:w="3119"/>
        <w:gridCol w:w="2976"/>
        <w:gridCol w:w="2811"/>
      </w:tblGrid>
      <w:tr w:rsidR="00527F8B" w:rsidRPr="00633370" w:rsidTr="00527F8B">
        <w:trPr>
          <w:cantSplit/>
          <w:tblHeader/>
        </w:trPr>
        <w:tc>
          <w:tcPr>
            <w:tcW w:w="2977" w:type="dxa"/>
            <w:tcBorders>
              <w:bottom w:val="single" w:sz="18" w:space="0" w:color="auto"/>
            </w:tcBorders>
            <w:shd w:val="clear" w:color="auto" w:fill="DBE5F1" w:themeFill="accent1" w:themeFillTint="33"/>
          </w:tcPr>
          <w:p w:rsidR="00527F8B" w:rsidRPr="00633370" w:rsidRDefault="00527F8B" w:rsidP="00527F8B">
            <w:r w:rsidRPr="00633370">
              <w:t xml:space="preserve">Complexity of Assistive Technology </w:t>
            </w:r>
          </w:p>
        </w:tc>
        <w:tc>
          <w:tcPr>
            <w:tcW w:w="2977" w:type="dxa"/>
            <w:tcBorders>
              <w:bottom w:val="single" w:sz="18" w:space="0" w:color="auto"/>
            </w:tcBorders>
          </w:tcPr>
          <w:p w:rsidR="00527F8B" w:rsidRPr="00633370" w:rsidRDefault="00527F8B" w:rsidP="00527F8B">
            <w:r w:rsidRPr="00633370">
              <w:t>Participants status following capacity building</w:t>
            </w:r>
          </w:p>
        </w:tc>
        <w:tc>
          <w:tcPr>
            <w:tcW w:w="3119" w:type="dxa"/>
            <w:tcBorders>
              <w:bottom w:val="single" w:sz="18" w:space="0" w:color="auto"/>
            </w:tcBorders>
            <w:shd w:val="clear" w:color="auto" w:fill="E5DFEC" w:themeFill="accent4" w:themeFillTint="33"/>
          </w:tcPr>
          <w:p w:rsidR="00527F8B" w:rsidRPr="00633370" w:rsidRDefault="00527F8B" w:rsidP="00527F8B">
            <w:r w:rsidRPr="00633370">
              <w:t>Allied Health Professional Recommendation</w:t>
            </w:r>
          </w:p>
        </w:tc>
        <w:tc>
          <w:tcPr>
            <w:tcW w:w="2976" w:type="dxa"/>
            <w:tcBorders>
              <w:bottom w:val="single" w:sz="18" w:space="0" w:color="auto"/>
            </w:tcBorders>
          </w:tcPr>
          <w:p w:rsidR="00527F8B" w:rsidRPr="00633370" w:rsidRDefault="00527F8B" w:rsidP="00527F8B">
            <w:r w:rsidRPr="00633370">
              <w:t>Additional direction to allied health professional</w:t>
            </w:r>
          </w:p>
        </w:tc>
        <w:tc>
          <w:tcPr>
            <w:tcW w:w="2811" w:type="dxa"/>
            <w:tcBorders>
              <w:bottom w:val="single" w:sz="18" w:space="0" w:color="auto"/>
            </w:tcBorders>
            <w:shd w:val="clear" w:color="auto" w:fill="F2DBDB" w:themeFill="accent2" w:themeFillTint="33"/>
          </w:tcPr>
          <w:p w:rsidR="00527F8B" w:rsidRPr="00633370" w:rsidRDefault="00527F8B" w:rsidP="00527F8B">
            <w:r w:rsidRPr="00633370">
              <w:t>Supplier recommendation</w:t>
            </w:r>
          </w:p>
        </w:tc>
      </w:tr>
      <w:tr w:rsidR="00527F8B" w:rsidRPr="00633370" w:rsidTr="00527F8B">
        <w:trPr>
          <w:cantSplit/>
          <w:trHeight w:val="536"/>
        </w:trPr>
        <w:tc>
          <w:tcPr>
            <w:tcW w:w="2977" w:type="dxa"/>
            <w:vMerge w:val="restart"/>
            <w:tcBorders>
              <w:top w:val="single" w:sz="18" w:space="0" w:color="auto"/>
            </w:tcBorders>
            <w:shd w:val="clear" w:color="auto" w:fill="C6D9F1" w:themeFill="text2" w:themeFillTint="33"/>
          </w:tcPr>
          <w:p w:rsidR="00527F8B" w:rsidRPr="00633370" w:rsidRDefault="00527F8B" w:rsidP="00527F8B">
            <w:r w:rsidRPr="00633370">
              <w:t>Custom Made Solutions</w:t>
            </w:r>
          </w:p>
          <w:p w:rsidR="00527F8B" w:rsidRPr="00633370" w:rsidRDefault="00527F8B" w:rsidP="00527F8B">
            <w:r w:rsidRPr="00633370">
              <w:t>The AT is custom made for the person by an expert provider.</w:t>
            </w:r>
          </w:p>
          <w:p w:rsidR="00527F8B" w:rsidRPr="00633370" w:rsidRDefault="00527F8B" w:rsidP="00527F8B">
            <w:r w:rsidRPr="00633370">
              <w:t>e.g. Prosthetic Limbs, Orthotics, Specialist Seating &amp; Postural Support and other bespoke solutions</w:t>
            </w:r>
          </w:p>
        </w:tc>
        <w:tc>
          <w:tcPr>
            <w:tcW w:w="2977" w:type="dxa"/>
            <w:tcBorders>
              <w:top w:val="single" w:sz="18" w:space="0" w:color="auto"/>
            </w:tcBorders>
            <w:shd w:val="clear" w:color="auto" w:fill="FBD4B4" w:themeFill="accent6" w:themeFillTint="66"/>
          </w:tcPr>
          <w:p w:rsidR="00527F8B" w:rsidRPr="00633370" w:rsidRDefault="00527F8B" w:rsidP="00527F8B">
            <w:r w:rsidRPr="00633370">
              <w:t>Novice participant</w:t>
            </w:r>
          </w:p>
        </w:tc>
        <w:tc>
          <w:tcPr>
            <w:tcW w:w="3119" w:type="dxa"/>
            <w:vMerge w:val="restart"/>
            <w:tcBorders>
              <w:top w:val="single" w:sz="18" w:space="0" w:color="auto"/>
            </w:tcBorders>
            <w:shd w:val="clear" w:color="auto" w:fill="CCC0D9" w:themeFill="accent4" w:themeFillTint="66"/>
          </w:tcPr>
          <w:p w:rsidR="00527F8B" w:rsidRPr="00633370" w:rsidRDefault="00527F8B" w:rsidP="00527F8B">
            <w:r w:rsidRPr="00633370">
              <w:t>Specialised AT Assessor</w:t>
            </w:r>
          </w:p>
          <w:p w:rsidR="00527F8B" w:rsidRPr="00633370" w:rsidRDefault="00527F8B" w:rsidP="00527F8B">
            <w:r w:rsidRPr="00633370">
              <w:t>AHP with demonstrated experience, competence or additional qualification in specific AT area. If not available (i.e. rural or remote) ensure active supervision from suitably qualified AHP</w:t>
            </w:r>
          </w:p>
          <w:p w:rsidR="00527F8B" w:rsidRPr="00633370" w:rsidRDefault="00527F8B" w:rsidP="00527F8B">
            <w:r w:rsidRPr="00633370">
              <w:t>*Could also access an AT mentor for additional support</w:t>
            </w:r>
          </w:p>
        </w:tc>
        <w:tc>
          <w:tcPr>
            <w:tcW w:w="2976" w:type="dxa"/>
            <w:tcBorders>
              <w:top w:val="single" w:sz="18" w:space="0" w:color="auto"/>
            </w:tcBorders>
            <w:shd w:val="clear" w:color="auto" w:fill="FBD4B4" w:themeFill="accent6" w:themeFillTint="66"/>
          </w:tcPr>
          <w:p w:rsidR="00527F8B" w:rsidRPr="00633370" w:rsidRDefault="00527F8B" w:rsidP="00527F8B">
            <w:r w:rsidRPr="00633370">
              <w:t>Capacity building activities should be added to the assessment time.</w:t>
            </w:r>
          </w:p>
        </w:tc>
        <w:tc>
          <w:tcPr>
            <w:tcW w:w="2811" w:type="dxa"/>
            <w:vMerge w:val="restart"/>
            <w:tcBorders>
              <w:top w:val="single" w:sz="18" w:space="0" w:color="auto"/>
            </w:tcBorders>
            <w:shd w:val="clear" w:color="auto" w:fill="D99594" w:themeFill="accent2" w:themeFillTint="99"/>
          </w:tcPr>
          <w:p w:rsidR="00527F8B" w:rsidRPr="00633370" w:rsidRDefault="00527F8B" w:rsidP="00527F8B">
            <w:r w:rsidRPr="00633370">
              <w:t>Specialist Assistive Technology Supplier and / or Fabricator / Manufacturer</w:t>
            </w:r>
          </w:p>
          <w:p w:rsidR="00527F8B" w:rsidRPr="00633370" w:rsidRDefault="00527F8B" w:rsidP="00527F8B">
            <w:r w:rsidRPr="00633370">
              <w:t>Access to specialist workshop and equipment.</w:t>
            </w:r>
          </w:p>
          <w:p w:rsidR="00527F8B" w:rsidRPr="00633370" w:rsidRDefault="00527F8B" w:rsidP="00527F8B">
            <w:r w:rsidRPr="00633370">
              <w:t>Experienced /specialist staff directly employed and/ or contracted</w:t>
            </w:r>
          </w:p>
          <w:p w:rsidR="00527F8B" w:rsidRPr="00633370" w:rsidRDefault="00527F8B" w:rsidP="00527F8B">
            <w:r w:rsidRPr="00633370">
              <w:t>Promotes a multidisciplinary approach.</w:t>
            </w:r>
          </w:p>
          <w:p w:rsidR="00527F8B" w:rsidRPr="00633370" w:rsidRDefault="00527F8B" w:rsidP="00527F8B">
            <w:r w:rsidRPr="00633370">
              <w:t>Supplier will repair and maintain AT.</w:t>
            </w:r>
          </w:p>
        </w:tc>
      </w:tr>
      <w:tr w:rsidR="00527F8B" w:rsidRPr="00633370" w:rsidTr="00527F8B">
        <w:trPr>
          <w:cantSplit/>
          <w:trHeight w:val="699"/>
        </w:trPr>
        <w:tc>
          <w:tcPr>
            <w:tcW w:w="2977" w:type="dxa"/>
            <w:vMerge/>
            <w:shd w:val="clear" w:color="auto" w:fill="C6D9F1" w:themeFill="text2" w:themeFillTint="33"/>
          </w:tcPr>
          <w:p w:rsidR="00527F8B" w:rsidRPr="00633370" w:rsidRDefault="00527F8B" w:rsidP="00527F8B">
            <w:pPr>
              <w:tabs>
                <w:tab w:val="center" w:pos="4320"/>
                <w:tab w:val="right" w:pos="8640"/>
              </w:tabs>
            </w:pPr>
          </w:p>
        </w:tc>
        <w:tc>
          <w:tcPr>
            <w:tcW w:w="2977" w:type="dxa"/>
            <w:shd w:val="clear" w:color="auto" w:fill="FFFF99"/>
          </w:tcPr>
          <w:p w:rsidR="00527F8B" w:rsidRPr="00633370" w:rsidRDefault="00527F8B" w:rsidP="00527F8B">
            <w:r w:rsidRPr="00633370">
              <w:t>Developing participant</w:t>
            </w:r>
          </w:p>
        </w:tc>
        <w:tc>
          <w:tcPr>
            <w:tcW w:w="3119" w:type="dxa"/>
            <w:vMerge/>
            <w:shd w:val="clear" w:color="auto" w:fill="CCC0D9" w:themeFill="accent4" w:themeFillTint="66"/>
          </w:tcPr>
          <w:p w:rsidR="00527F8B" w:rsidRPr="00633370" w:rsidRDefault="00527F8B" w:rsidP="00527F8B">
            <w:pPr>
              <w:tabs>
                <w:tab w:val="center" w:pos="4320"/>
                <w:tab w:val="right" w:pos="8640"/>
              </w:tabs>
            </w:pPr>
          </w:p>
        </w:tc>
        <w:tc>
          <w:tcPr>
            <w:tcW w:w="2976" w:type="dxa"/>
            <w:shd w:val="clear" w:color="auto" w:fill="FFFF99"/>
          </w:tcPr>
          <w:p w:rsidR="00527F8B" w:rsidRPr="00633370" w:rsidRDefault="00527F8B" w:rsidP="00527F8B">
            <w:r w:rsidRPr="00633370">
              <w:t>Where possible, capacity-building activities targeted to areas of need in order to progress to expert status.</w:t>
            </w:r>
          </w:p>
        </w:tc>
        <w:tc>
          <w:tcPr>
            <w:tcW w:w="2811" w:type="dxa"/>
            <w:vMerge/>
            <w:shd w:val="clear" w:color="auto" w:fill="D99594" w:themeFill="accent2" w:themeFillTint="99"/>
          </w:tcPr>
          <w:p w:rsidR="00527F8B" w:rsidRPr="00633370" w:rsidRDefault="00527F8B" w:rsidP="00527F8B">
            <w:pPr>
              <w:tabs>
                <w:tab w:val="center" w:pos="4320"/>
                <w:tab w:val="right" w:pos="8640"/>
              </w:tabs>
            </w:pPr>
          </w:p>
        </w:tc>
      </w:tr>
      <w:tr w:rsidR="00527F8B" w:rsidRPr="00633370" w:rsidTr="00527F8B">
        <w:trPr>
          <w:cantSplit/>
          <w:trHeight w:val="337"/>
        </w:trPr>
        <w:tc>
          <w:tcPr>
            <w:tcW w:w="2977" w:type="dxa"/>
            <w:vMerge/>
            <w:tcBorders>
              <w:bottom w:val="single" w:sz="24" w:space="0" w:color="auto"/>
            </w:tcBorders>
            <w:shd w:val="clear" w:color="auto" w:fill="C6D9F1" w:themeFill="text2" w:themeFillTint="33"/>
          </w:tcPr>
          <w:p w:rsidR="00527F8B" w:rsidRPr="00633370" w:rsidRDefault="00527F8B" w:rsidP="00527F8B">
            <w:pPr>
              <w:tabs>
                <w:tab w:val="center" w:pos="4320"/>
                <w:tab w:val="right" w:pos="8640"/>
              </w:tabs>
            </w:pPr>
          </w:p>
        </w:tc>
        <w:tc>
          <w:tcPr>
            <w:tcW w:w="2977" w:type="dxa"/>
            <w:tcBorders>
              <w:bottom w:val="single" w:sz="24" w:space="0" w:color="auto"/>
            </w:tcBorders>
            <w:shd w:val="clear" w:color="auto" w:fill="D6E3BC" w:themeFill="accent3" w:themeFillTint="66"/>
          </w:tcPr>
          <w:p w:rsidR="00527F8B" w:rsidRPr="00633370" w:rsidRDefault="00527F8B" w:rsidP="00527F8B">
            <w:r w:rsidRPr="00633370">
              <w:t>Expert participant</w:t>
            </w:r>
          </w:p>
        </w:tc>
        <w:tc>
          <w:tcPr>
            <w:tcW w:w="3119" w:type="dxa"/>
            <w:vMerge/>
            <w:tcBorders>
              <w:bottom w:val="single" w:sz="24" w:space="0" w:color="auto"/>
            </w:tcBorders>
            <w:shd w:val="clear" w:color="auto" w:fill="CCC0D9" w:themeFill="accent4" w:themeFillTint="66"/>
          </w:tcPr>
          <w:p w:rsidR="00527F8B" w:rsidRPr="00633370" w:rsidRDefault="00527F8B" w:rsidP="00527F8B">
            <w:pPr>
              <w:tabs>
                <w:tab w:val="center" w:pos="4320"/>
                <w:tab w:val="right" w:pos="8640"/>
              </w:tabs>
            </w:pPr>
          </w:p>
        </w:tc>
        <w:tc>
          <w:tcPr>
            <w:tcW w:w="2976" w:type="dxa"/>
            <w:tcBorders>
              <w:bottom w:val="single" w:sz="24" w:space="0" w:color="auto"/>
            </w:tcBorders>
            <w:shd w:val="clear" w:color="auto" w:fill="D6E3BC" w:themeFill="accent3" w:themeFillTint="66"/>
          </w:tcPr>
          <w:p w:rsidR="00527F8B" w:rsidRPr="00633370" w:rsidRDefault="00527F8B" w:rsidP="00527F8B">
            <w:r w:rsidRPr="00633370">
              <w:t>Assessment only, assessor should be aware of and adapt approach to account for participant expertise</w:t>
            </w:r>
          </w:p>
        </w:tc>
        <w:tc>
          <w:tcPr>
            <w:tcW w:w="2811" w:type="dxa"/>
            <w:vMerge/>
            <w:tcBorders>
              <w:bottom w:val="single" w:sz="24" w:space="0" w:color="auto"/>
            </w:tcBorders>
            <w:shd w:val="clear" w:color="auto" w:fill="D99594" w:themeFill="accent2" w:themeFillTint="99"/>
          </w:tcPr>
          <w:p w:rsidR="00527F8B" w:rsidRPr="00633370" w:rsidRDefault="00527F8B" w:rsidP="00527F8B">
            <w:pPr>
              <w:tabs>
                <w:tab w:val="center" w:pos="4320"/>
                <w:tab w:val="right" w:pos="8640"/>
              </w:tabs>
            </w:pPr>
          </w:p>
        </w:tc>
      </w:tr>
      <w:tr w:rsidR="00527F8B" w:rsidRPr="00633370" w:rsidTr="00527F8B">
        <w:trPr>
          <w:cantSplit/>
          <w:trHeight w:val="286"/>
        </w:trPr>
        <w:tc>
          <w:tcPr>
            <w:tcW w:w="2977" w:type="dxa"/>
            <w:vMerge w:val="restart"/>
            <w:tcBorders>
              <w:top w:val="single" w:sz="24" w:space="0" w:color="auto"/>
            </w:tcBorders>
            <w:shd w:val="clear" w:color="auto" w:fill="C6D9F1" w:themeFill="text2" w:themeFillTint="33"/>
          </w:tcPr>
          <w:p w:rsidR="00527F8B" w:rsidRPr="00633370" w:rsidRDefault="00527F8B" w:rsidP="00527F8B">
            <w:r w:rsidRPr="00633370">
              <w:t xml:space="preserve">Complex Solutions </w:t>
            </w:r>
          </w:p>
          <w:p w:rsidR="00527F8B" w:rsidRPr="00633370" w:rsidRDefault="00527F8B" w:rsidP="00527F8B">
            <w:r w:rsidRPr="00633370">
              <w:t xml:space="preserve">The AT is ‘off the shelf’ but is configured specifically for the person </w:t>
            </w:r>
          </w:p>
          <w:p w:rsidR="00527F8B" w:rsidRPr="00633370" w:rsidRDefault="00527F8B" w:rsidP="00527F8B">
            <w:r w:rsidRPr="00633370">
              <w:t xml:space="preserve">OR requires interconnection or integration with other AT or the persons home/work/place of study, </w:t>
            </w:r>
          </w:p>
          <w:p w:rsidR="00527F8B" w:rsidRPr="00633370" w:rsidRDefault="00527F8B" w:rsidP="00527F8B">
            <w:r w:rsidRPr="00633370">
              <w:t>OR carries significant risk</w:t>
            </w:r>
          </w:p>
          <w:p w:rsidR="00527F8B" w:rsidRPr="00633370" w:rsidRDefault="00527F8B" w:rsidP="00527F8B">
            <w:r w:rsidRPr="00633370">
              <w:t>e.g. pressure care, modular seating, complex wheelchairs, communication devices</w:t>
            </w:r>
          </w:p>
        </w:tc>
        <w:tc>
          <w:tcPr>
            <w:tcW w:w="2977" w:type="dxa"/>
            <w:tcBorders>
              <w:top w:val="single" w:sz="24" w:space="0" w:color="auto"/>
            </w:tcBorders>
            <w:shd w:val="clear" w:color="auto" w:fill="FBD4B4" w:themeFill="accent6" w:themeFillTint="66"/>
          </w:tcPr>
          <w:p w:rsidR="00527F8B" w:rsidRPr="00633370" w:rsidRDefault="00527F8B" w:rsidP="00527F8B">
            <w:r w:rsidRPr="00633370">
              <w:t>Novice participant</w:t>
            </w:r>
          </w:p>
        </w:tc>
        <w:tc>
          <w:tcPr>
            <w:tcW w:w="3119" w:type="dxa"/>
            <w:vMerge w:val="restart"/>
            <w:tcBorders>
              <w:top w:val="single" w:sz="24" w:space="0" w:color="auto"/>
            </w:tcBorders>
            <w:shd w:val="clear" w:color="auto" w:fill="CCC0D9" w:themeFill="accent4" w:themeFillTint="66"/>
          </w:tcPr>
          <w:p w:rsidR="00527F8B" w:rsidRPr="00633370" w:rsidRDefault="00527F8B" w:rsidP="00527F8B">
            <w:r w:rsidRPr="00633370">
              <w:t>Specialised AT Assessor</w:t>
            </w:r>
          </w:p>
          <w:p w:rsidR="00527F8B" w:rsidRPr="00633370" w:rsidRDefault="00527F8B" w:rsidP="00527F8B">
            <w:r w:rsidRPr="00633370">
              <w:t xml:space="preserve">AHP with demonstrated experience as described above </w:t>
            </w:r>
          </w:p>
          <w:p w:rsidR="00527F8B" w:rsidRPr="00633370" w:rsidRDefault="00527F8B" w:rsidP="00527F8B">
            <w:r w:rsidRPr="00633370">
              <w:t>*Could also access an AT mentor for additional support</w:t>
            </w:r>
          </w:p>
        </w:tc>
        <w:tc>
          <w:tcPr>
            <w:tcW w:w="2976" w:type="dxa"/>
            <w:tcBorders>
              <w:top w:val="single" w:sz="24" w:space="0" w:color="auto"/>
            </w:tcBorders>
            <w:shd w:val="clear" w:color="auto" w:fill="FBD4B4" w:themeFill="accent6" w:themeFillTint="66"/>
          </w:tcPr>
          <w:p w:rsidR="00527F8B" w:rsidRPr="00633370" w:rsidRDefault="00527F8B" w:rsidP="00527F8B">
            <w:r w:rsidRPr="00633370">
              <w:t>Capacity building activities should be added to the assessment time.</w:t>
            </w:r>
          </w:p>
        </w:tc>
        <w:tc>
          <w:tcPr>
            <w:tcW w:w="2811" w:type="dxa"/>
            <w:vMerge w:val="restart"/>
            <w:tcBorders>
              <w:top w:val="single" w:sz="24" w:space="0" w:color="auto"/>
            </w:tcBorders>
            <w:shd w:val="clear" w:color="auto" w:fill="E5B8B7" w:themeFill="accent2" w:themeFillTint="66"/>
          </w:tcPr>
          <w:p w:rsidR="00527F8B" w:rsidRPr="00633370" w:rsidRDefault="00527F8B" w:rsidP="00527F8B">
            <w:r w:rsidRPr="00633370">
              <w:t xml:space="preserve">Specialist Assistive Technology Supplier (incl. Refurbishment Supplier) </w:t>
            </w:r>
          </w:p>
          <w:p w:rsidR="00527F8B" w:rsidRPr="00633370" w:rsidRDefault="00527F8B" w:rsidP="00527F8B">
            <w:r w:rsidRPr="00633370">
              <w:t xml:space="preserve">Focus on supplying AT for PWD and older Australians. </w:t>
            </w:r>
          </w:p>
          <w:p w:rsidR="00527F8B" w:rsidRPr="00633370" w:rsidRDefault="00527F8B" w:rsidP="00527F8B">
            <w:r w:rsidRPr="00633370">
              <w:t>Experienced /specialist staff directly employed and/ or contracted</w:t>
            </w:r>
          </w:p>
          <w:p w:rsidR="00527F8B" w:rsidRPr="00633370" w:rsidRDefault="00527F8B" w:rsidP="00527F8B">
            <w:r w:rsidRPr="00633370">
              <w:t>Promotes a multidisciplinary approach.</w:t>
            </w:r>
          </w:p>
          <w:p w:rsidR="00527F8B" w:rsidRPr="00633370" w:rsidRDefault="00527F8B" w:rsidP="00527F8B">
            <w:r w:rsidRPr="00633370">
              <w:t>Supplier will repair and maintain AT.</w:t>
            </w:r>
          </w:p>
        </w:tc>
      </w:tr>
      <w:tr w:rsidR="00527F8B" w:rsidRPr="00633370" w:rsidTr="00527F8B">
        <w:trPr>
          <w:cantSplit/>
          <w:trHeight w:val="812"/>
        </w:trPr>
        <w:tc>
          <w:tcPr>
            <w:tcW w:w="2977" w:type="dxa"/>
            <w:vMerge/>
            <w:shd w:val="clear" w:color="auto" w:fill="C6D9F1" w:themeFill="text2" w:themeFillTint="33"/>
          </w:tcPr>
          <w:p w:rsidR="00527F8B" w:rsidRPr="00633370" w:rsidRDefault="00527F8B" w:rsidP="00527F8B">
            <w:pPr>
              <w:tabs>
                <w:tab w:val="center" w:pos="4320"/>
                <w:tab w:val="right" w:pos="8640"/>
              </w:tabs>
            </w:pPr>
          </w:p>
        </w:tc>
        <w:tc>
          <w:tcPr>
            <w:tcW w:w="2977" w:type="dxa"/>
            <w:tcBorders>
              <w:bottom w:val="single" w:sz="12" w:space="0" w:color="auto"/>
            </w:tcBorders>
            <w:shd w:val="clear" w:color="auto" w:fill="FFFF99"/>
          </w:tcPr>
          <w:p w:rsidR="00527F8B" w:rsidRPr="00633370" w:rsidRDefault="00527F8B" w:rsidP="00527F8B">
            <w:r w:rsidRPr="00633370">
              <w:t>Developing participant</w:t>
            </w:r>
          </w:p>
        </w:tc>
        <w:tc>
          <w:tcPr>
            <w:tcW w:w="3119" w:type="dxa"/>
            <w:vMerge/>
            <w:tcBorders>
              <w:bottom w:val="single" w:sz="12" w:space="0" w:color="auto"/>
            </w:tcBorders>
            <w:shd w:val="clear" w:color="auto" w:fill="CCC0D9" w:themeFill="accent4" w:themeFillTint="66"/>
          </w:tcPr>
          <w:p w:rsidR="00527F8B" w:rsidRPr="00633370" w:rsidRDefault="00527F8B" w:rsidP="00527F8B">
            <w:pPr>
              <w:tabs>
                <w:tab w:val="center" w:pos="4320"/>
                <w:tab w:val="right" w:pos="8640"/>
              </w:tabs>
            </w:pPr>
          </w:p>
        </w:tc>
        <w:tc>
          <w:tcPr>
            <w:tcW w:w="2976" w:type="dxa"/>
            <w:tcBorders>
              <w:bottom w:val="single" w:sz="12" w:space="0" w:color="auto"/>
            </w:tcBorders>
            <w:shd w:val="clear" w:color="auto" w:fill="FFFF99"/>
          </w:tcPr>
          <w:p w:rsidR="00527F8B" w:rsidRPr="00633370" w:rsidRDefault="00527F8B" w:rsidP="00527F8B">
            <w:r w:rsidRPr="00633370">
              <w:t>Where possible, capacity-building activities targeted to areas of need in order to progress to expert status.</w:t>
            </w:r>
          </w:p>
        </w:tc>
        <w:tc>
          <w:tcPr>
            <w:tcW w:w="2811" w:type="dxa"/>
            <w:vMerge/>
            <w:shd w:val="clear" w:color="auto" w:fill="E5B8B7" w:themeFill="accent2" w:themeFillTint="66"/>
          </w:tcPr>
          <w:p w:rsidR="00527F8B" w:rsidRPr="00633370" w:rsidRDefault="00527F8B" w:rsidP="00527F8B">
            <w:pPr>
              <w:tabs>
                <w:tab w:val="center" w:pos="4320"/>
                <w:tab w:val="right" w:pos="8640"/>
              </w:tabs>
            </w:pPr>
          </w:p>
        </w:tc>
      </w:tr>
      <w:tr w:rsidR="00527F8B" w:rsidRPr="00633370" w:rsidTr="00527F8B">
        <w:trPr>
          <w:cantSplit/>
          <w:trHeight w:val="286"/>
        </w:trPr>
        <w:tc>
          <w:tcPr>
            <w:tcW w:w="2977" w:type="dxa"/>
            <w:vMerge/>
            <w:tcBorders>
              <w:bottom w:val="single" w:sz="24" w:space="0" w:color="auto"/>
            </w:tcBorders>
            <w:shd w:val="clear" w:color="auto" w:fill="C6D9F1" w:themeFill="text2" w:themeFillTint="33"/>
          </w:tcPr>
          <w:p w:rsidR="00527F8B" w:rsidRPr="00633370" w:rsidRDefault="00527F8B" w:rsidP="00527F8B">
            <w:pPr>
              <w:tabs>
                <w:tab w:val="center" w:pos="4320"/>
                <w:tab w:val="right" w:pos="8640"/>
              </w:tabs>
            </w:pPr>
          </w:p>
        </w:tc>
        <w:tc>
          <w:tcPr>
            <w:tcW w:w="2977" w:type="dxa"/>
            <w:tcBorders>
              <w:top w:val="single" w:sz="12" w:space="0" w:color="auto"/>
              <w:bottom w:val="single" w:sz="24" w:space="0" w:color="auto"/>
            </w:tcBorders>
            <w:shd w:val="clear" w:color="auto" w:fill="D6E3BC" w:themeFill="accent3" w:themeFillTint="66"/>
          </w:tcPr>
          <w:p w:rsidR="00527F8B" w:rsidRPr="00633370" w:rsidRDefault="00527F8B" w:rsidP="00527F8B">
            <w:r w:rsidRPr="00633370">
              <w:t>Expert participant</w:t>
            </w:r>
          </w:p>
        </w:tc>
        <w:tc>
          <w:tcPr>
            <w:tcW w:w="3119" w:type="dxa"/>
            <w:tcBorders>
              <w:top w:val="single" w:sz="12" w:space="0" w:color="auto"/>
              <w:bottom w:val="single" w:sz="24" w:space="0" w:color="auto"/>
            </w:tcBorders>
            <w:shd w:val="clear" w:color="auto" w:fill="E5DFEC" w:themeFill="accent4" w:themeFillTint="33"/>
          </w:tcPr>
          <w:p w:rsidR="00527F8B" w:rsidRPr="00633370" w:rsidRDefault="00527F8B" w:rsidP="00527F8B">
            <w:r w:rsidRPr="00633370">
              <w:t>Optional - Specialised AT Assessor as described above</w:t>
            </w:r>
          </w:p>
          <w:p w:rsidR="00527F8B" w:rsidRPr="00633370" w:rsidRDefault="00527F8B" w:rsidP="00527F8B">
            <w:r w:rsidRPr="00633370">
              <w:t>*Could also access an AT mentor for additional support</w:t>
            </w:r>
          </w:p>
        </w:tc>
        <w:tc>
          <w:tcPr>
            <w:tcW w:w="2976" w:type="dxa"/>
            <w:tcBorders>
              <w:top w:val="single" w:sz="12" w:space="0" w:color="auto"/>
              <w:bottom w:val="single" w:sz="24" w:space="0" w:color="auto"/>
              <w:right w:val="single" w:sz="12" w:space="0" w:color="auto"/>
            </w:tcBorders>
            <w:shd w:val="clear" w:color="auto" w:fill="D6E3BC" w:themeFill="accent3" w:themeFillTint="66"/>
          </w:tcPr>
          <w:p w:rsidR="00527F8B" w:rsidRPr="00633370" w:rsidRDefault="00527F8B" w:rsidP="00527F8B">
            <w:r w:rsidRPr="00633370">
              <w:t>Assessment only, assessor should be aware of and adapt approach to account for participant expertise</w:t>
            </w:r>
          </w:p>
        </w:tc>
        <w:tc>
          <w:tcPr>
            <w:tcW w:w="2811" w:type="dxa"/>
            <w:vMerge/>
            <w:tcBorders>
              <w:left w:val="single" w:sz="12" w:space="0" w:color="auto"/>
              <w:bottom w:val="single" w:sz="24" w:space="0" w:color="auto"/>
            </w:tcBorders>
            <w:shd w:val="clear" w:color="auto" w:fill="E5B8B7" w:themeFill="accent2" w:themeFillTint="66"/>
          </w:tcPr>
          <w:p w:rsidR="00527F8B" w:rsidRPr="00633370" w:rsidRDefault="00527F8B" w:rsidP="00527F8B">
            <w:pPr>
              <w:tabs>
                <w:tab w:val="center" w:pos="4320"/>
                <w:tab w:val="right" w:pos="8640"/>
              </w:tabs>
            </w:pPr>
          </w:p>
        </w:tc>
      </w:tr>
      <w:tr w:rsidR="00527F8B" w:rsidRPr="00633370" w:rsidTr="00527F8B">
        <w:trPr>
          <w:cantSplit/>
          <w:trHeight w:val="352"/>
        </w:trPr>
        <w:tc>
          <w:tcPr>
            <w:tcW w:w="2977" w:type="dxa"/>
            <w:vMerge w:val="restart"/>
            <w:tcBorders>
              <w:top w:val="single" w:sz="24" w:space="0" w:color="auto"/>
              <w:right w:val="single" w:sz="12" w:space="0" w:color="auto"/>
            </w:tcBorders>
            <w:shd w:val="clear" w:color="auto" w:fill="C6D9F1" w:themeFill="text2" w:themeFillTint="33"/>
          </w:tcPr>
          <w:p w:rsidR="00527F8B" w:rsidRPr="00633370" w:rsidRDefault="00527F8B" w:rsidP="00527F8B">
            <w:r w:rsidRPr="00633370">
              <w:lastRenderedPageBreak/>
              <w:t xml:space="preserve">Standard Products and Solutions </w:t>
            </w:r>
          </w:p>
          <w:p w:rsidR="00527F8B" w:rsidRPr="00633370" w:rsidRDefault="00527F8B" w:rsidP="00527F8B">
            <w:r w:rsidRPr="00633370">
              <w:t>AT product is available ‘off the shelf’ and either needs minor adjustments or straightforward training (i.e. adjust shower chair legs, instruct in use) e.g. basic commodes, basic folding wheelchairs, mobile hoists, adjustable bed</w:t>
            </w:r>
          </w:p>
        </w:tc>
        <w:tc>
          <w:tcPr>
            <w:tcW w:w="2977" w:type="dxa"/>
            <w:tcBorders>
              <w:top w:val="single" w:sz="24" w:space="0" w:color="auto"/>
              <w:left w:val="single" w:sz="12" w:space="0" w:color="auto"/>
            </w:tcBorders>
            <w:shd w:val="clear" w:color="auto" w:fill="FBD4B4" w:themeFill="accent6" w:themeFillTint="66"/>
          </w:tcPr>
          <w:p w:rsidR="00527F8B" w:rsidRPr="00633370" w:rsidRDefault="00527F8B" w:rsidP="00527F8B">
            <w:r w:rsidRPr="00633370">
              <w:t>Novice participant</w:t>
            </w:r>
          </w:p>
        </w:tc>
        <w:tc>
          <w:tcPr>
            <w:tcW w:w="3119" w:type="dxa"/>
            <w:tcBorders>
              <w:top w:val="single" w:sz="24" w:space="0" w:color="auto"/>
            </w:tcBorders>
            <w:shd w:val="clear" w:color="auto" w:fill="E5DFEC" w:themeFill="accent4" w:themeFillTint="33"/>
          </w:tcPr>
          <w:p w:rsidR="00527F8B" w:rsidRPr="00633370" w:rsidRDefault="00527F8B" w:rsidP="00527F8B">
            <w:r w:rsidRPr="00633370">
              <w:t>AT assessor with relevant professional qualification</w:t>
            </w:r>
          </w:p>
          <w:p w:rsidR="00527F8B" w:rsidRPr="00633370" w:rsidRDefault="00527F8B" w:rsidP="00527F8B">
            <w:r w:rsidRPr="00633370">
              <w:t>*Could also access an AT mentor for additional support</w:t>
            </w:r>
          </w:p>
          <w:p w:rsidR="00527F8B" w:rsidRPr="00633370" w:rsidRDefault="00527F8B" w:rsidP="00527F8B">
            <w:pPr>
              <w:tabs>
                <w:tab w:val="center" w:pos="4320"/>
                <w:tab w:val="right" w:pos="8640"/>
              </w:tabs>
            </w:pPr>
          </w:p>
        </w:tc>
        <w:tc>
          <w:tcPr>
            <w:tcW w:w="2976" w:type="dxa"/>
            <w:tcBorders>
              <w:top w:val="single" w:sz="24" w:space="0" w:color="auto"/>
            </w:tcBorders>
            <w:shd w:val="clear" w:color="auto" w:fill="FBD4B4" w:themeFill="accent6" w:themeFillTint="66"/>
          </w:tcPr>
          <w:p w:rsidR="00527F8B" w:rsidRPr="00633370" w:rsidRDefault="00527F8B" w:rsidP="00527F8B">
            <w:r w:rsidRPr="00633370">
              <w:t>Capacity building activities suggested in table 2 should be added to the assessment time.</w:t>
            </w:r>
          </w:p>
        </w:tc>
        <w:tc>
          <w:tcPr>
            <w:tcW w:w="2811" w:type="dxa"/>
            <w:vMerge w:val="restart"/>
            <w:tcBorders>
              <w:top w:val="single" w:sz="24" w:space="0" w:color="auto"/>
            </w:tcBorders>
            <w:shd w:val="clear" w:color="auto" w:fill="F2DBDB" w:themeFill="accent2" w:themeFillTint="33"/>
          </w:tcPr>
          <w:p w:rsidR="00527F8B" w:rsidRPr="00633370" w:rsidRDefault="00527F8B" w:rsidP="00527F8B">
            <w:r w:rsidRPr="00633370">
              <w:t xml:space="preserve">Range of Suppliers </w:t>
            </w:r>
          </w:p>
          <w:p w:rsidR="00527F8B" w:rsidRPr="00633370" w:rsidRDefault="00527F8B" w:rsidP="00527F8B">
            <w:r w:rsidRPr="00633370">
              <w:t>Including;</w:t>
            </w:r>
          </w:p>
          <w:p w:rsidR="00527F8B" w:rsidRPr="00633370" w:rsidRDefault="00527F8B" w:rsidP="00527F8B">
            <w:pPr>
              <w:rPr>
                <w:spacing w:val="0"/>
              </w:rPr>
            </w:pPr>
            <w:r w:rsidRPr="00633370">
              <w:rPr>
                <w:spacing w:val="0"/>
              </w:rPr>
              <w:t>Retail</w:t>
            </w:r>
          </w:p>
          <w:p w:rsidR="00527F8B" w:rsidRPr="00633370" w:rsidRDefault="00527F8B" w:rsidP="00527F8B">
            <w:pPr>
              <w:rPr>
                <w:spacing w:val="0"/>
              </w:rPr>
            </w:pPr>
            <w:r w:rsidRPr="00633370">
              <w:rPr>
                <w:spacing w:val="0"/>
              </w:rPr>
              <w:t>Specialist Suppliers</w:t>
            </w:r>
          </w:p>
          <w:p w:rsidR="00527F8B" w:rsidRPr="00633370" w:rsidRDefault="00527F8B" w:rsidP="00527F8B">
            <w:pPr>
              <w:rPr>
                <w:spacing w:val="0"/>
              </w:rPr>
            </w:pPr>
            <w:r w:rsidRPr="00633370">
              <w:rPr>
                <w:spacing w:val="0"/>
              </w:rPr>
              <w:t>Refurbishment Services</w:t>
            </w:r>
          </w:p>
        </w:tc>
      </w:tr>
      <w:tr w:rsidR="00527F8B" w:rsidRPr="00633370" w:rsidTr="00527F8B">
        <w:trPr>
          <w:cantSplit/>
          <w:trHeight w:val="350"/>
        </w:trPr>
        <w:tc>
          <w:tcPr>
            <w:tcW w:w="2977" w:type="dxa"/>
            <w:vMerge/>
            <w:tcBorders>
              <w:right w:val="single" w:sz="12" w:space="0" w:color="auto"/>
            </w:tcBorders>
            <w:shd w:val="clear" w:color="auto" w:fill="C6D9F1" w:themeFill="text2" w:themeFillTint="33"/>
          </w:tcPr>
          <w:p w:rsidR="00527F8B" w:rsidRPr="00633370" w:rsidRDefault="00527F8B" w:rsidP="00527F8B">
            <w:pPr>
              <w:tabs>
                <w:tab w:val="center" w:pos="4320"/>
                <w:tab w:val="right" w:pos="8640"/>
              </w:tabs>
            </w:pPr>
          </w:p>
        </w:tc>
        <w:tc>
          <w:tcPr>
            <w:tcW w:w="2977" w:type="dxa"/>
            <w:tcBorders>
              <w:left w:val="single" w:sz="12" w:space="0" w:color="auto"/>
              <w:bottom w:val="single" w:sz="12" w:space="0" w:color="auto"/>
            </w:tcBorders>
            <w:shd w:val="clear" w:color="auto" w:fill="FFFF99"/>
          </w:tcPr>
          <w:p w:rsidR="00527F8B" w:rsidRPr="00633370" w:rsidRDefault="00527F8B" w:rsidP="00527F8B">
            <w:r w:rsidRPr="00633370">
              <w:t>Developing participant</w:t>
            </w:r>
          </w:p>
        </w:tc>
        <w:tc>
          <w:tcPr>
            <w:tcW w:w="3119" w:type="dxa"/>
            <w:tcBorders>
              <w:bottom w:val="single" w:sz="12" w:space="0" w:color="auto"/>
            </w:tcBorders>
            <w:shd w:val="clear" w:color="auto" w:fill="E5DFEC" w:themeFill="accent4" w:themeFillTint="33"/>
          </w:tcPr>
          <w:p w:rsidR="00527F8B" w:rsidRPr="00633370" w:rsidRDefault="00527F8B" w:rsidP="00527F8B">
            <w:r w:rsidRPr="00633370">
              <w:t>Optional - AT assessor with relevant professional qualification.</w:t>
            </w:r>
          </w:p>
          <w:p w:rsidR="00527F8B" w:rsidRPr="00633370" w:rsidRDefault="00527F8B" w:rsidP="00527F8B">
            <w:r w:rsidRPr="00633370">
              <w:t>*Could also access an AT mentor for support or other capacity building</w:t>
            </w:r>
          </w:p>
          <w:p w:rsidR="00527F8B" w:rsidRPr="00633370" w:rsidRDefault="00527F8B" w:rsidP="00527F8B">
            <w:pPr>
              <w:tabs>
                <w:tab w:val="center" w:pos="4320"/>
                <w:tab w:val="right" w:pos="8640"/>
              </w:tabs>
            </w:pPr>
          </w:p>
        </w:tc>
        <w:tc>
          <w:tcPr>
            <w:tcW w:w="2976" w:type="dxa"/>
            <w:tcBorders>
              <w:bottom w:val="single" w:sz="12" w:space="0" w:color="auto"/>
            </w:tcBorders>
            <w:shd w:val="clear" w:color="auto" w:fill="FFFF99"/>
          </w:tcPr>
          <w:p w:rsidR="00527F8B" w:rsidRPr="00633370" w:rsidRDefault="00527F8B" w:rsidP="00527F8B">
            <w:pPr>
              <w:rPr>
                <w:rFonts w:asciiTheme="minorHAnsi" w:hAnsiTheme="minorHAnsi"/>
              </w:rPr>
            </w:pPr>
            <w:r w:rsidRPr="00633370">
              <w:t>Professional may assess, provide capacity building or support first time self-assessment</w:t>
            </w:r>
            <w:r w:rsidRPr="00633370">
              <w:rPr>
                <w:rFonts w:asciiTheme="minorHAnsi" w:hAnsiTheme="minorHAnsi"/>
              </w:rPr>
              <w:t>.</w:t>
            </w:r>
          </w:p>
        </w:tc>
        <w:tc>
          <w:tcPr>
            <w:tcW w:w="2811" w:type="dxa"/>
            <w:vMerge/>
            <w:shd w:val="clear" w:color="auto" w:fill="F2DBDB" w:themeFill="accent2" w:themeFillTint="33"/>
          </w:tcPr>
          <w:p w:rsidR="00527F8B" w:rsidRPr="00633370" w:rsidRDefault="00527F8B" w:rsidP="00527F8B">
            <w:pPr>
              <w:tabs>
                <w:tab w:val="center" w:pos="4320"/>
                <w:tab w:val="right" w:pos="8640"/>
              </w:tabs>
              <w:rPr>
                <w:rFonts w:asciiTheme="minorHAnsi" w:hAnsiTheme="minorHAnsi"/>
              </w:rPr>
            </w:pPr>
          </w:p>
        </w:tc>
      </w:tr>
      <w:tr w:rsidR="00527F8B" w:rsidRPr="00633370" w:rsidTr="00527F8B">
        <w:trPr>
          <w:cantSplit/>
          <w:trHeight w:val="350"/>
        </w:trPr>
        <w:tc>
          <w:tcPr>
            <w:tcW w:w="2977" w:type="dxa"/>
            <w:vMerge/>
            <w:tcBorders>
              <w:bottom w:val="single" w:sz="24" w:space="0" w:color="auto"/>
              <w:right w:val="single" w:sz="12" w:space="0" w:color="auto"/>
            </w:tcBorders>
            <w:shd w:val="clear" w:color="auto" w:fill="C6D9F1" w:themeFill="text2" w:themeFillTint="33"/>
          </w:tcPr>
          <w:p w:rsidR="00527F8B" w:rsidRPr="00633370" w:rsidRDefault="00527F8B" w:rsidP="00527F8B">
            <w:pPr>
              <w:tabs>
                <w:tab w:val="center" w:pos="4320"/>
                <w:tab w:val="right" w:pos="8640"/>
              </w:tabs>
            </w:pPr>
          </w:p>
        </w:tc>
        <w:tc>
          <w:tcPr>
            <w:tcW w:w="2977" w:type="dxa"/>
            <w:tcBorders>
              <w:top w:val="single" w:sz="12" w:space="0" w:color="auto"/>
              <w:left w:val="single" w:sz="12" w:space="0" w:color="auto"/>
              <w:bottom w:val="single" w:sz="24" w:space="0" w:color="auto"/>
            </w:tcBorders>
            <w:shd w:val="clear" w:color="auto" w:fill="D6E3BC" w:themeFill="accent3" w:themeFillTint="66"/>
          </w:tcPr>
          <w:p w:rsidR="00527F8B" w:rsidRPr="00633370" w:rsidRDefault="00527F8B" w:rsidP="00527F8B">
            <w:r w:rsidRPr="00633370">
              <w:t>Expert participant</w:t>
            </w:r>
          </w:p>
          <w:p w:rsidR="00527F8B" w:rsidRPr="00633370" w:rsidRDefault="00527F8B" w:rsidP="00527F8B">
            <w:pPr>
              <w:tabs>
                <w:tab w:val="center" w:pos="4320"/>
                <w:tab w:val="right" w:pos="8640"/>
              </w:tabs>
            </w:pPr>
          </w:p>
        </w:tc>
        <w:tc>
          <w:tcPr>
            <w:tcW w:w="3119" w:type="dxa"/>
            <w:tcBorders>
              <w:top w:val="single" w:sz="12" w:space="0" w:color="auto"/>
              <w:bottom w:val="single" w:sz="24" w:space="0" w:color="auto"/>
            </w:tcBorders>
            <w:shd w:val="clear" w:color="auto" w:fill="D6E3BC" w:themeFill="accent3" w:themeFillTint="66"/>
          </w:tcPr>
          <w:p w:rsidR="00527F8B" w:rsidRPr="00633370" w:rsidRDefault="00527F8B" w:rsidP="00527F8B">
            <w:r w:rsidRPr="00633370">
              <w:t>Participant Self-Assessment</w:t>
            </w:r>
          </w:p>
        </w:tc>
        <w:tc>
          <w:tcPr>
            <w:tcW w:w="2976" w:type="dxa"/>
            <w:tcBorders>
              <w:top w:val="single" w:sz="12" w:space="0" w:color="auto"/>
              <w:bottom w:val="single" w:sz="24" w:space="0" w:color="auto"/>
              <w:right w:val="single" w:sz="12" w:space="0" w:color="auto"/>
            </w:tcBorders>
            <w:shd w:val="clear" w:color="auto" w:fill="D6E3BC" w:themeFill="accent3" w:themeFillTint="66"/>
          </w:tcPr>
          <w:p w:rsidR="00527F8B" w:rsidRPr="00633370" w:rsidRDefault="00527F8B" w:rsidP="00527F8B">
            <w:r w:rsidRPr="00633370">
              <w:t>NA</w:t>
            </w:r>
          </w:p>
        </w:tc>
        <w:tc>
          <w:tcPr>
            <w:tcW w:w="2811" w:type="dxa"/>
            <w:vMerge/>
            <w:tcBorders>
              <w:left w:val="single" w:sz="12" w:space="0" w:color="auto"/>
              <w:bottom w:val="single" w:sz="24" w:space="0" w:color="auto"/>
            </w:tcBorders>
            <w:shd w:val="clear" w:color="auto" w:fill="F2DBDB" w:themeFill="accent2" w:themeFillTint="33"/>
          </w:tcPr>
          <w:p w:rsidR="00527F8B" w:rsidRPr="00633370" w:rsidRDefault="00527F8B" w:rsidP="00527F8B">
            <w:pPr>
              <w:tabs>
                <w:tab w:val="center" w:pos="4320"/>
                <w:tab w:val="right" w:pos="8640"/>
              </w:tabs>
            </w:pPr>
          </w:p>
        </w:tc>
      </w:tr>
      <w:tr w:rsidR="00527F8B" w:rsidRPr="00633370" w:rsidTr="00527F8B">
        <w:trPr>
          <w:cantSplit/>
          <w:trHeight w:val="166"/>
        </w:trPr>
        <w:tc>
          <w:tcPr>
            <w:tcW w:w="2977" w:type="dxa"/>
            <w:vMerge w:val="restart"/>
            <w:tcBorders>
              <w:top w:val="single" w:sz="24" w:space="0" w:color="auto"/>
            </w:tcBorders>
            <w:shd w:val="clear" w:color="auto" w:fill="FFFFFF" w:themeFill="background1"/>
          </w:tcPr>
          <w:p w:rsidR="00527F8B" w:rsidRPr="00633370" w:rsidRDefault="00527F8B" w:rsidP="00527F8B">
            <w:r w:rsidRPr="00633370">
              <w:t>Basic</w:t>
            </w:r>
          </w:p>
          <w:p w:rsidR="00527F8B" w:rsidRPr="00633370" w:rsidRDefault="00527F8B" w:rsidP="00527F8B">
            <w:r w:rsidRPr="00633370">
              <w:t>Mass-produced commonly available items such as non-slip bath mats, built up cutlery.</w:t>
            </w:r>
          </w:p>
        </w:tc>
        <w:tc>
          <w:tcPr>
            <w:tcW w:w="2977" w:type="dxa"/>
            <w:tcBorders>
              <w:top w:val="single" w:sz="24" w:space="0" w:color="auto"/>
            </w:tcBorders>
            <w:shd w:val="clear" w:color="auto" w:fill="FBD4B4" w:themeFill="accent6" w:themeFillTint="66"/>
          </w:tcPr>
          <w:p w:rsidR="00527F8B" w:rsidRPr="00633370" w:rsidRDefault="00527F8B" w:rsidP="00527F8B">
            <w:r w:rsidRPr="00633370">
              <w:t>Novice participant</w:t>
            </w:r>
          </w:p>
        </w:tc>
        <w:tc>
          <w:tcPr>
            <w:tcW w:w="3119" w:type="dxa"/>
            <w:vMerge w:val="restart"/>
            <w:tcBorders>
              <w:top w:val="single" w:sz="24" w:space="0" w:color="auto"/>
            </w:tcBorders>
            <w:shd w:val="clear" w:color="auto" w:fill="D6E3BC" w:themeFill="accent3" w:themeFillTint="66"/>
          </w:tcPr>
          <w:p w:rsidR="00527F8B" w:rsidRPr="00633370" w:rsidRDefault="00527F8B" w:rsidP="00527F8B">
            <w:r w:rsidRPr="00633370">
              <w:t>Participant Self-Assessment</w:t>
            </w:r>
          </w:p>
        </w:tc>
        <w:tc>
          <w:tcPr>
            <w:tcW w:w="2976" w:type="dxa"/>
            <w:tcBorders>
              <w:top w:val="single" w:sz="24" w:space="0" w:color="auto"/>
            </w:tcBorders>
            <w:shd w:val="clear" w:color="auto" w:fill="FBD4B4" w:themeFill="accent6" w:themeFillTint="66"/>
          </w:tcPr>
          <w:p w:rsidR="00527F8B" w:rsidRPr="00633370" w:rsidRDefault="00527F8B" w:rsidP="00527F8B">
            <w:r w:rsidRPr="00633370">
              <w:t>Could be directed to an AT Mentor or ILC for additional support</w:t>
            </w:r>
          </w:p>
        </w:tc>
        <w:tc>
          <w:tcPr>
            <w:tcW w:w="2811" w:type="dxa"/>
            <w:vMerge w:val="restart"/>
            <w:tcBorders>
              <w:top w:val="single" w:sz="24" w:space="0" w:color="auto"/>
            </w:tcBorders>
            <w:shd w:val="clear" w:color="auto" w:fill="FFFFFF" w:themeFill="background1"/>
          </w:tcPr>
          <w:p w:rsidR="00527F8B" w:rsidRPr="00633370" w:rsidRDefault="00527F8B" w:rsidP="00527F8B">
            <w:r w:rsidRPr="00633370">
              <w:t>Retailer</w:t>
            </w:r>
          </w:p>
          <w:p w:rsidR="00527F8B" w:rsidRPr="00633370" w:rsidRDefault="00527F8B" w:rsidP="00527F8B">
            <w:r w:rsidRPr="00633370">
              <w:t xml:space="preserve">And range of suppliers with various expertise </w:t>
            </w:r>
          </w:p>
        </w:tc>
      </w:tr>
      <w:tr w:rsidR="00527F8B" w:rsidRPr="00633370" w:rsidTr="00527F8B">
        <w:trPr>
          <w:cantSplit/>
          <w:trHeight w:val="166"/>
        </w:trPr>
        <w:tc>
          <w:tcPr>
            <w:tcW w:w="2977" w:type="dxa"/>
            <w:vMerge/>
            <w:shd w:val="clear" w:color="auto" w:fill="FFFFFF" w:themeFill="background1"/>
          </w:tcPr>
          <w:p w:rsidR="00527F8B" w:rsidRPr="00633370" w:rsidRDefault="00527F8B" w:rsidP="00527F8B">
            <w:pPr>
              <w:tabs>
                <w:tab w:val="center" w:pos="4320"/>
                <w:tab w:val="right" w:pos="8640"/>
              </w:tabs>
            </w:pPr>
          </w:p>
        </w:tc>
        <w:tc>
          <w:tcPr>
            <w:tcW w:w="2977" w:type="dxa"/>
            <w:shd w:val="clear" w:color="auto" w:fill="FFFF99"/>
          </w:tcPr>
          <w:p w:rsidR="00527F8B" w:rsidRPr="00633370" w:rsidRDefault="00527F8B" w:rsidP="00527F8B">
            <w:r w:rsidRPr="00633370">
              <w:t>Developing participant</w:t>
            </w:r>
          </w:p>
        </w:tc>
        <w:tc>
          <w:tcPr>
            <w:tcW w:w="3119" w:type="dxa"/>
            <w:vMerge/>
            <w:shd w:val="clear" w:color="auto" w:fill="D6E3BC" w:themeFill="accent3" w:themeFillTint="66"/>
          </w:tcPr>
          <w:p w:rsidR="00527F8B" w:rsidRPr="00633370" w:rsidRDefault="00527F8B" w:rsidP="00527F8B">
            <w:pPr>
              <w:tabs>
                <w:tab w:val="center" w:pos="4320"/>
                <w:tab w:val="right" w:pos="8640"/>
              </w:tabs>
            </w:pPr>
          </w:p>
        </w:tc>
        <w:tc>
          <w:tcPr>
            <w:tcW w:w="2976" w:type="dxa"/>
            <w:shd w:val="clear" w:color="auto" w:fill="FFFF99"/>
          </w:tcPr>
          <w:p w:rsidR="00527F8B" w:rsidRPr="00633370" w:rsidRDefault="00527F8B" w:rsidP="00527F8B">
            <w:r w:rsidRPr="00633370">
              <w:t>NA</w:t>
            </w:r>
          </w:p>
        </w:tc>
        <w:tc>
          <w:tcPr>
            <w:tcW w:w="2811" w:type="dxa"/>
            <w:vMerge/>
            <w:shd w:val="clear" w:color="auto" w:fill="FFFFFF" w:themeFill="background1"/>
          </w:tcPr>
          <w:p w:rsidR="00527F8B" w:rsidRPr="00633370" w:rsidRDefault="00527F8B" w:rsidP="00527F8B">
            <w:pPr>
              <w:tabs>
                <w:tab w:val="center" w:pos="4320"/>
                <w:tab w:val="right" w:pos="8640"/>
              </w:tabs>
            </w:pPr>
          </w:p>
        </w:tc>
      </w:tr>
      <w:tr w:rsidR="00527F8B" w:rsidRPr="00633370" w:rsidTr="00527F8B">
        <w:trPr>
          <w:cantSplit/>
          <w:trHeight w:val="166"/>
        </w:trPr>
        <w:tc>
          <w:tcPr>
            <w:tcW w:w="2977" w:type="dxa"/>
            <w:vMerge/>
            <w:tcBorders>
              <w:bottom w:val="single" w:sz="18" w:space="0" w:color="auto"/>
            </w:tcBorders>
            <w:shd w:val="clear" w:color="auto" w:fill="FFFFFF" w:themeFill="background1"/>
          </w:tcPr>
          <w:p w:rsidR="00527F8B" w:rsidRPr="00633370" w:rsidRDefault="00527F8B" w:rsidP="00527F8B">
            <w:pPr>
              <w:tabs>
                <w:tab w:val="center" w:pos="4320"/>
                <w:tab w:val="right" w:pos="8640"/>
              </w:tabs>
            </w:pPr>
          </w:p>
        </w:tc>
        <w:tc>
          <w:tcPr>
            <w:tcW w:w="2977" w:type="dxa"/>
            <w:tcBorders>
              <w:bottom w:val="single" w:sz="18" w:space="0" w:color="auto"/>
            </w:tcBorders>
            <w:shd w:val="clear" w:color="auto" w:fill="D6E3BC" w:themeFill="accent3" w:themeFillTint="66"/>
          </w:tcPr>
          <w:p w:rsidR="00527F8B" w:rsidRPr="00633370" w:rsidRDefault="00527F8B" w:rsidP="00527F8B">
            <w:r w:rsidRPr="00633370">
              <w:t>Expert participant</w:t>
            </w:r>
          </w:p>
        </w:tc>
        <w:tc>
          <w:tcPr>
            <w:tcW w:w="3119" w:type="dxa"/>
            <w:vMerge/>
            <w:tcBorders>
              <w:bottom w:val="single" w:sz="18" w:space="0" w:color="auto"/>
            </w:tcBorders>
            <w:shd w:val="clear" w:color="auto" w:fill="D6E3BC" w:themeFill="accent3" w:themeFillTint="66"/>
          </w:tcPr>
          <w:p w:rsidR="00527F8B" w:rsidRPr="00633370" w:rsidRDefault="00527F8B" w:rsidP="00527F8B">
            <w:pPr>
              <w:tabs>
                <w:tab w:val="center" w:pos="4320"/>
                <w:tab w:val="right" w:pos="8640"/>
              </w:tabs>
            </w:pPr>
          </w:p>
        </w:tc>
        <w:tc>
          <w:tcPr>
            <w:tcW w:w="2976" w:type="dxa"/>
            <w:tcBorders>
              <w:bottom w:val="single" w:sz="18" w:space="0" w:color="auto"/>
            </w:tcBorders>
            <w:shd w:val="clear" w:color="auto" w:fill="D6E3BC" w:themeFill="accent3" w:themeFillTint="66"/>
          </w:tcPr>
          <w:p w:rsidR="00527F8B" w:rsidRPr="00633370" w:rsidRDefault="00527F8B" w:rsidP="00527F8B">
            <w:r w:rsidRPr="00633370">
              <w:t>NA</w:t>
            </w:r>
          </w:p>
        </w:tc>
        <w:tc>
          <w:tcPr>
            <w:tcW w:w="2811" w:type="dxa"/>
            <w:vMerge/>
            <w:tcBorders>
              <w:bottom w:val="single" w:sz="18" w:space="0" w:color="auto"/>
            </w:tcBorders>
            <w:shd w:val="clear" w:color="auto" w:fill="FFFFFF" w:themeFill="background1"/>
          </w:tcPr>
          <w:p w:rsidR="00527F8B" w:rsidRPr="00633370" w:rsidRDefault="00527F8B" w:rsidP="00527F8B">
            <w:pPr>
              <w:tabs>
                <w:tab w:val="center" w:pos="4320"/>
                <w:tab w:val="right" w:pos="8640"/>
              </w:tabs>
            </w:pPr>
          </w:p>
        </w:tc>
      </w:tr>
    </w:tbl>
    <w:p w:rsidR="00527F8B" w:rsidRDefault="00527F8B" w:rsidP="00527F8B"/>
    <w:p w:rsidR="007D693F" w:rsidRPr="007D693F" w:rsidRDefault="007D693F" w:rsidP="007D693F"/>
    <w:sectPr w:rsidR="007D693F" w:rsidRPr="007D693F" w:rsidSect="007D693F">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D5" w:rsidRDefault="00AA75D5" w:rsidP="00902CFC">
      <w:r>
        <w:separator/>
      </w:r>
    </w:p>
  </w:endnote>
  <w:endnote w:type="continuationSeparator" w:id="0">
    <w:p w:rsidR="00AA75D5" w:rsidRDefault="00AA75D5" w:rsidP="0090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FSMe-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Arial Bold Italic">
    <w:panose1 w:val="020B0704020202090204"/>
    <w:charset w:val="00"/>
    <w:family w:val="auto"/>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D5" w:rsidRPr="00B04D3D" w:rsidRDefault="00FA7094" w:rsidP="00195637">
    <w:pPr>
      <w:pStyle w:val="Footer"/>
    </w:pPr>
    <w:hyperlink r:id="rId1" w:history="1">
      <w:r w:rsidR="00AA75D5" w:rsidRPr="00EF023D">
        <w:rPr>
          <w:rStyle w:val="Hyperlink"/>
        </w:rPr>
        <w:t>www.ndis.gov</w:t>
      </w:r>
      <w:r w:rsidR="00AA75D5" w:rsidRPr="002356D6">
        <w:rPr>
          <w:rStyle w:val="Hyperlink"/>
        </w:rPr>
        <w:t>.a</w:t>
      </w:r>
    </w:hyperlink>
    <w:r w:rsidR="00AA75D5">
      <w:rPr>
        <w:rStyle w:val="Hyperlink"/>
      </w:rPr>
      <w:t>u</w:t>
    </w:r>
    <w:r w:rsidR="00AA75D5">
      <w:tab/>
      <w:t>October 2015</w:t>
    </w:r>
    <w:r w:rsidR="00AA75D5">
      <w:tab/>
    </w:r>
    <w:r w:rsidR="00AA75D5">
      <w:rPr>
        <w:rStyle w:val="PageNumber"/>
      </w:rPr>
      <w:fldChar w:fldCharType="begin"/>
    </w:r>
    <w:r w:rsidR="00AA75D5">
      <w:rPr>
        <w:rStyle w:val="PageNumber"/>
      </w:rPr>
      <w:instrText xml:space="preserve">PAGE  </w:instrText>
    </w:r>
    <w:r w:rsidR="00AA75D5">
      <w:rPr>
        <w:rStyle w:val="PageNumber"/>
      </w:rPr>
      <w:fldChar w:fldCharType="separate"/>
    </w:r>
    <w:r>
      <w:rPr>
        <w:rStyle w:val="PageNumber"/>
        <w:noProof/>
      </w:rPr>
      <w:t>10</w:t>
    </w:r>
    <w:r w:rsidR="00AA75D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D5" w:rsidRDefault="00AA75D5" w:rsidP="00902CFC">
      <w:r>
        <w:separator/>
      </w:r>
    </w:p>
  </w:footnote>
  <w:footnote w:type="continuationSeparator" w:id="0">
    <w:p w:rsidR="00AA75D5" w:rsidRDefault="00AA75D5" w:rsidP="00902CFC">
      <w:r>
        <w:continuationSeparator/>
      </w:r>
    </w:p>
  </w:footnote>
  <w:footnote w:id="1">
    <w:p w:rsidR="00AA75D5" w:rsidRPr="00FF66A9" w:rsidRDefault="00AA75D5" w:rsidP="00BC4CF9">
      <w:pPr>
        <w:pStyle w:val="FootnoteText"/>
        <w:spacing w:before="0" w:after="0"/>
        <w:ind w:left="357" w:hanging="357"/>
        <w:rPr>
          <w:rFonts w:cs="Arial"/>
          <w:szCs w:val="16"/>
        </w:rPr>
      </w:pPr>
      <w:r w:rsidRPr="00F922D7">
        <w:rPr>
          <w:rStyle w:val="FootnoteReference"/>
          <w:rFonts w:ascii="Arial" w:hAnsi="Arial" w:cs="Arial"/>
          <w:sz w:val="16"/>
          <w:szCs w:val="16"/>
        </w:rPr>
        <w:footnoteRef/>
      </w:r>
      <w:r w:rsidRPr="00F922D7">
        <w:rPr>
          <w:rFonts w:cs="Arial"/>
          <w:szCs w:val="16"/>
        </w:rPr>
        <w:t xml:space="preserve"> </w:t>
      </w:r>
      <w:r w:rsidRPr="00F46BCA">
        <w:rPr>
          <w:rFonts w:cs="Arial"/>
          <w:szCs w:val="16"/>
        </w:rPr>
        <w:t xml:space="preserve">World Health Organisation, </w:t>
      </w:r>
      <w:r w:rsidRPr="00F46BCA">
        <w:rPr>
          <w:rFonts w:cs="Arial"/>
          <w:i/>
          <w:szCs w:val="16"/>
        </w:rPr>
        <w:t>A glossary of terms for community health care and services for older persons</w:t>
      </w:r>
      <w:r w:rsidRPr="00F46BCA">
        <w:rPr>
          <w:rFonts w:cs="Arial"/>
          <w:szCs w:val="16"/>
        </w:rPr>
        <w:t>, p.14 Geneva 2004</w:t>
      </w:r>
    </w:p>
  </w:footnote>
  <w:footnote w:id="2">
    <w:p w:rsidR="00AA75D5" w:rsidRPr="00A75B1C" w:rsidRDefault="00AA75D5" w:rsidP="003C18F2">
      <w:pPr>
        <w:pStyle w:val="FootnoteText"/>
        <w:spacing w:before="0" w:after="0"/>
        <w:ind w:left="142" w:hanging="142"/>
        <w:jc w:val="both"/>
        <w:rPr>
          <w:rFonts w:cs="Arial"/>
          <w:szCs w:val="16"/>
        </w:rPr>
      </w:pPr>
      <w:r w:rsidRPr="00A75B1C">
        <w:rPr>
          <w:rStyle w:val="FootnoteReference"/>
          <w:rFonts w:ascii="Arial" w:hAnsi="Arial" w:cs="Arial"/>
          <w:sz w:val="16"/>
          <w:szCs w:val="16"/>
        </w:rPr>
        <w:footnoteRef/>
      </w:r>
      <w:r>
        <w:rPr>
          <w:rFonts w:cs="Arial"/>
          <w:szCs w:val="16"/>
        </w:rPr>
        <w:t xml:space="preserve"> </w:t>
      </w:r>
      <w:proofErr w:type="gramStart"/>
      <w:r w:rsidRPr="00A75B1C">
        <w:rPr>
          <w:rFonts w:cs="Arial"/>
          <w:szCs w:val="16"/>
        </w:rPr>
        <w:t>Excludes special assessment setup and worn-hearing devices in the hearing equipment category.</w:t>
      </w:r>
      <w:proofErr w:type="gramEnd"/>
      <w:r w:rsidRPr="00A75B1C">
        <w:rPr>
          <w:rFonts w:cs="Arial"/>
          <w:szCs w:val="16"/>
        </w:rPr>
        <w:t xml:space="preserve"> Figures based on NDIA actuarial team data on participants and plans, as at April 30 2015 </w:t>
      </w:r>
    </w:p>
  </w:footnote>
  <w:footnote w:id="3">
    <w:p w:rsidR="00AA75D5" w:rsidRPr="00A75B1C" w:rsidRDefault="00AA75D5" w:rsidP="007214DF">
      <w:pPr>
        <w:pStyle w:val="FootnoteText"/>
        <w:spacing w:before="0" w:after="0"/>
        <w:rPr>
          <w:rFonts w:cs="Arial"/>
          <w:szCs w:val="16"/>
        </w:rPr>
      </w:pPr>
      <w:r w:rsidRPr="00A75B1C">
        <w:rPr>
          <w:rStyle w:val="FootnoteReference"/>
          <w:rFonts w:ascii="Arial" w:hAnsi="Arial" w:cs="Arial"/>
          <w:sz w:val="16"/>
          <w:szCs w:val="16"/>
        </w:rPr>
        <w:footnoteRef/>
      </w:r>
      <w:r w:rsidRPr="00A75B1C">
        <w:rPr>
          <w:rFonts w:cs="Arial"/>
          <w:szCs w:val="16"/>
        </w:rPr>
        <w:t xml:space="preserve"> </w:t>
      </w:r>
      <w:r>
        <w:rPr>
          <w:rFonts w:cs="Arial"/>
          <w:szCs w:val="16"/>
        </w:rPr>
        <w:t xml:space="preserve"> </w:t>
      </w:r>
      <w:r w:rsidRPr="00A75B1C">
        <w:rPr>
          <w:rFonts w:cs="Arial"/>
          <w:szCs w:val="16"/>
        </w:rPr>
        <w:t xml:space="preserve">Harper I, Anderson P, </w:t>
      </w:r>
      <w:proofErr w:type="spellStart"/>
      <w:r w:rsidRPr="00A75B1C">
        <w:rPr>
          <w:rFonts w:cs="Arial"/>
          <w:szCs w:val="16"/>
        </w:rPr>
        <w:t>McCluskey</w:t>
      </w:r>
      <w:proofErr w:type="spellEnd"/>
      <w:r w:rsidRPr="00A75B1C">
        <w:rPr>
          <w:rFonts w:cs="Arial"/>
          <w:szCs w:val="16"/>
        </w:rPr>
        <w:t xml:space="preserve"> S, O’Bryan M, </w:t>
      </w:r>
      <w:r w:rsidRPr="00A75B1C">
        <w:rPr>
          <w:rFonts w:cs="Arial"/>
          <w:i/>
          <w:szCs w:val="16"/>
        </w:rPr>
        <w:t>Competition Policy Review</w:t>
      </w:r>
      <w:r w:rsidRPr="00A75B1C">
        <w:rPr>
          <w:rFonts w:cs="Arial"/>
          <w:szCs w:val="16"/>
        </w:rPr>
        <w:t>, final report, March 2015</w:t>
      </w:r>
    </w:p>
  </w:footnote>
  <w:footnote w:id="4">
    <w:p w:rsidR="00AA75D5" w:rsidRPr="00A75B1C" w:rsidRDefault="00AA75D5" w:rsidP="00A75B1C">
      <w:pPr>
        <w:pStyle w:val="FootnoteText"/>
        <w:spacing w:before="0" w:after="0"/>
        <w:ind w:left="142" w:hanging="142"/>
        <w:rPr>
          <w:rFonts w:cs="Arial"/>
          <w:szCs w:val="16"/>
        </w:rPr>
      </w:pPr>
      <w:r w:rsidRPr="00A75B1C">
        <w:rPr>
          <w:rStyle w:val="FootnoteReference"/>
          <w:rFonts w:ascii="Arial" w:hAnsi="Arial" w:cs="Arial"/>
          <w:sz w:val="16"/>
          <w:szCs w:val="16"/>
        </w:rPr>
        <w:footnoteRef/>
      </w:r>
      <w:r w:rsidRPr="00A75B1C">
        <w:rPr>
          <w:rFonts w:cs="Arial"/>
          <w:szCs w:val="16"/>
        </w:rPr>
        <w:t xml:space="preserve">  Professor </w:t>
      </w:r>
      <w:proofErr w:type="spellStart"/>
      <w:r w:rsidRPr="00A75B1C">
        <w:rPr>
          <w:rFonts w:cs="Arial"/>
          <w:szCs w:val="16"/>
        </w:rPr>
        <w:t>Gwynnyth</w:t>
      </w:r>
      <w:proofErr w:type="spellEnd"/>
      <w:r w:rsidRPr="00A75B1C">
        <w:rPr>
          <w:rFonts w:cs="Arial"/>
          <w:szCs w:val="16"/>
        </w:rPr>
        <w:t xml:space="preserve"> Llewellyn, </w:t>
      </w:r>
      <w:r w:rsidRPr="00A75B1C">
        <w:rPr>
          <w:rFonts w:cs="Arial"/>
          <w:i/>
          <w:szCs w:val="16"/>
        </w:rPr>
        <w:t>Report of Audit of Disability Research in Australia</w:t>
      </w:r>
      <w:r w:rsidRPr="00A75B1C">
        <w:rPr>
          <w:rFonts w:cs="Arial"/>
          <w:szCs w:val="16"/>
        </w:rPr>
        <w:t>, Centre for Disability Research and Policy, University of Sydney, May 2014</w:t>
      </w:r>
    </w:p>
  </w:footnote>
  <w:footnote w:id="5">
    <w:p w:rsidR="00AA75D5" w:rsidRPr="00CD398E" w:rsidRDefault="00AA75D5" w:rsidP="00FF66A9">
      <w:pPr>
        <w:pStyle w:val="FootnoteText"/>
        <w:spacing w:before="0" w:after="0"/>
        <w:ind w:left="0" w:firstLine="0"/>
        <w:rPr>
          <w:rFonts w:cs="Arial"/>
          <w:szCs w:val="16"/>
        </w:rPr>
      </w:pPr>
      <w:r w:rsidRPr="000E35C9">
        <w:rPr>
          <w:rStyle w:val="FootnoteReference"/>
          <w:rFonts w:ascii="Arial" w:hAnsi="Arial" w:cs="Arial"/>
          <w:sz w:val="16"/>
          <w:szCs w:val="16"/>
        </w:rPr>
        <w:footnoteRef/>
      </w:r>
      <w:r w:rsidRPr="000E35C9">
        <w:rPr>
          <w:rFonts w:cs="Arial"/>
          <w:szCs w:val="16"/>
        </w:rPr>
        <w:t xml:space="preserve"> Harper I, Anderson P, </w:t>
      </w:r>
      <w:proofErr w:type="spellStart"/>
      <w:r w:rsidRPr="000E35C9">
        <w:rPr>
          <w:rFonts w:cs="Arial"/>
          <w:szCs w:val="16"/>
        </w:rPr>
        <w:t>McCluskey</w:t>
      </w:r>
      <w:proofErr w:type="spellEnd"/>
      <w:r w:rsidRPr="000E35C9">
        <w:rPr>
          <w:rFonts w:cs="Arial"/>
          <w:szCs w:val="16"/>
        </w:rPr>
        <w:t xml:space="preserve"> S, O’Bryan M, </w:t>
      </w:r>
      <w:r w:rsidRPr="002F7406">
        <w:rPr>
          <w:rFonts w:cs="Arial"/>
          <w:i/>
          <w:szCs w:val="16"/>
        </w:rPr>
        <w:t>Competition Policy Review</w:t>
      </w:r>
      <w:r w:rsidRPr="00CD398E">
        <w:rPr>
          <w:rFonts w:cs="Arial"/>
          <w:szCs w:val="16"/>
        </w:rPr>
        <w:t>, final report, March 2015</w:t>
      </w:r>
    </w:p>
  </w:footnote>
  <w:footnote w:id="6">
    <w:p w:rsidR="00AA75D5" w:rsidRPr="001D659C" w:rsidRDefault="00AA75D5" w:rsidP="00BA2F8F">
      <w:pPr>
        <w:pStyle w:val="FootnoteText"/>
        <w:spacing w:before="0" w:after="0"/>
        <w:ind w:left="142" w:hanging="142"/>
        <w:rPr>
          <w:rFonts w:cs="Arial"/>
          <w:szCs w:val="16"/>
        </w:rPr>
      </w:pPr>
      <w:r w:rsidRPr="00CD398E">
        <w:rPr>
          <w:rStyle w:val="FootnoteReference"/>
          <w:rFonts w:ascii="Arial" w:hAnsi="Arial" w:cs="Arial"/>
          <w:sz w:val="16"/>
          <w:szCs w:val="16"/>
        </w:rPr>
        <w:footnoteRef/>
      </w:r>
      <w:r w:rsidRPr="00CD398E">
        <w:rPr>
          <w:rFonts w:cs="Arial"/>
          <w:szCs w:val="16"/>
        </w:rPr>
        <w:t xml:space="preserve"> </w:t>
      </w:r>
      <w:r>
        <w:rPr>
          <w:rFonts w:cs="Arial"/>
          <w:szCs w:val="16"/>
        </w:rPr>
        <w:t xml:space="preserve"> </w:t>
      </w:r>
      <w:proofErr w:type="gramStart"/>
      <w:r w:rsidRPr="00CD398E">
        <w:rPr>
          <w:rFonts w:cs="Arial"/>
          <w:szCs w:val="16"/>
        </w:rPr>
        <w:t xml:space="preserve">Harris, C., </w:t>
      </w:r>
      <w:proofErr w:type="spellStart"/>
      <w:r w:rsidRPr="00CD398E">
        <w:rPr>
          <w:rFonts w:cs="Arial"/>
          <w:szCs w:val="16"/>
        </w:rPr>
        <w:t>Rosenwax</w:t>
      </w:r>
      <w:proofErr w:type="spellEnd"/>
      <w:r w:rsidRPr="00CD398E">
        <w:rPr>
          <w:rFonts w:cs="Arial"/>
          <w:szCs w:val="16"/>
        </w:rPr>
        <w:t>, L., Hunter, S., &amp; Andrews, A. (2014).</w:t>
      </w:r>
      <w:proofErr w:type="gramEnd"/>
      <w:r w:rsidRPr="00CD398E">
        <w:rPr>
          <w:rFonts w:cs="Arial"/>
          <w:szCs w:val="16"/>
        </w:rPr>
        <w:t xml:space="preserve"> An Evaluation of Assistive Technology Outcomes for Home and Community Care (HACC) Clients of the Independe</w:t>
      </w:r>
      <w:r w:rsidRPr="0047758D">
        <w:rPr>
          <w:rFonts w:cs="Arial"/>
          <w:szCs w:val="16"/>
        </w:rPr>
        <w:t>nt Living Centre (</w:t>
      </w:r>
      <w:r w:rsidRPr="001D659C">
        <w:rPr>
          <w:rFonts w:cs="Arial"/>
          <w:szCs w:val="16"/>
        </w:rPr>
        <w:t>ILC) Assistive Technology Service: Final Report January 2014. ILC WA: Curtin University. The study found that the ILC multichannel model delivers a range of benefits.</w:t>
      </w:r>
    </w:p>
  </w:footnote>
  <w:footnote w:id="7">
    <w:p w:rsidR="00AA75D5" w:rsidRPr="000E35C9" w:rsidRDefault="00AA75D5" w:rsidP="00FF66A9">
      <w:pPr>
        <w:pStyle w:val="FootnoteText"/>
        <w:spacing w:before="0" w:after="0"/>
        <w:ind w:left="0" w:firstLine="0"/>
        <w:rPr>
          <w:rFonts w:cs="Arial"/>
          <w:szCs w:val="16"/>
        </w:rPr>
      </w:pPr>
      <w:r w:rsidRPr="000E35C9">
        <w:rPr>
          <w:rStyle w:val="FootnoteReference"/>
          <w:rFonts w:ascii="Arial" w:hAnsi="Arial" w:cs="Arial"/>
          <w:sz w:val="16"/>
          <w:szCs w:val="16"/>
        </w:rPr>
        <w:footnoteRef/>
      </w:r>
      <w:r w:rsidRPr="000E35C9">
        <w:rPr>
          <w:rFonts w:cs="Arial"/>
          <w:szCs w:val="16"/>
        </w:rPr>
        <w:t xml:space="preserve"> </w:t>
      </w:r>
      <w:r>
        <w:rPr>
          <w:rFonts w:cs="Arial"/>
          <w:szCs w:val="16"/>
        </w:rPr>
        <w:t xml:space="preserve"> </w:t>
      </w:r>
      <w:hyperlink r:id="rId1" w:history="1">
        <w:r w:rsidRPr="000E35C9">
          <w:rPr>
            <w:rStyle w:val="Hyperlink"/>
            <w:rFonts w:cs="Arial"/>
            <w:szCs w:val="16"/>
          </w:rPr>
          <w:t>http://www.ndis.gov.au/document/780</w:t>
        </w:r>
      </w:hyperlink>
      <w:r w:rsidRPr="000E35C9">
        <w:rPr>
          <w:rFonts w:cs="Arial"/>
          <w:szCs w:val="16"/>
        </w:rPr>
        <w:t xml:space="preserve"> </w:t>
      </w:r>
    </w:p>
  </w:footnote>
  <w:footnote w:id="8">
    <w:p w:rsidR="00AA75D5" w:rsidRPr="000E35C9" w:rsidRDefault="00AA75D5" w:rsidP="00C82DD5">
      <w:pPr>
        <w:spacing w:before="0" w:after="0"/>
        <w:ind w:left="142" w:hanging="142"/>
        <w:rPr>
          <w:rFonts w:cs="Arial"/>
          <w:sz w:val="16"/>
          <w:szCs w:val="16"/>
        </w:rPr>
      </w:pPr>
      <w:r w:rsidRPr="000E35C9">
        <w:rPr>
          <w:rStyle w:val="FootnoteReference"/>
          <w:rFonts w:ascii="Arial" w:hAnsi="Arial" w:cs="Arial"/>
          <w:sz w:val="16"/>
          <w:szCs w:val="16"/>
        </w:rPr>
        <w:footnoteRef/>
      </w:r>
      <w:r w:rsidRPr="000E35C9">
        <w:rPr>
          <w:rFonts w:cs="Arial"/>
          <w:sz w:val="16"/>
          <w:szCs w:val="16"/>
        </w:rPr>
        <w:t xml:space="preserve"> </w:t>
      </w:r>
      <w:r>
        <w:rPr>
          <w:rFonts w:cs="Arial"/>
          <w:sz w:val="16"/>
          <w:szCs w:val="16"/>
        </w:rPr>
        <w:t xml:space="preserve"> </w:t>
      </w:r>
      <w:r w:rsidRPr="000E35C9">
        <w:rPr>
          <w:rFonts w:cs="Arial"/>
          <w:sz w:val="16"/>
          <w:szCs w:val="16"/>
        </w:rPr>
        <w:t xml:space="preserve">Strong, J. G., </w:t>
      </w:r>
      <w:proofErr w:type="spellStart"/>
      <w:r w:rsidRPr="000E35C9">
        <w:rPr>
          <w:rFonts w:cs="Arial"/>
          <w:sz w:val="16"/>
          <w:szCs w:val="16"/>
        </w:rPr>
        <w:t>Jutai</w:t>
      </w:r>
      <w:proofErr w:type="spellEnd"/>
      <w:r w:rsidRPr="000E35C9">
        <w:rPr>
          <w:rFonts w:cs="Arial"/>
          <w:sz w:val="16"/>
          <w:szCs w:val="16"/>
        </w:rPr>
        <w:t xml:space="preserve">, J. W., </w:t>
      </w:r>
      <w:proofErr w:type="spellStart"/>
      <w:r w:rsidRPr="000E35C9">
        <w:rPr>
          <w:rFonts w:cs="Arial"/>
          <w:sz w:val="16"/>
          <w:szCs w:val="16"/>
        </w:rPr>
        <w:t>Plotkin</w:t>
      </w:r>
      <w:proofErr w:type="spellEnd"/>
      <w:r w:rsidRPr="000E35C9">
        <w:rPr>
          <w:rFonts w:cs="Arial"/>
          <w:sz w:val="16"/>
          <w:szCs w:val="16"/>
        </w:rPr>
        <w:t xml:space="preserve">, A. D. and </w:t>
      </w:r>
      <w:proofErr w:type="spellStart"/>
      <w:r w:rsidRPr="000E35C9">
        <w:rPr>
          <w:rFonts w:cs="Arial"/>
          <w:sz w:val="16"/>
          <w:szCs w:val="16"/>
        </w:rPr>
        <w:t>Bevers</w:t>
      </w:r>
      <w:proofErr w:type="spellEnd"/>
      <w:r w:rsidRPr="000E35C9">
        <w:rPr>
          <w:rFonts w:cs="Arial"/>
          <w:sz w:val="16"/>
          <w:szCs w:val="16"/>
        </w:rPr>
        <w:t xml:space="preserve">, P. (2008) 'Competitive Enablement: A Consumer-Oriented Approach to Device Selection in Device assisted Vision Rehabilitation' in Mann, W. C., ed. </w:t>
      </w:r>
      <w:r w:rsidRPr="000E35C9">
        <w:rPr>
          <w:rFonts w:cs="Arial"/>
          <w:i/>
          <w:iCs/>
          <w:sz w:val="16"/>
          <w:szCs w:val="16"/>
        </w:rPr>
        <w:t>Assistive Technology Research Series, Volume 22: Aging, Disability and Independence</w:t>
      </w:r>
      <w:r w:rsidRPr="000E35C9">
        <w:rPr>
          <w:rFonts w:cs="Arial"/>
          <w:sz w:val="16"/>
          <w:szCs w:val="16"/>
        </w:rPr>
        <w:t>, Amsterdam: IOS Press, 175-195)</w:t>
      </w:r>
    </w:p>
  </w:footnote>
  <w:footnote w:id="9">
    <w:p w:rsidR="00AA75D5" w:rsidRPr="00003FA3" w:rsidRDefault="00AA75D5" w:rsidP="00C82DD5">
      <w:pPr>
        <w:pStyle w:val="FootnoteText"/>
        <w:spacing w:before="0" w:after="0"/>
        <w:ind w:left="142" w:hanging="142"/>
        <w:rPr>
          <w:rFonts w:cs="Arial"/>
          <w:szCs w:val="16"/>
        </w:rPr>
      </w:pPr>
      <w:r w:rsidRPr="00003FA3">
        <w:rPr>
          <w:rStyle w:val="FootnoteReference"/>
          <w:rFonts w:ascii="Arial" w:hAnsi="Arial" w:cs="Arial"/>
          <w:sz w:val="16"/>
          <w:szCs w:val="16"/>
        </w:rPr>
        <w:footnoteRef/>
      </w:r>
      <w:r w:rsidRPr="00003FA3">
        <w:rPr>
          <w:rFonts w:cs="Arial"/>
          <w:szCs w:val="16"/>
        </w:rPr>
        <w:t xml:space="preserve"> Harper I, Anderson P, </w:t>
      </w:r>
      <w:proofErr w:type="spellStart"/>
      <w:r w:rsidRPr="00003FA3">
        <w:rPr>
          <w:rFonts w:cs="Arial"/>
          <w:szCs w:val="16"/>
        </w:rPr>
        <w:t>McCluskey</w:t>
      </w:r>
      <w:proofErr w:type="spellEnd"/>
      <w:r w:rsidRPr="00003FA3">
        <w:rPr>
          <w:rFonts w:cs="Arial"/>
          <w:szCs w:val="16"/>
        </w:rPr>
        <w:t xml:space="preserve"> S, O’Bryan M, </w:t>
      </w:r>
      <w:r w:rsidRPr="00003FA3">
        <w:rPr>
          <w:rFonts w:cs="Arial"/>
          <w:i/>
          <w:szCs w:val="16"/>
        </w:rPr>
        <w:t>Competition Policy Review</w:t>
      </w:r>
      <w:r w:rsidRPr="00003FA3">
        <w:rPr>
          <w:rFonts w:cs="Arial"/>
          <w:szCs w:val="16"/>
        </w:rPr>
        <w:t>, final report, March 2015</w:t>
      </w:r>
    </w:p>
  </w:footnote>
  <w:footnote w:id="10">
    <w:p w:rsidR="00AA75D5" w:rsidRPr="001A155D" w:rsidRDefault="00AA75D5" w:rsidP="005517EB">
      <w:pPr>
        <w:spacing w:before="0" w:after="0"/>
        <w:ind w:left="142" w:hanging="142"/>
        <w:rPr>
          <w:rFonts w:eastAsia="Times New Roman" w:cs="Arial"/>
          <w:sz w:val="16"/>
          <w:szCs w:val="16"/>
        </w:rPr>
      </w:pPr>
      <w:r w:rsidRPr="001A155D">
        <w:rPr>
          <w:rStyle w:val="FootnoteReference"/>
          <w:rFonts w:cs="Arial"/>
          <w:sz w:val="16"/>
          <w:szCs w:val="16"/>
        </w:rPr>
        <w:footnoteRef/>
      </w:r>
      <w:r w:rsidRPr="001A155D">
        <w:rPr>
          <w:rFonts w:cs="Arial"/>
          <w:sz w:val="16"/>
          <w:szCs w:val="16"/>
        </w:rPr>
        <w:t xml:space="preserve"> </w:t>
      </w:r>
      <w:r>
        <w:rPr>
          <w:rFonts w:cs="Arial"/>
          <w:sz w:val="16"/>
          <w:szCs w:val="16"/>
        </w:rPr>
        <w:t xml:space="preserve"> </w:t>
      </w:r>
      <w:r w:rsidRPr="001A155D">
        <w:rPr>
          <w:rFonts w:eastAsia="Times New Roman" w:cs="Arial"/>
          <w:bCs/>
          <w:sz w:val="16"/>
          <w:szCs w:val="16"/>
        </w:rPr>
        <w:t xml:space="preserve">Summary of the issue of information sharing which is NOT professionally-mediated, by Emily Steel of </w:t>
      </w:r>
      <w:r>
        <w:rPr>
          <w:rFonts w:eastAsia="Times New Roman" w:cs="Arial"/>
          <w:bCs/>
          <w:sz w:val="16"/>
          <w:szCs w:val="16"/>
        </w:rPr>
        <w:t xml:space="preserve">the </w:t>
      </w:r>
      <w:r w:rsidRPr="001A155D">
        <w:rPr>
          <w:rFonts w:eastAsia="Times New Roman" w:cs="Arial"/>
          <w:bCs/>
          <w:sz w:val="16"/>
          <w:szCs w:val="16"/>
        </w:rPr>
        <w:t>University of Queensland</w:t>
      </w:r>
      <w:r>
        <w:rPr>
          <w:rFonts w:eastAsia="Times New Roman" w:cs="Arial"/>
          <w:bCs/>
          <w:sz w:val="16"/>
          <w:szCs w:val="16"/>
        </w:rPr>
        <w:t>,</w:t>
      </w:r>
      <w:r w:rsidRPr="001A155D">
        <w:rPr>
          <w:rFonts w:eastAsia="Times New Roman" w:cs="Arial"/>
          <w:bCs/>
          <w:sz w:val="16"/>
          <w:szCs w:val="16"/>
        </w:rPr>
        <w:t xml:space="preserve"> whose current PhD study concerns choice and information for AT users </w:t>
      </w:r>
      <w:r w:rsidRPr="001A155D">
        <w:rPr>
          <w:rFonts w:eastAsia="Times New Roman" w:cs="Arial"/>
          <w:sz w:val="16"/>
          <w:szCs w:val="16"/>
        </w:rPr>
        <w:t>&lt;</w:t>
      </w:r>
      <w:hyperlink r:id="rId2" w:history="1">
        <w:r w:rsidRPr="001A155D">
          <w:rPr>
            <w:rStyle w:val="Hyperlink"/>
            <w:rFonts w:eastAsia="Times New Roman" w:cs="Arial"/>
            <w:sz w:val="16"/>
            <w:szCs w:val="16"/>
          </w:rPr>
          <w:t>e.steel@uq.edu.au</w:t>
        </w:r>
      </w:hyperlink>
      <w:r w:rsidRPr="001A155D">
        <w:rPr>
          <w:rFonts w:eastAsia="Times New Roman" w:cs="Arial"/>
          <w:sz w:val="16"/>
          <w:szCs w:val="16"/>
        </w:rPr>
        <w:t xml:space="preserve">&gt; </w:t>
      </w:r>
    </w:p>
    <w:p w:rsidR="00AA75D5" w:rsidRPr="00EE118E" w:rsidRDefault="00AA75D5" w:rsidP="005517EB">
      <w:pPr>
        <w:pStyle w:val="FootnoteText"/>
      </w:pPr>
    </w:p>
  </w:footnote>
  <w:footnote w:id="11">
    <w:p w:rsidR="00AA75D5" w:rsidRPr="0079464B" w:rsidRDefault="00AA75D5" w:rsidP="0079464B">
      <w:pPr>
        <w:pStyle w:val="FootnoteText"/>
        <w:spacing w:before="0" w:after="0"/>
        <w:ind w:left="142" w:hanging="142"/>
        <w:rPr>
          <w:rFonts w:cs="Arial"/>
          <w:szCs w:val="16"/>
          <w:lang w:val="en-AU"/>
        </w:rPr>
      </w:pPr>
      <w:r w:rsidRPr="007D1623">
        <w:rPr>
          <w:rStyle w:val="FootnoteReference"/>
          <w:rFonts w:ascii="Arial" w:hAnsi="Arial" w:cs="Arial"/>
          <w:sz w:val="16"/>
          <w:szCs w:val="16"/>
        </w:rPr>
        <w:footnoteRef/>
      </w:r>
      <w:r w:rsidRPr="00247BE0">
        <w:rPr>
          <w:rFonts w:cs="Arial"/>
          <w:szCs w:val="16"/>
        </w:rPr>
        <w:t xml:space="preserve"> </w:t>
      </w:r>
      <w:r>
        <w:rPr>
          <w:rFonts w:cs="Arial"/>
          <w:szCs w:val="16"/>
        </w:rPr>
        <w:t xml:space="preserve">Based on </w:t>
      </w:r>
      <w:r w:rsidRPr="00247BE0">
        <w:rPr>
          <w:rFonts w:cs="Arial"/>
          <w:szCs w:val="16"/>
          <w:lang w:val="en-AU"/>
        </w:rPr>
        <w:t>BCG experience, Harper Competition Policy Review</w:t>
      </w:r>
      <w:r w:rsidRPr="009B4FF6">
        <w:rPr>
          <w:rFonts w:cs="Arial"/>
          <w:szCs w:val="16"/>
          <w:lang w:val="en-AU"/>
        </w:rPr>
        <w:t xml:space="preserve"> Ch</w:t>
      </w:r>
      <w:r>
        <w:rPr>
          <w:rFonts w:cs="Arial"/>
          <w:szCs w:val="16"/>
          <w:lang w:val="en-AU"/>
        </w:rPr>
        <w:t>s</w:t>
      </w:r>
      <w:r w:rsidRPr="00247BE0">
        <w:rPr>
          <w:rFonts w:cs="Arial"/>
          <w:szCs w:val="16"/>
          <w:lang w:val="en-AU"/>
        </w:rPr>
        <w:t>12</w:t>
      </w:r>
      <w:r>
        <w:rPr>
          <w:rFonts w:cs="Arial"/>
          <w:szCs w:val="16"/>
          <w:lang w:val="en-AU"/>
        </w:rPr>
        <w:t xml:space="preserve"> </w:t>
      </w:r>
      <w:r w:rsidRPr="00247BE0">
        <w:rPr>
          <w:rFonts w:cs="Arial"/>
          <w:szCs w:val="16"/>
          <w:lang w:val="en-AU"/>
        </w:rPr>
        <w:t>&amp;14, team interviews, state interv</w:t>
      </w:r>
      <w:r w:rsidRPr="009B4FF6">
        <w:rPr>
          <w:rFonts w:cs="Arial"/>
          <w:szCs w:val="16"/>
          <w:lang w:val="en-AU"/>
        </w:rPr>
        <w:t>iews</w:t>
      </w:r>
    </w:p>
  </w:footnote>
  <w:footnote w:id="12">
    <w:p w:rsidR="00AA75D5" w:rsidRPr="007D1623" w:rsidRDefault="00AA75D5" w:rsidP="007D1623">
      <w:pPr>
        <w:pStyle w:val="FootnoteText"/>
        <w:spacing w:before="0" w:after="0"/>
        <w:ind w:left="142" w:hanging="142"/>
        <w:rPr>
          <w:rFonts w:cs="Arial"/>
          <w:szCs w:val="16"/>
          <w:lang w:val="en-US"/>
        </w:rPr>
      </w:pPr>
      <w:r w:rsidRPr="007D1623">
        <w:rPr>
          <w:rStyle w:val="FootnoteReference"/>
          <w:rFonts w:ascii="Arial" w:hAnsi="Arial" w:cs="Arial"/>
          <w:sz w:val="16"/>
          <w:szCs w:val="16"/>
        </w:rPr>
        <w:footnoteRef/>
      </w:r>
      <w:r w:rsidRPr="00F13632">
        <w:rPr>
          <w:rFonts w:cs="Arial"/>
          <w:szCs w:val="16"/>
        </w:rPr>
        <w:t xml:space="preserve"> </w:t>
      </w:r>
      <w:r w:rsidRPr="00F13632">
        <w:rPr>
          <w:rFonts w:cs="Arial"/>
          <w:szCs w:val="16"/>
          <w:lang w:val="en-US"/>
        </w:rPr>
        <w:t xml:space="preserve">See below </w:t>
      </w:r>
      <w:r w:rsidRPr="00B00CEF">
        <w:rPr>
          <w:rFonts w:cs="Arial"/>
          <w:szCs w:val="16"/>
          <w:lang w:val="en-US"/>
        </w:rPr>
        <w:t xml:space="preserve">for the approach to categorizing </w:t>
      </w:r>
      <w:r>
        <w:rPr>
          <w:rFonts w:cs="Arial"/>
          <w:szCs w:val="16"/>
          <w:lang w:val="en-US"/>
        </w:rPr>
        <w:t xml:space="preserve">or bundling </w:t>
      </w:r>
      <w:r w:rsidRPr="00B00CEF">
        <w:rPr>
          <w:rFonts w:cs="Arial"/>
          <w:szCs w:val="16"/>
          <w:lang w:val="en-US"/>
        </w:rPr>
        <w:t xml:space="preserve">AT items. </w:t>
      </w:r>
    </w:p>
  </w:footnote>
  <w:footnote w:id="13">
    <w:p w:rsidR="00AA75D5" w:rsidRPr="007D1623" w:rsidRDefault="00AA75D5" w:rsidP="007D1623">
      <w:pPr>
        <w:pStyle w:val="FootnoteText"/>
        <w:spacing w:before="0" w:after="0"/>
        <w:ind w:left="142" w:hanging="142"/>
        <w:rPr>
          <w:rFonts w:cs="Arial"/>
          <w:szCs w:val="16"/>
          <w:lang w:val="en-AU"/>
        </w:rPr>
      </w:pPr>
      <w:r w:rsidRPr="007D1623">
        <w:rPr>
          <w:rStyle w:val="FootnoteReference"/>
          <w:rFonts w:ascii="Arial" w:hAnsi="Arial" w:cs="Arial"/>
          <w:sz w:val="16"/>
          <w:szCs w:val="16"/>
        </w:rPr>
        <w:footnoteRef/>
      </w:r>
      <w:r w:rsidRPr="00F13632">
        <w:rPr>
          <w:rFonts w:cs="Arial"/>
          <w:szCs w:val="16"/>
        </w:rPr>
        <w:t xml:space="preserve"> </w:t>
      </w:r>
      <w:r w:rsidRPr="00F13632">
        <w:rPr>
          <w:rFonts w:cs="Arial"/>
          <w:szCs w:val="16"/>
          <w:lang w:val="en-US"/>
        </w:rPr>
        <w:t xml:space="preserve">Examples include </w:t>
      </w:r>
      <w:r w:rsidRPr="00B00CEF">
        <w:rPr>
          <w:rFonts w:cs="Arial"/>
          <w:szCs w:val="16"/>
          <w:lang w:val="en-AU"/>
        </w:rPr>
        <w:t>adult absorbent pull ups, child nappies, single-use inserts</w:t>
      </w:r>
    </w:p>
  </w:footnote>
  <w:footnote w:id="14">
    <w:p w:rsidR="00AA75D5" w:rsidRPr="007D1623" w:rsidRDefault="00AA75D5" w:rsidP="007D1623">
      <w:pPr>
        <w:pStyle w:val="FootnoteText"/>
        <w:spacing w:before="0" w:after="0"/>
        <w:ind w:left="142" w:hanging="142"/>
        <w:rPr>
          <w:rFonts w:cs="Arial"/>
          <w:szCs w:val="16"/>
          <w:lang w:val="en-US"/>
        </w:rPr>
      </w:pPr>
      <w:r w:rsidRPr="007D1623">
        <w:rPr>
          <w:rStyle w:val="FootnoteReference"/>
          <w:rFonts w:ascii="Arial" w:hAnsi="Arial" w:cs="Arial"/>
          <w:sz w:val="16"/>
          <w:szCs w:val="16"/>
        </w:rPr>
        <w:footnoteRef/>
      </w:r>
      <w:r w:rsidRPr="00F13632">
        <w:rPr>
          <w:rFonts w:cs="Arial"/>
          <w:szCs w:val="16"/>
        </w:rPr>
        <w:t xml:space="preserve"> </w:t>
      </w:r>
      <w:r w:rsidRPr="007D1623">
        <w:rPr>
          <w:rFonts w:cs="Arial"/>
          <w:szCs w:val="16"/>
          <w:lang w:val="en-US"/>
        </w:rPr>
        <w:t xml:space="preserve">Estimated annual AT expenditure, linearly extrapolated </w:t>
      </w:r>
      <w:r>
        <w:rPr>
          <w:rFonts w:cs="Arial"/>
          <w:szCs w:val="16"/>
          <w:lang w:val="en-US"/>
        </w:rPr>
        <w:t xml:space="preserve">from </w:t>
      </w:r>
      <w:r w:rsidRPr="007D1623">
        <w:rPr>
          <w:rFonts w:cs="Arial"/>
          <w:szCs w:val="16"/>
          <w:lang w:val="en-US"/>
        </w:rPr>
        <w:t>committed trial site funding based on NDIA actuarial team assumptions.</w:t>
      </w:r>
    </w:p>
  </w:footnote>
  <w:footnote w:id="15">
    <w:p w:rsidR="00AA75D5" w:rsidRPr="007D1623" w:rsidRDefault="00AA75D5" w:rsidP="007D1623">
      <w:pPr>
        <w:pStyle w:val="FootnoteText"/>
        <w:spacing w:before="0" w:after="0"/>
        <w:ind w:left="142" w:hanging="142"/>
        <w:rPr>
          <w:rFonts w:cs="Arial"/>
          <w:szCs w:val="16"/>
          <w:lang w:val="en-US"/>
        </w:rPr>
      </w:pPr>
      <w:r w:rsidRPr="007D1623">
        <w:rPr>
          <w:rStyle w:val="FootnoteReference"/>
          <w:rFonts w:ascii="Arial" w:hAnsi="Arial" w:cs="Arial"/>
          <w:sz w:val="16"/>
          <w:szCs w:val="16"/>
        </w:rPr>
        <w:footnoteRef/>
      </w:r>
      <w:r>
        <w:rPr>
          <w:rFonts w:cs="Arial"/>
          <w:szCs w:val="16"/>
        </w:rPr>
        <w:t xml:space="preserve"> </w:t>
      </w:r>
      <w:r w:rsidRPr="00823315">
        <w:rPr>
          <w:rFonts w:cs="Arial"/>
          <w:szCs w:val="16"/>
        </w:rPr>
        <w:t xml:space="preserve">The proposed initiative to address information asymmetry is described in Section </w:t>
      </w:r>
      <w:r w:rsidRPr="009D317C">
        <w:rPr>
          <w:rFonts w:cs="Arial"/>
          <w:szCs w:val="16"/>
        </w:rPr>
        <w:t>3.</w:t>
      </w:r>
      <w:r w:rsidRPr="00BC3662">
        <w:rPr>
          <w:rFonts w:cs="Arial"/>
          <w:szCs w:val="16"/>
        </w:rPr>
        <w:t>2</w:t>
      </w:r>
      <w:r w:rsidRPr="00D851DF">
        <w:rPr>
          <w:rFonts w:cs="Arial"/>
          <w:szCs w:val="16"/>
        </w:rPr>
        <w:t>.3</w:t>
      </w:r>
    </w:p>
  </w:footnote>
  <w:footnote w:id="16">
    <w:p w:rsidR="00AA75D5" w:rsidRPr="00823315" w:rsidRDefault="00AA75D5" w:rsidP="007D1623">
      <w:pPr>
        <w:pStyle w:val="FootnoteText"/>
        <w:spacing w:before="0" w:after="0"/>
        <w:ind w:left="142" w:hanging="142"/>
        <w:rPr>
          <w:rFonts w:cs="Arial"/>
          <w:szCs w:val="16"/>
          <w:lang w:val="en-AU"/>
        </w:rPr>
      </w:pPr>
      <w:r w:rsidRPr="007D1623">
        <w:rPr>
          <w:rStyle w:val="FootnoteReference"/>
          <w:rFonts w:ascii="Arial" w:hAnsi="Arial" w:cs="Arial"/>
          <w:sz w:val="16"/>
          <w:szCs w:val="16"/>
        </w:rPr>
        <w:footnoteRef/>
      </w:r>
      <w:r w:rsidRPr="00823315">
        <w:rPr>
          <w:rFonts w:cs="Arial"/>
          <w:szCs w:val="16"/>
        </w:rPr>
        <w:t xml:space="preserve"> </w:t>
      </w:r>
      <w:r w:rsidRPr="00823315">
        <w:rPr>
          <w:rFonts w:cs="Arial"/>
          <w:szCs w:val="16"/>
          <w:lang w:val="en-AU"/>
        </w:rPr>
        <w:t>Annual AT expenditure by marketable parcel at full scheme</w:t>
      </w:r>
      <w:r>
        <w:rPr>
          <w:rFonts w:cs="Arial"/>
          <w:szCs w:val="16"/>
          <w:lang w:val="en-AU"/>
        </w:rPr>
        <w:t>,</w:t>
      </w:r>
      <w:r w:rsidRPr="00823315">
        <w:rPr>
          <w:rFonts w:cs="Arial"/>
          <w:szCs w:val="16"/>
          <w:lang w:val="en-AU"/>
        </w:rPr>
        <w:t xml:space="preserve"> linearly extrapolated </w:t>
      </w:r>
      <w:r>
        <w:rPr>
          <w:rFonts w:cs="Arial"/>
          <w:szCs w:val="16"/>
          <w:lang w:val="en-AU"/>
        </w:rPr>
        <w:t>from committed</w:t>
      </w:r>
      <w:r w:rsidRPr="00823315">
        <w:rPr>
          <w:rFonts w:cs="Arial"/>
          <w:szCs w:val="16"/>
          <w:lang w:val="en-AU"/>
        </w:rPr>
        <w:t xml:space="preserve"> trial site funding</w:t>
      </w:r>
      <w:r>
        <w:rPr>
          <w:rFonts w:cs="Arial"/>
          <w:szCs w:val="16"/>
          <w:lang w:val="en-AU"/>
        </w:rPr>
        <w:t>, based on</w:t>
      </w:r>
      <w:r w:rsidRPr="00823315">
        <w:rPr>
          <w:rFonts w:cs="Arial"/>
          <w:szCs w:val="16"/>
          <w:lang w:val="en-AU"/>
        </w:rPr>
        <w:t xml:space="preserve"> NDIA actuarial team</w:t>
      </w:r>
      <w:r>
        <w:rPr>
          <w:rFonts w:cs="Arial"/>
          <w:szCs w:val="16"/>
          <w:lang w:val="en-AU"/>
        </w:rPr>
        <w:t xml:space="preserve"> assumptions</w:t>
      </w:r>
    </w:p>
    <w:p w:rsidR="00AA75D5" w:rsidRPr="007D1623" w:rsidRDefault="00AA75D5">
      <w:pPr>
        <w:pStyle w:val="FootnoteText"/>
        <w:rPr>
          <w:lang w:val="en-US"/>
        </w:rPr>
      </w:pPr>
    </w:p>
  </w:footnote>
  <w:footnote w:id="17">
    <w:p w:rsidR="00AA75D5" w:rsidRPr="007D1623" w:rsidRDefault="00AA75D5" w:rsidP="007D1623">
      <w:pPr>
        <w:pStyle w:val="FootnoteText"/>
        <w:spacing w:before="0" w:after="0"/>
        <w:ind w:left="142" w:hanging="142"/>
        <w:rPr>
          <w:rFonts w:cs="Arial"/>
          <w:szCs w:val="16"/>
          <w:lang w:val="en-AU"/>
        </w:rPr>
      </w:pPr>
      <w:r w:rsidRPr="000B6088">
        <w:rPr>
          <w:rStyle w:val="FootnoteReference"/>
          <w:rFonts w:ascii="Arial" w:hAnsi="Arial" w:cs="Arial"/>
          <w:sz w:val="16"/>
          <w:szCs w:val="16"/>
        </w:rPr>
        <w:footnoteRef/>
      </w:r>
      <w:r w:rsidRPr="00823315">
        <w:rPr>
          <w:rFonts w:cs="Arial"/>
          <w:szCs w:val="16"/>
        </w:rPr>
        <w:t xml:space="preserve"> </w:t>
      </w:r>
      <w:r w:rsidRPr="00823315">
        <w:rPr>
          <w:rFonts w:cs="Arial"/>
          <w:szCs w:val="16"/>
          <w:lang w:val="en-AU"/>
        </w:rPr>
        <w:t>Annual AT expenditure by marketable parcel at full scheme</w:t>
      </w:r>
      <w:r>
        <w:rPr>
          <w:rFonts w:cs="Arial"/>
          <w:szCs w:val="16"/>
          <w:lang w:val="en-AU"/>
        </w:rPr>
        <w:t>,</w:t>
      </w:r>
      <w:r w:rsidRPr="00823315">
        <w:rPr>
          <w:rFonts w:cs="Arial"/>
          <w:szCs w:val="16"/>
          <w:lang w:val="en-AU"/>
        </w:rPr>
        <w:t xml:space="preserve"> linearly extrapolated </w:t>
      </w:r>
      <w:r>
        <w:rPr>
          <w:rFonts w:cs="Arial"/>
          <w:szCs w:val="16"/>
          <w:lang w:val="en-AU"/>
        </w:rPr>
        <w:t>from committed</w:t>
      </w:r>
      <w:r w:rsidRPr="00823315">
        <w:rPr>
          <w:rFonts w:cs="Arial"/>
          <w:szCs w:val="16"/>
          <w:lang w:val="en-AU"/>
        </w:rPr>
        <w:t xml:space="preserve"> trial site funding</w:t>
      </w:r>
      <w:r>
        <w:rPr>
          <w:rFonts w:cs="Arial"/>
          <w:szCs w:val="16"/>
          <w:lang w:val="en-AU"/>
        </w:rPr>
        <w:t>, based on</w:t>
      </w:r>
      <w:r w:rsidRPr="00823315">
        <w:rPr>
          <w:rFonts w:cs="Arial"/>
          <w:szCs w:val="16"/>
          <w:lang w:val="en-AU"/>
        </w:rPr>
        <w:t xml:space="preserve"> NDIA actuarial team</w:t>
      </w:r>
      <w:r>
        <w:rPr>
          <w:rFonts w:cs="Arial"/>
          <w:szCs w:val="16"/>
          <w:lang w:val="en-AU"/>
        </w:rPr>
        <w:t xml:space="preserve"> assumptions</w:t>
      </w:r>
    </w:p>
  </w:footnote>
  <w:footnote w:id="18">
    <w:p w:rsidR="00AA75D5" w:rsidRPr="00823315" w:rsidRDefault="00AA75D5" w:rsidP="00AD21FF">
      <w:pPr>
        <w:pStyle w:val="FootnoteText"/>
        <w:spacing w:before="0" w:after="0"/>
        <w:ind w:left="142" w:hanging="142"/>
        <w:rPr>
          <w:rFonts w:cs="Arial"/>
          <w:szCs w:val="16"/>
          <w:lang w:val="en-AU"/>
        </w:rPr>
      </w:pPr>
      <w:r w:rsidRPr="000B6088">
        <w:rPr>
          <w:rStyle w:val="FootnoteReference"/>
          <w:rFonts w:ascii="Arial" w:hAnsi="Arial" w:cs="Arial"/>
          <w:sz w:val="16"/>
          <w:szCs w:val="16"/>
        </w:rPr>
        <w:footnoteRef/>
      </w:r>
      <w:r w:rsidRPr="00823315">
        <w:rPr>
          <w:rFonts w:cs="Arial"/>
          <w:szCs w:val="16"/>
        </w:rPr>
        <w:t xml:space="preserve"> </w:t>
      </w:r>
      <w:r w:rsidRPr="00823315">
        <w:rPr>
          <w:rFonts w:cs="Arial"/>
          <w:szCs w:val="16"/>
          <w:lang w:val="en-AU"/>
        </w:rPr>
        <w:t>Annual AT expenditure by marketable parcel at full scheme</w:t>
      </w:r>
      <w:r>
        <w:rPr>
          <w:rFonts w:cs="Arial"/>
          <w:szCs w:val="16"/>
          <w:lang w:val="en-AU"/>
        </w:rPr>
        <w:t>,</w:t>
      </w:r>
      <w:r w:rsidRPr="00823315">
        <w:rPr>
          <w:rFonts w:cs="Arial"/>
          <w:szCs w:val="16"/>
          <w:lang w:val="en-AU"/>
        </w:rPr>
        <w:t xml:space="preserve"> linearly extrapolated </w:t>
      </w:r>
      <w:r>
        <w:rPr>
          <w:rFonts w:cs="Arial"/>
          <w:szCs w:val="16"/>
          <w:lang w:val="en-AU"/>
        </w:rPr>
        <w:t>from committed</w:t>
      </w:r>
      <w:r w:rsidRPr="00823315">
        <w:rPr>
          <w:rFonts w:cs="Arial"/>
          <w:szCs w:val="16"/>
          <w:lang w:val="en-AU"/>
        </w:rPr>
        <w:t xml:space="preserve"> trial site funding</w:t>
      </w:r>
      <w:r>
        <w:rPr>
          <w:rFonts w:cs="Arial"/>
          <w:szCs w:val="16"/>
          <w:lang w:val="en-AU"/>
        </w:rPr>
        <w:t>, based on</w:t>
      </w:r>
      <w:r w:rsidRPr="00823315">
        <w:rPr>
          <w:rFonts w:cs="Arial"/>
          <w:szCs w:val="16"/>
          <w:lang w:val="en-AU"/>
        </w:rPr>
        <w:t xml:space="preserve"> NDIA actuarial team</w:t>
      </w:r>
      <w:r>
        <w:rPr>
          <w:rFonts w:cs="Arial"/>
          <w:szCs w:val="16"/>
          <w:lang w:val="en-AU"/>
        </w:rPr>
        <w:t xml:space="preserve"> assumptions</w:t>
      </w:r>
    </w:p>
    <w:p w:rsidR="00AA75D5" w:rsidRPr="000B6088" w:rsidRDefault="00AA75D5" w:rsidP="00AD21FF">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D5" w:rsidRDefault="00AA75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D5" w:rsidRPr="00527F8B" w:rsidRDefault="00AA75D5" w:rsidP="00527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0BD"/>
    <w:multiLevelType w:val="hybridMultilevel"/>
    <w:tmpl w:val="A47C9F5A"/>
    <w:lvl w:ilvl="0" w:tplc="AE1620F8">
      <w:start w:val="1"/>
      <w:numFmt w:val="bullet"/>
      <w:lvlText w:val="•"/>
      <w:lvlJc w:val="left"/>
      <w:pPr>
        <w:tabs>
          <w:tab w:val="num" w:pos="720"/>
        </w:tabs>
        <w:ind w:left="720" w:hanging="360"/>
      </w:pPr>
      <w:rPr>
        <w:rFonts w:ascii="Arial" w:hAnsi="Arial" w:hint="default"/>
      </w:rPr>
    </w:lvl>
    <w:lvl w:ilvl="1" w:tplc="19B20D1A">
      <w:start w:val="1"/>
      <w:numFmt w:val="bullet"/>
      <w:lvlText w:val="•"/>
      <w:lvlJc w:val="left"/>
      <w:pPr>
        <w:tabs>
          <w:tab w:val="num" w:pos="1440"/>
        </w:tabs>
        <w:ind w:left="1440" w:hanging="360"/>
      </w:pPr>
      <w:rPr>
        <w:rFonts w:ascii="Arial" w:hAnsi="Arial" w:hint="default"/>
      </w:rPr>
    </w:lvl>
    <w:lvl w:ilvl="2" w:tplc="DCEAA4C0" w:tentative="1">
      <w:start w:val="1"/>
      <w:numFmt w:val="bullet"/>
      <w:lvlText w:val="•"/>
      <w:lvlJc w:val="left"/>
      <w:pPr>
        <w:tabs>
          <w:tab w:val="num" w:pos="2160"/>
        </w:tabs>
        <w:ind w:left="2160" w:hanging="360"/>
      </w:pPr>
      <w:rPr>
        <w:rFonts w:ascii="Arial" w:hAnsi="Arial" w:hint="default"/>
      </w:rPr>
    </w:lvl>
    <w:lvl w:ilvl="3" w:tplc="D428986C" w:tentative="1">
      <w:start w:val="1"/>
      <w:numFmt w:val="bullet"/>
      <w:lvlText w:val="•"/>
      <w:lvlJc w:val="left"/>
      <w:pPr>
        <w:tabs>
          <w:tab w:val="num" w:pos="2880"/>
        </w:tabs>
        <w:ind w:left="2880" w:hanging="360"/>
      </w:pPr>
      <w:rPr>
        <w:rFonts w:ascii="Arial" w:hAnsi="Arial" w:hint="default"/>
      </w:rPr>
    </w:lvl>
    <w:lvl w:ilvl="4" w:tplc="F042927C" w:tentative="1">
      <w:start w:val="1"/>
      <w:numFmt w:val="bullet"/>
      <w:lvlText w:val="•"/>
      <w:lvlJc w:val="left"/>
      <w:pPr>
        <w:tabs>
          <w:tab w:val="num" w:pos="3600"/>
        </w:tabs>
        <w:ind w:left="3600" w:hanging="360"/>
      </w:pPr>
      <w:rPr>
        <w:rFonts w:ascii="Arial" w:hAnsi="Arial" w:hint="default"/>
      </w:rPr>
    </w:lvl>
    <w:lvl w:ilvl="5" w:tplc="236085F0" w:tentative="1">
      <w:start w:val="1"/>
      <w:numFmt w:val="bullet"/>
      <w:lvlText w:val="•"/>
      <w:lvlJc w:val="left"/>
      <w:pPr>
        <w:tabs>
          <w:tab w:val="num" w:pos="4320"/>
        </w:tabs>
        <w:ind w:left="4320" w:hanging="360"/>
      </w:pPr>
      <w:rPr>
        <w:rFonts w:ascii="Arial" w:hAnsi="Arial" w:hint="default"/>
      </w:rPr>
    </w:lvl>
    <w:lvl w:ilvl="6" w:tplc="F1F4D518" w:tentative="1">
      <w:start w:val="1"/>
      <w:numFmt w:val="bullet"/>
      <w:lvlText w:val="•"/>
      <w:lvlJc w:val="left"/>
      <w:pPr>
        <w:tabs>
          <w:tab w:val="num" w:pos="5040"/>
        </w:tabs>
        <w:ind w:left="5040" w:hanging="360"/>
      </w:pPr>
      <w:rPr>
        <w:rFonts w:ascii="Arial" w:hAnsi="Arial" w:hint="default"/>
      </w:rPr>
    </w:lvl>
    <w:lvl w:ilvl="7" w:tplc="A9F83352" w:tentative="1">
      <w:start w:val="1"/>
      <w:numFmt w:val="bullet"/>
      <w:lvlText w:val="•"/>
      <w:lvlJc w:val="left"/>
      <w:pPr>
        <w:tabs>
          <w:tab w:val="num" w:pos="5760"/>
        </w:tabs>
        <w:ind w:left="5760" w:hanging="360"/>
      </w:pPr>
      <w:rPr>
        <w:rFonts w:ascii="Arial" w:hAnsi="Arial" w:hint="default"/>
      </w:rPr>
    </w:lvl>
    <w:lvl w:ilvl="8" w:tplc="62DAA4A8" w:tentative="1">
      <w:start w:val="1"/>
      <w:numFmt w:val="bullet"/>
      <w:lvlText w:val="•"/>
      <w:lvlJc w:val="left"/>
      <w:pPr>
        <w:tabs>
          <w:tab w:val="num" w:pos="6480"/>
        </w:tabs>
        <w:ind w:left="6480" w:hanging="360"/>
      </w:pPr>
      <w:rPr>
        <w:rFonts w:ascii="Arial" w:hAnsi="Arial" w:hint="default"/>
      </w:rPr>
    </w:lvl>
  </w:abstractNum>
  <w:abstractNum w:abstractNumId="1">
    <w:nsid w:val="039E7A7C"/>
    <w:multiLevelType w:val="hybridMultilevel"/>
    <w:tmpl w:val="B996375C"/>
    <w:lvl w:ilvl="0" w:tplc="0C09000F">
      <w:start w:val="1"/>
      <w:numFmt w:val="decimal"/>
      <w:lvlText w:val="%1."/>
      <w:lvlJc w:val="left"/>
      <w:pPr>
        <w:ind w:left="720" w:hanging="360"/>
      </w:pPr>
      <w:rPr>
        <w:rFonts w:hint="default"/>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C4617AC"/>
    <w:multiLevelType w:val="multilevel"/>
    <w:tmpl w:val="FE5C94C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4C3BA8"/>
    <w:multiLevelType w:val="hybridMultilevel"/>
    <w:tmpl w:val="CA6C081A"/>
    <w:lvl w:ilvl="0" w:tplc="CD6AF2BA">
      <w:start w:val="1"/>
      <w:numFmt w:val="decimal"/>
      <w:lvlText w:val="%1."/>
      <w:lvlJc w:val="left"/>
      <w:pPr>
        <w:tabs>
          <w:tab w:val="num" w:pos="720"/>
        </w:tabs>
        <w:ind w:left="720" w:hanging="360"/>
      </w:pPr>
    </w:lvl>
    <w:lvl w:ilvl="1" w:tplc="04090001">
      <w:start w:val="1"/>
      <w:numFmt w:val="bullet"/>
      <w:lvlText w:val=""/>
      <w:lvlJc w:val="left"/>
      <w:pPr>
        <w:ind w:left="720" w:hanging="360"/>
      </w:pPr>
      <w:rPr>
        <w:rFonts w:ascii="Symbol" w:hAnsi="Symbol" w:hint="default"/>
      </w:rPr>
    </w:lvl>
    <w:lvl w:ilvl="2" w:tplc="A2FC4C5A" w:tentative="1">
      <w:start w:val="1"/>
      <w:numFmt w:val="decimal"/>
      <w:lvlText w:val="%3."/>
      <w:lvlJc w:val="left"/>
      <w:pPr>
        <w:tabs>
          <w:tab w:val="num" w:pos="2160"/>
        </w:tabs>
        <w:ind w:left="2160" w:hanging="360"/>
      </w:pPr>
    </w:lvl>
    <w:lvl w:ilvl="3" w:tplc="B2142C38" w:tentative="1">
      <w:start w:val="1"/>
      <w:numFmt w:val="decimal"/>
      <w:lvlText w:val="%4."/>
      <w:lvlJc w:val="left"/>
      <w:pPr>
        <w:tabs>
          <w:tab w:val="num" w:pos="2880"/>
        </w:tabs>
        <w:ind w:left="2880" w:hanging="360"/>
      </w:pPr>
    </w:lvl>
    <w:lvl w:ilvl="4" w:tplc="D49E621C" w:tentative="1">
      <w:start w:val="1"/>
      <w:numFmt w:val="decimal"/>
      <w:lvlText w:val="%5."/>
      <w:lvlJc w:val="left"/>
      <w:pPr>
        <w:tabs>
          <w:tab w:val="num" w:pos="3600"/>
        </w:tabs>
        <w:ind w:left="3600" w:hanging="360"/>
      </w:pPr>
    </w:lvl>
    <w:lvl w:ilvl="5" w:tplc="4FACF0E2" w:tentative="1">
      <w:start w:val="1"/>
      <w:numFmt w:val="decimal"/>
      <w:lvlText w:val="%6."/>
      <w:lvlJc w:val="left"/>
      <w:pPr>
        <w:tabs>
          <w:tab w:val="num" w:pos="4320"/>
        </w:tabs>
        <w:ind w:left="4320" w:hanging="360"/>
      </w:pPr>
    </w:lvl>
    <w:lvl w:ilvl="6" w:tplc="974E2AE2" w:tentative="1">
      <w:start w:val="1"/>
      <w:numFmt w:val="decimal"/>
      <w:lvlText w:val="%7."/>
      <w:lvlJc w:val="left"/>
      <w:pPr>
        <w:tabs>
          <w:tab w:val="num" w:pos="5040"/>
        </w:tabs>
        <w:ind w:left="5040" w:hanging="360"/>
      </w:pPr>
    </w:lvl>
    <w:lvl w:ilvl="7" w:tplc="9F669EC8" w:tentative="1">
      <w:start w:val="1"/>
      <w:numFmt w:val="decimal"/>
      <w:lvlText w:val="%8."/>
      <w:lvlJc w:val="left"/>
      <w:pPr>
        <w:tabs>
          <w:tab w:val="num" w:pos="5760"/>
        </w:tabs>
        <w:ind w:left="5760" w:hanging="360"/>
      </w:pPr>
    </w:lvl>
    <w:lvl w:ilvl="8" w:tplc="F8CA16D4" w:tentative="1">
      <w:start w:val="1"/>
      <w:numFmt w:val="decimal"/>
      <w:lvlText w:val="%9."/>
      <w:lvlJc w:val="left"/>
      <w:pPr>
        <w:tabs>
          <w:tab w:val="num" w:pos="6480"/>
        </w:tabs>
        <w:ind w:left="6480" w:hanging="360"/>
      </w:pPr>
    </w:lvl>
  </w:abstractNum>
  <w:abstractNum w:abstractNumId="4">
    <w:nsid w:val="0E3C3B7F"/>
    <w:multiLevelType w:val="hybridMultilevel"/>
    <w:tmpl w:val="817E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51570B"/>
    <w:multiLevelType w:val="hybridMultilevel"/>
    <w:tmpl w:val="C78C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127A8"/>
    <w:multiLevelType w:val="hybridMultilevel"/>
    <w:tmpl w:val="0A98AD3E"/>
    <w:lvl w:ilvl="0" w:tplc="43FC714C">
      <w:start w:val="1"/>
      <w:numFmt w:val="lowerLetter"/>
      <w:pStyle w:val="Listnumalpha"/>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642DB"/>
    <w:multiLevelType w:val="hybridMultilevel"/>
    <w:tmpl w:val="FFE483A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868EE"/>
    <w:multiLevelType w:val="hybridMultilevel"/>
    <w:tmpl w:val="A1FA786E"/>
    <w:lvl w:ilvl="0" w:tplc="970E7548">
      <w:start w:val="1"/>
      <w:numFmt w:val="bullet"/>
      <w:lvlText w:val=""/>
      <w:lvlJc w:val="left"/>
      <w:pPr>
        <w:tabs>
          <w:tab w:val="num" w:pos="720"/>
        </w:tabs>
        <w:ind w:left="720" w:hanging="360"/>
      </w:pPr>
      <w:rPr>
        <w:rFonts w:ascii="Wingdings" w:hAnsi="Wingdings" w:hint="default"/>
      </w:rPr>
    </w:lvl>
    <w:lvl w:ilvl="1" w:tplc="CD2EE184">
      <w:start w:val="1"/>
      <w:numFmt w:val="bullet"/>
      <w:lvlText w:val=""/>
      <w:lvlJc w:val="left"/>
      <w:pPr>
        <w:tabs>
          <w:tab w:val="num" w:pos="1440"/>
        </w:tabs>
        <w:ind w:left="1440" w:hanging="360"/>
      </w:pPr>
      <w:rPr>
        <w:rFonts w:ascii="Wingdings" w:hAnsi="Wingdings" w:hint="default"/>
      </w:rPr>
    </w:lvl>
    <w:lvl w:ilvl="2" w:tplc="12B06E10" w:tentative="1">
      <w:start w:val="1"/>
      <w:numFmt w:val="bullet"/>
      <w:lvlText w:val=""/>
      <w:lvlJc w:val="left"/>
      <w:pPr>
        <w:tabs>
          <w:tab w:val="num" w:pos="2160"/>
        </w:tabs>
        <w:ind w:left="2160" w:hanging="360"/>
      </w:pPr>
      <w:rPr>
        <w:rFonts w:ascii="Wingdings" w:hAnsi="Wingdings" w:hint="default"/>
      </w:rPr>
    </w:lvl>
    <w:lvl w:ilvl="3" w:tplc="C15C5862" w:tentative="1">
      <w:start w:val="1"/>
      <w:numFmt w:val="bullet"/>
      <w:lvlText w:val=""/>
      <w:lvlJc w:val="left"/>
      <w:pPr>
        <w:tabs>
          <w:tab w:val="num" w:pos="2880"/>
        </w:tabs>
        <w:ind w:left="2880" w:hanging="360"/>
      </w:pPr>
      <w:rPr>
        <w:rFonts w:ascii="Wingdings" w:hAnsi="Wingdings" w:hint="default"/>
      </w:rPr>
    </w:lvl>
    <w:lvl w:ilvl="4" w:tplc="113C7DDA" w:tentative="1">
      <w:start w:val="1"/>
      <w:numFmt w:val="bullet"/>
      <w:lvlText w:val=""/>
      <w:lvlJc w:val="left"/>
      <w:pPr>
        <w:tabs>
          <w:tab w:val="num" w:pos="3600"/>
        </w:tabs>
        <w:ind w:left="3600" w:hanging="360"/>
      </w:pPr>
      <w:rPr>
        <w:rFonts w:ascii="Wingdings" w:hAnsi="Wingdings" w:hint="default"/>
      </w:rPr>
    </w:lvl>
    <w:lvl w:ilvl="5" w:tplc="B756D72E" w:tentative="1">
      <w:start w:val="1"/>
      <w:numFmt w:val="bullet"/>
      <w:lvlText w:val=""/>
      <w:lvlJc w:val="left"/>
      <w:pPr>
        <w:tabs>
          <w:tab w:val="num" w:pos="4320"/>
        </w:tabs>
        <w:ind w:left="4320" w:hanging="360"/>
      </w:pPr>
      <w:rPr>
        <w:rFonts w:ascii="Wingdings" w:hAnsi="Wingdings" w:hint="default"/>
      </w:rPr>
    </w:lvl>
    <w:lvl w:ilvl="6" w:tplc="970E9FF8" w:tentative="1">
      <w:start w:val="1"/>
      <w:numFmt w:val="bullet"/>
      <w:lvlText w:val=""/>
      <w:lvlJc w:val="left"/>
      <w:pPr>
        <w:tabs>
          <w:tab w:val="num" w:pos="5040"/>
        </w:tabs>
        <w:ind w:left="5040" w:hanging="360"/>
      </w:pPr>
      <w:rPr>
        <w:rFonts w:ascii="Wingdings" w:hAnsi="Wingdings" w:hint="default"/>
      </w:rPr>
    </w:lvl>
    <w:lvl w:ilvl="7" w:tplc="79763EFE" w:tentative="1">
      <w:start w:val="1"/>
      <w:numFmt w:val="bullet"/>
      <w:lvlText w:val=""/>
      <w:lvlJc w:val="left"/>
      <w:pPr>
        <w:tabs>
          <w:tab w:val="num" w:pos="5760"/>
        </w:tabs>
        <w:ind w:left="5760" w:hanging="360"/>
      </w:pPr>
      <w:rPr>
        <w:rFonts w:ascii="Wingdings" w:hAnsi="Wingdings" w:hint="default"/>
      </w:rPr>
    </w:lvl>
    <w:lvl w:ilvl="8" w:tplc="E1762B86" w:tentative="1">
      <w:start w:val="1"/>
      <w:numFmt w:val="bullet"/>
      <w:lvlText w:val=""/>
      <w:lvlJc w:val="left"/>
      <w:pPr>
        <w:tabs>
          <w:tab w:val="num" w:pos="6480"/>
        </w:tabs>
        <w:ind w:left="6480" w:hanging="360"/>
      </w:pPr>
      <w:rPr>
        <w:rFonts w:ascii="Wingdings" w:hAnsi="Wingdings" w:hint="default"/>
      </w:rPr>
    </w:lvl>
  </w:abstractNum>
  <w:abstractNum w:abstractNumId="10">
    <w:nsid w:val="1C4713DD"/>
    <w:multiLevelType w:val="hybridMultilevel"/>
    <w:tmpl w:val="6E2C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24E4D"/>
    <w:multiLevelType w:val="hybridMultilevel"/>
    <w:tmpl w:val="56E86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892DA9"/>
    <w:multiLevelType w:val="hybridMultilevel"/>
    <w:tmpl w:val="CCF68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3C7556"/>
    <w:multiLevelType w:val="hybridMultilevel"/>
    <w:tmpl w:val="5760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44230E"/>
    <w:multiLevelType w:val="hybridMultilevel"/>
    <w:tmpl w:val="FAA423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nsid w:val="2B5D3CDA"/>
    <w:multiLevelType w:val="multilevel"/>
    <w:tmpl w:val="1EA639A4"/>
    <w:lvl w:ilvl="0">
      <w:start w:val="1"/>
      <w:numFmt w:val="bullet"/>
      <w:lvlText w:val=""/>
      <w:lvlJc w:val="left"/>
      <w:pPr>
        <w:ind w:left="720" w:hanging="360"/>
      </w:pPr>
      <w:rPr>
        <w:rFonts w:ascii="Symbol" w:hAnsi="Symbol" w:hint="default"/>
      </w:rPr>
    </w:lvl>
    <w:lvl w:ilvl="1">
      <w:start w:val="3"/>
      <w:numFmt w:val="decimal"/>
      <w:isLgl/>
      <w:lvlText w:val="%1.%2"/>
      <w:lvlJc w:val="left"/>
      <w:pPr>
        <w:ind w:left="1060" w:hanging="7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01E20CA"/>
    <w:multiLevelType w:val="multilevel"/>
    <w:tmpl w:val="1EA639A4"/>
    <w:lvl w:ilvl="0">
      <w:start w:val="1"/>
      <w:numFmt w:val="bullet"/>
      <w:lvlText w:val=""/>
      <w:lvlJc w:val="left"/>
      <w:pPr>
        <w:ind w:left="720" w:hanging="360"/>
      </w:pPr>
      <w:rPr>
        <w:rFonts w:ascii="Symbol" w:hAnsi="Symbol" w:hint="default"/>
      </w:rPr>
    </w:lvl>
    <w:lvl w:ilvl="1">
      <w:start w:val="3"/>
      <w:numFmt w:val="decimal"/>
      <w:isLgl/>
      <w:lvlText w:val="%1.%2"/>
      <w:lvlJc w:val="left"/>
      <w:pPr>
        <w:ind w:left="1060" w:hanging="7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07A6F65"/>
    <w:multiLevelType w:val="hybridMultilevel"/>
    <w:tmpl w:val="8850ED60"/>
    <w:lvl w:ilvl="0" w:tplc="04090001">
      <w:start w:val="1"/>
      <w:numFmt w:val="bullet"/>
      <w:lvlText w:val=""/>
      <w:lvlJc w:val="left"/>
      <w:pPr>
        <w:ind w:left="360" w:hanging="360"/>
      </w:pPr>
      <w:rPr>
        <w:rFonts w:ascii="Symbol" w:hAnsi="Symbol"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0805D03"/>
    <w:multiLevelType w:val="hybridMultilevel"/>
    <w:tmpl w:val="F7564840"/>
    <w:lvl w:ilvl="0" w:tplc="3A728902">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626A36"/>
    <w:multiLevelType w:val="hybridMultilevel"/>
    <w:tmpl w:val="CCF432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37B26EB"/>
    <w:multiLevelType w:val="hybridMultilevel"/>
    <w:tmpl w:val="6F268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B96B98"/>
    <w:multiLevelType w:val="hybridMultilevel"/>
    <w:tmpl w:val="33862086"/>
    <w:lvl w:ilvl="0" w:tplc="B3508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424B7"/>
    <w:multiLevelType w:val="hybridMultilevel"/>
    <w:tmpl w:val="91DE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D60B65"/>
    <w:multiLevelType w:val="hybridMultilevel"/>
    <w:tmpl w:val="B3DA6300"/>
    <w:lvl w:ilvl="0" w:tplc="92C03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82740"/>
    <w:multiLevelType w:val="hybridMultilevel"/>
    <w:tmpl w:val="F008FE46"/>
    <w:lvl w:ilvl="0" w:tplc="7668F2F6">
      <w:start w:val="1"/>
      <w:numFmt w:val="bullet"/>
      <w:lvlText w:val="•"/>
      <w:lvlJc w:val="left"/>
      <w:pPr>
        <w:tabs>
          <w:tab w:val="num" w:pos="720"/>
        </w:tabs>
        <w:ind w:left="720" w:hanging="360"/>
      </w:pPr>
      <w:rPr>
        <w:rFonts w:ascii="Arial" w:hAnsi="Arial" w:hint="default"/>
      </w:rPr>
    </w:lvl>
    <w:lvl w:ilvl="1" w:tplc="7CD0D076" w:tentative="1">
      <w:start w:val="1"/>
      <w:numFmt w:val="bullet"/>
      <w:lvlText w:val="•"/>
      <w:lvlJc w:val="left"/>
      <w:pPr>
        <w:tabs>
          <w:tab w:val="num" w:pos="1440"/>
        </w:tabs>
        <w:ind w:left="1440" w:hanging="360"/>
      </w:pPr>
      <w:rPr>
        <w:rFonts w:ascii="Arial" w:hAnsi="Arial" w:hint="default"/>
      </w:rPr>
    </w:lvl>
    <w:lvl w:ilvl="2" w:tplc="FE7457B4" w:tentative="1">
      <w:start w:val="1"/>
      <w:numFmt w:val="bullet"/>
      <w:lvlText w:val="•"/>
      <w:lvlJc w:val="left"/>
      <w:pPr>
        <w:tabs>
          <w:tab w:val="num" w:pos="2160"/>
        </w:tabs>
        <w:ind w:left="2160" w:hanging="360"/>
      </w:pPr>
      <w:rPr>
        <w:rFonts w:ascii="Arial" w:hAnsi="Arial" w:hint="default"/>
      </w:rPr>
    </w:lvl>
    <w:lvl w:ilvl="3" w:tplc="EC3C672E" w:tentative="1">
      <w:start w:val="1"/>
      <w:numFmt w:val="bullet"/>
      <w:lvlText w:val="•"/>
      <w:lvlJc w:val="left"/>
      <w:pPr>
        <w:tabs>
          <w:tab w:val="num" w:pos="2880"/>
        </w:tabs>
        <w:ind w:left="2880" w:hanging="360"/>
      </w:pPr>
      <w:rPr>
        <w:rFonts w:ascii="Arial" w:hAnsi="Arial" w:hint="default"/>
      </w:rPr>
    </w:lvl>
    <w:lvl w:ilvl="4" w:tplc="B448ACD4" w:tentative="1">
      <w:start w:val="1"/>
      <w:numFmt w:val="bullet"/>
      <w:lvlText w:val="•"/>
      <w:lvlJc w:val="left"/>
      <w:pPr>
        <w:tabs>
          <w:tab w:val="num" w:pos="3600"/>
        </w:tabs>
        <w:ind w:left="3600" w:hanging="360"/>
      </w:pPr>
      <w:rPr>
        <w:rFonts w:ascii="Arial" w:hAnsi="Arial" w:hint="default"/>
      </w:rPr>
    </w:lvl>
    <w:lvl w:ilvl="5" w:tplc="B16E57B6" w:tentative="1">
      <w:start w:val="1"/>
      <w:numFmt w:val="bullet"/>
      <w:lvlText w:val="•"/>
      <w:lvlJc w:val="left"/>
      <w:pPr>
        <w:tabs>
          <w:tab w:val="num" w:pos="4320"/>
        </w:tabs>
        <w:ind w:left="4320" w:hanging="360"/>
      </w:pPr>
      <w:rPr>
        <w:rFonts w:ascii="Arial" w:hAnsi="Arial" w:hint="default"/>
      </w:rPr>
    </w:lvl>
    <w:lvl w:ilvl="6" w:tplc="409C31E6" w:tentative="1">
      <w:start w:val="1"/>
      <w:numFmt w:val="bullet"/>
      <w:lvlText w:val="•"/>
      <w:lvlJc w:val="left"/>
      <w:pPr>
        <w:tabs>
          <w:tab w:val="num" w:pos="5040"/>
        </w:tabs>
        <w:ind w:left="5040" w:hanging="360"/>
      </w:pPr>
      <w:rPr>
        <w:rFonts w:ascii="Arial" w:hAnsi="Arial" w:hint="default"/>
      </w:rPr>
    </w:lvl>
    <w:lvl w:ilvl="7" w:tplc="B366F58A" w:tentative="1">
      <w:start w:val="1"/>
      <w:numFmt w:val="bullet"/>
      <w:lvlText w:val="•"/>
      <w:lvlJc w:val="left"/>
      <w:pPr>
        <w:tabs>
          <w:tab w:val="num" w:pos="5760"/>
        </w:tabs>
        <w:ind w:left="5760" w:hanging="360"/>
      </w:pPr>
      <w:rPr>
        <w:rFonts w:ascii="Arial" w:hAnsi="Arial" w:hint="default"/>
      </w:rPr>
    </w:lvl>
    <w:lvl w:ilvl="8" w:tplc="54B87098" w:tentative="1">
      <w:start w:val="1"/>
      <w:numFmt w:val="bullet"/>
      <w:lvlText w:val="•"/>
      <w:lvlJc w:val="left"/>
      <w:pPr>
        <w:tabs>
          <w:tab w:val="num" w:pos="6480"/>
        </w:tabs>
        <w:ind w:left="6480" w:hanging="360"/>
      </w:pPr>
      <w:rPr>
        <w:rFonts w:ascii="Arial" w:hAnsi="Arial" w:hint="default"/>
      </w:rPr>
    </w:lvl>
  </w:abstractNum>
  <w:abstractNum w:abstractNumId="25">
    <w:nsid w:val="437A5771"/>
    <w:multiLevelType w:val="hybridMultilevel"/>
    <w:tmpl w:val="A4F60E32"/>
    <w:lvl w:ilvl="0" w:tplc="D6DEB2DE">
      <w:start w:val="1"/>
      <w:numFmt w:val="bullet"/>
      <w:lvlText w:val="•"/>
      <w:lvlJc w:val="left"/>
      <w:pPr>
        <w:tabs>
          <w:tab w:val="num" w:pos="720"/>
        </w:tabs>
        <w:ind w:left="720" w:hanging="360"/>
      </w:pPr>
      <w:rPr>
        <w:rFonts w:ascii="Arial" w:hAnsi="Arial" w:hint="default"/>
      </w:rPr>
    </w:lvl>
    <w:lvl w:ilvl="1" w:tplc="8B2E0552" w:tentative="1">
      <w:start w:val="1"/>
      <w:numFmt w:val="bullet"/>
      <w:lvlText w:val="•"/>
      <w:lvlJc w:val="left"/>
      <w:pPr>
        <w:tabs>
          <w:tab w:val="num" w:pos="1440"/>
        </w:tabs>
        <w:ind w:left="1440" w:hanging="360"/>
      </w:pPr>
      <w:rPr>
        <w:rFonts w:ascii="Arial" w:hAnsi="Arial" w:hint="default"/>
      </w:rPr>
    </w:lvl>
    <w:lvl w:ilvl="2" w:tplc="8446DA30" w:tentative="1">
      <w:start w:val="1"/>
      <w:numFmt w:val="bullet"/>
      <w:lvlText w:val="•"/>
      <w:lvlJc w:val="left"/>
      <w:pPr>
        <w:tabs>
          <w:tab w:val="num" w:pos="2160"/>
        </w:tabs>
        <w:ind w:left="2160" w:hanging="360"/>
      </w:pPr>
      <w:rPr>
        <w:rFonts w:ascii="Arial" w:hAnsi="Arial" w:hint="default"/>
      </w:rPr>
    </w:lvl>
    <w:lvl w:ilvl="3" w:tplc="0144E1C6" w:tentative="1">
      <w:start w:val="1"/>
      <w:numFmt w:val="bullet"/>
      <w:lvlText w:val="•"/>
      <w:lvlJc w:val="left"/>
      <w:pPr>
        <w:tabs>
          <w:tab w:val="num" w:pos="2880"/>
        </w:tabs>
        <w:ind w:left="2880" w:hanging="360"/>
      </w:pPr>
      <w:rPr>
        <w:rFonts w:ascii="Arial" w:hAnsi="Arial" w:hint="default"/>
      </w:rPr>
    </w:lvl>
    <w:lvl w:ilvl="4" w:tplc="ED9C439C" w:tentative="1">
      <w:start w:val="1"/>
      <w:numFmt w:val="bullet"/>
      <w:lvlText w:val="•"/>
      <w:lvlJc w:val="left"/>
      <w:pPr>
        <w:tabs>
          <w:tab w:val="num" w:pos="3600"/>
        </w:tabs>
        <w:ind w:left="3600" w:hanging="360"/>
      </w:pPr>
      <w:rPr>
        <w:rFonts w:ascii="Arial" w:hAnsi="Arial" w:hint="default"/>
      </w:rPr>
    </w:lvl>
    <w:lvl w:ilvl="5" w:tplc="328A38F4" w:tentative="1">
      <w:start w:val="1"/>
      <w:numFmt w:val="bullet"/>
      <w:lvlText w:val="•"/>
      <w:lvlJc w:val="left"/>
      <w:pPr>
        <w:tabs>
          <w:tab w:val="num" w:pos="4320"/>
        </w:tabs>
        <w:ind w:left="4320" w:hanging="360"/>
      </w:pPr>
      <w:rPr>
        <w:rFonts w:ascii="Arial" w:hAnsi="Arial" w:hint="default"/>
      </w:rPr>
    </w:lvl>
    <w:lvl w:ilvl="6" w:tplc="4094DC30" w:tentative="1">
      <w:start w:val="1"/>
      <w:numFmt w:val="bullet"/>
      <w:lvlText w:val="•"/>
      <w:lvlJc w:val="left"/>
      <w:pPr>
        <w:tabs>
          <w:tab w:val="num" w:pos="5040"/>
        </w:tabs>
        <w:ind w:left="5040" w:hanging="360"/>
      </w:pPr>
      <w:rPr>
        <w:rFonts w:ascii="Arial" w:hAnsi="Arial" w:hint="default"/>
      </w:rPr>
    </w:lvl>
    <w:lvl w:ilvl="7" w:tplc="DE667E70" w:tentative="1">
      <w:start w:val="1"/>
      <w:numFmt w:val="bullet"/>
      <w:lvlText w:val="•"/>
      <w:lvlJc w:val="left"/>
      <w:pPr>
        <w:tabs>
          <w:tab w:val="num" w:pos="5760"/>
        </w:tabs>
        <w:ind w:left="5760" w:hanging="360"/>
      </w:pPr>
      <w:rPr>
        <w:rFonts w:ascii="Arial" w:hAnsi="Arial" w:hint="default"/>
      </w:rPr>
    </w:lvl>
    <w:lvl w:ilvl="8" w:tplc="25C0A6F4" w:tentative="1">
      <w:start w:val="1"/>
      <w:numFmt w:val="bullet"/>
      <w:lvlText w:val="•"/>
      <w:lvlJc w:val="left"/>
      <w:pPr>
        <w:tabs>
          <w:tab w:val="num" w:pos="6480"/>
        </w:tabs>
        <w:ind w:left="6480" w:hanging="360"/>
      </w:pPr>
      <w:rPr>
        <w:rFonts w:ascii="Arial" w:hAnsi="Arial" w:hint="default"/>
      </w:rPr>
    </w:lvl>
  </w:abstractNum>
  <w:abstractNum w:abstractNumId="26">
    <w:nsid w:val="4DC376E9"/>
    <w:multiLevelType w:val="hybridMultilevel"/>
    <w:tmpl w:val="132C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A01ACB"/>
    <w:multiLevelType w:val="hybridMultilevel"/>
    <w:tmpl w:val="48B0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AB4473"/>
    <w:multiLevelType w:val="hybridMultilevel"/>
    <w:tmpl w:val="7E12E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nsid w:val="52F828A9"/>
    <w:multiLevelType w:val="hybridMultilevel"/>
    <w:tmpl w:val="171831AC"/>
    <w:lvl w:ilvl="0" w:tplc="05CCB698">
      <w:start w:val="1"/>
      <w:numFmt w:val="bullet"/>
      <w:pStyle w:val="ListBullet21"/>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3BC2ADD"/>
    <w:multiLevelType w:val="hybridMultilevel"/>
    <w:tmpl w:val="481E2C7E"/>
    <w:lvl w:ilvl="0" w:tplc="04090001">
      <w:start w:val="1"/>
      <w:numFmt w:val="bullet"/>
      <w:lvlText w:val=""/>
      <w:lvlJc w:val="left"/>
      <w:pPr>
        <w:ind w:left="360" w:hanging="360"/>
      </w:pPr>
      <w:rPr>
        <w:rFonts w:ascii="Symbol" w:hAnsi="Symbol" w:hint="default"/>
      </w:rPr>
    </w:lvl>
    <w:lvl w:ilvl="1" w:tplc="001EC71C" w:tentative="1">
      <w:start w:val="1"/>
      <w:numFmt w:val="bullet"/>
      <w:lvlText w:val="-"/>
      <w:lvlJc w:val="left"/>
      <w:pPr>
        <w:tabs>
          <w:tab w:val="num" w:pos="1080"/>
        </w:tabs>
        <w:ind w:left="1080" w:hanging="360"/>
      </w:pPr>
      <w:rPr>
        <w:rFonts w:ascii="Times New Roman" w:hAnsi="Times New Roman" w:hint="default"/>
      </w:rPr>
    </w:lvl>
    <w:lvl w:ilvl="2" w:tplc="37FE5FB0" w:tentative="1">
      <w:start w:val="1"/>
      <w:numFmt w:val="bullet"/>
      <w:lvlText w:val="-"/>
      <w:lvlJc w:val="left"/>
      <w:pPr>
        <w:tabs>
          <w:tab w:val="num" w:pos="1800"/>
        </w:tabs>
        <w:ind w:left="1800" w:hanging="360"/>
      </w:pPr>
      <w:rPr>
        <w:rFonts w:ascii="Times New Roman" w:hAnsi="Times New Roman" w:hint="default"/>
      </w:rPr>
    </w:lvl>
    <w:lvl w:ilvl="3" w:tplc="416059EC" w:tentative="1">
      <w:start w:val="1"/>
      <w:numFmt w:val="bullet"/>
      <w:lvlText w:val="-"/>
      <w:lvlJc w:val="left"/>
      <w:pPr>
        <w:tabs>
          <w:tab w:val="num" w:pos="2520"/>
        </w:tabs>
        <w:ind w:left="2520" w:hanging="360"/>
      </w:pPr>
      <w:rPr>
        <w:rFonts w:ascii="Times New Roman" w:hAnsi="Times New Roman" w:hint="default"/>
      </w:rPr>
    </w:lvl>
    <w:lvl w:ilvl="4" w:tplc="47FE3B04" w:tentative="1">
      <w:start w:val="1"/>
      <w:numFmt w:val="bullet"/>
      <w:lvlText w:val="-"/>
      <w:lvlJc w:val="left"/>
      <w:pPr>
        <w:tabs>
          <w:tab w:val="num" w:pos="3240"/>
        </w:tabs>
        <w:ind w:left="3240" w:hanging="360"/>
      </w:pPr>
      <w:rPr>
        <w:rFonts w:ascii="Times New Roman" w:hAnsi="Times New Roman" w:hint="default"/>
      </w:rPr>
    </w:lvl>
    <w:lvl w:ilvl="5" w:tplc="68FC1FE0" w:tentative="1">
      <w:start w:val="1"/>
      <w:numFmt w:val="bullet"/>
      <w:lvlText w:val="-"/>
      <w:lvlJc w:val="left"/>
      <w:pPr>
        <w:tabs>
          <w:tab w:val="num" w:pos="3960"/>
        </w:tabs>
        <w:ind w:left="3960" w:hanging="360"/>
      </w:pPr>
      <w:rPr>
        <w:rFonts w:ascii="Times New Roman" w:hAnsi="Times New Roman" w:hint="default"/>
      </w:rPr>
    </w:lvl>
    <w:lvl w:ilvl="6" w:tplc="4CA6ED74" w:tentative="1">
      <w:start w:val="1"/>
      <w:numFmt w:val="bullet"/>
      <w:lvlText w:val="-"/>
      <w:lvlJc w:val="left"/>
      <w:pPr>
        <w:tabs>
          <w:tab w:val="num" w:pos="4680"/>
        </w:tabs>
        <w:ind w:left="4680" w:hanging="360"/>
      </w:pPr>
      <w:rPr>
        <w:rFonts w:ascii="Times New Roman" w:hAnsi="Times New Roman" w:hint="default"/>
      </w:rPr>
    </w:lvl>
    <w:lvl w:ilvl="7" w:tplc="05F4ABA8" w:tentative="1">
      <w:start w:val="1"/>
      <w:numFmt w:val="bullet"/>
      <w:lvlText w:val="-"/>
      <w:lvlJc w:val="left"/>
      <w:pPr>
        <w:tabs>
          <w:tab w:val="num" w:pos="5400"/>
        </w:tabs>
        <w:ind w:left="5400" w:hanging="360"/>
      </w:pPr>
      <w:rPr>
        <w:rFonts w:ascii="Times New Roman" w:hAnsi="Times New Roman" w:hint="default"/>
      </w:rPr>
    </w:lvl>
    <w:lvl w:ilvl="8" w:tplc="CAD8764E"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3F93339"/>
    <w:multiLevelType w:val="hybridMultilevel"/>
    <w:tmpl w:val="BAAC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675F3"/>
    <w:multiLevelType w:val="hybridMultilevel"/>
    <w:tmpl w:val="7C1A50E6"/>
    <w:lvl w:ilvl="0" w:tplc="04090001">
      <w:start w:val="1"/>
      <w:numFmt w:val="bullet"/>
      <w:lvlText w:val=""/>
      <w:lvlJc w:val="left"/>
      <w:pPr>
        <w:ind w:left="720" w:hanging="360"/>
      </w:pPr>
      <w:rPr>
        <w:rFonts w:ascii="Symbol" w:hAnsi="Symbol" w:hint="default"/>
      </w:rPr>
    </w:lvl>
    <w:lvl w:ilvl="1" w:tplc="74C63946">
      <w:start w:val="1"/>
      <w:numFmt w:val="bullet"/>
      <w:lvlText w:val="•"/>
      <w:lvlJc w:val="left"/>
      <w:pPr>
        <w:tabs>
          <w:tab w:val="num" w:pos="1800"/>
        </w:tabs>
        <w:ind w:left="1800" w:hanging="360"/>
      </w:pPr>
      <w:rPr>
        <w:rFonts w:ascii="Arial" w:hAnsi="Arial" w:hint="default"/>
      </w:rPr>
    </w:lvl>
    <w:lvl w:ilvl="2" w:tplc="8EA83892" w:tentative="1">
      <w:start w:val="1"/>
      <w:numFmt w:val="bullet"/>
      <w:lvlText w:val="•"/>
      <w:lvlJc w:val="left"/>
      <w:pPr>
        <w:tabs>
          <w:tab w:val="num" w:pos="2520"/>
        </w:tabs>
        <w:ind w:left="2520" w:hanging="360"/>
      </w:pPr>
      <w:rPr>
        <w:rFonts w:ascii="Arial" w:hAnsi="Arial" w:hint="default"/>
      </w:rPr>
    </w:lvl>
    <w:lvl w:ilvl="3" w:tplc="885A47F6" w:tentative="1">
      <w:start w:val="1"/>
      <w:numFmt w:val="bullet"/>
      <w:lvlText w:val="•"/>
      <w:lvlJc w:val="left"/>
      <w:pPr>
        <w:tabs>
          <w:tab w:val="num" w:pos="3240"/>
        </w:tabs>
        <w:ind w:left="3240" w:hanging="360"/>
      </w:pPr>
      <w:rPr>
        <w:rFonts w:ascii="Arial" w:hAnsi="Arial" w:hint="default"/>
      </w:rPr>
    </w:lvl>
    <w:lvl w:ilvl="4" w:tplc="096EFA50" w:tentative="1">
      <w:start w:val="1"/>
      <w:numFmt w:val="bullet"/>
      <w:lvlText w:val="•"/>
      <w:lvlJc w:val="left"/>
      <w:pPr>
        <w:tabs>
          <w:tab w:val="num" w:pos="3960"/>
        </w:tabs>
        <w:ind w:left="3960" w:hanging="360"/>
      </w:pPr>
      <w:rPr>
        <w:rFonts w:ascii="Arial" w:hAnsi="Arial" w:hint="default"/>
      </w:rPr>
    </w:lvl>
    <w:lvl w:ilvl="5" w:tplc="8E98C3D2" w:tentative="1">
      <w:start w:val="1"/>
      <w:numFmt w:val="bullet"/>
      <w:lvlText w:val="•"/>
      <w:lvlJc w:val="left"/>
      <w:pPr>
        <w:tabs>
          <w:tab w:val="num" w:pos="4680"/>
        </w:tabs>
        <w:ind w:left="4680" w:hanging="360"/>
      </w:pPr>
      <w:rPr>
        <w:rFonts w:ascii="Arial" w:hAnsi="Arial" w:hint="default"/>
      </w:rPr>
    </w:lvl>
    <w:lvl w:ilvl="6" w:tplc="C1E032FA" w:tentative="1">
      <w:start w:val="1"/>
      <w:numFmt w:val="bullet"/>
      <w:lvlText w:val="•"/>
      <w:lvlJc w:val="left"/>
      <w:pPr>
        <w:tabs>
          <w:tab w:val="num" w:pos="5400"/>
        </w:tabs>
        <w:ind w:left="5400" w:hanging="360"/>
      </w:pPr>
      <w:rPr>
        <w:rFonts w:ascii="Arial" w:hAnsi="Arial" w:hint="default"/>
      </w:rPr>
    </w:lvl>
    <w:lvl w:ilvl="7" w:tplc="025CD332" w:tentative="1">
      <w:start w:val="1"/>
      <w:numFmt w:val="bullet"/>
      <w:lvlText w:val="•"/>
      <w:lvlJc w:val="left"/>
      <w:pPr>
        <w:tabs>
          <w:tab w:val="num" w:pos="6120"/>
        </w:tabs>
        <w:ind w:left="6120" w:hanging="360"/>
      </w:pPr>
      <w:rPr>
        <w:rFonts w:ascii="Arial" w:hAnsi="Arial" w:hint="default"/>
      </w:rPr>
    </w:lvl>
    <w:lvl w:ilvl="8" w:tplc="D806026C" w:tentative="1">
      <w:start w:val="1"/>
      <w:numFmt w:val="bullet"/>
      <w:lvlText w:val="•"/>
      <w:lvlJc w:val="left"/>
      <w:pPr>
        <w:tabs>
          <w:tab w:val="num" w:pos="6840"/>
        </w:tabs>
        <w:ind w:left="6840" w:hanging="360"/>
      </w:pPr>
      <w:rPr>
        <w:rFonts w:ascii="Arial" w:hAnsi="Arial" w:hint="default"/>
      </w:rPr>
    </w:lvl>
  </w:abstractNum>
  <w:abstractNum w:abstractNumId="33">
    <w:nsid w:val="594C0FF7"/>
    <w:multiLevelType w:val="hybridMultilevel"/>
    <w:tmpl w:val="3D9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5F71AF"/>
    <w:multiLevelType w:val="hybridMultilevel"/>
    <w:tmpl w:val="1EA8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E636DD"/>
    <w:multiLevelType w:val="hybridMultilevel"/>
    <w:tmpl w:val="073A9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4A13F7"/>
    <w:multiLevelType w:val="hybridMultilevel"/>
    <w:tmpl w:val="3CE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427E1C"/>
    <w:multiLevelType w:val="hybridMultilevel"/>
    <w:tmpl w:val="AF64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076A40"/>
    <w:multiLevelType w:val="hybridMultilevel"/>
    <w:tmpl w:val="CFB04F70"/>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7C84011"/>
    <w:multiLevelType w:val="hybridMultilevel"/>
    <w:tmpl w:val="1B16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2C3669"/>
    <w:multiLevelType w:val="hybridMultilevel"/>
    <w:tmpl w:val="3214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68632E"/>
    <w:multiLevelType w:val="hybridMultilevel"/>
    <w:tmpl w:val="6FD4B9F0"/>
    <w:lvl w:ilvl="0" w:tplc="D776544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56846648" w:tentative="1">
      <w:start w:val="1"/>
      <w:numFmt w:val="bullet"/>
      <w:lvlText w:val="•"/>
      <w:lvlJc w:val="left"/>
      <w:pPr>
        <w:tabs>
          <w:tab w:val="num" w:pos="2160"/>
        </w:tabs>
        <w:ind w:left="2160" w:hanging="360"/>
      </w:pPr>
      <w:rPr>
        <w:rFonts w:ascii="Arial" w:hAnsi="Arial" w:hint="default"/>
      </w:rPr>
    </w:lvl>
    <w:lvl w:ilvl="3" w:tplc="5A72255A" w:tentative="1">
      <w:start w:val="1"/>
      <w:numFmt w:val="bullet"/>
      <w:lvlText w:val="•"/>
      <w:lvlJc w:val="left"/>
      <w:pPr>
        <w:tabs>
          <w:tab w:val="num" w:pos="2880"/>
        </w:tabs>
        <w:ind w:left="2880" w:hanging="360"/>
      </w:pPr>
      <w:rPr>
        <w:rFonts w:ascii="Arial" w:hAnsi="Arial" w:hint="default"/>
      </w:rPr>
    </w:lvl>
    <w:lvl w:ilvl="4" w:tplc="4EC8DE90" w:tentative="1">
      <w:start w:val="1"/>
      <w:numFmt w:val="bullet"/>
      <w:lvlText w:val="•"/>
      <w:lvlJc w:val="left"/>
      <w:pPr>
        <w:tabs>
          <w:tab w:val="num" w:pos="3600"/>
        </w:tabs>
        <w:ind w:left="3600" w:hanging="360"/>
      </w:pPr>
      <w:rPr>
        <w:rFonts w:ascii="Arial" w:hAnsi="Arial" w:hint="default"/>
      </w:rPr>
    </w:lvl>
    <w:lvl w:ilvl="5" w:tplc="F03E273C" w:tentative="1">
      <w:start w:val="1"/>
      <w:numFmt w:val="bullet"/>
      <w:lvlText w:val="•"/>
      <w:lvlJc w:val="left"/>
      <w:pPr>
        <w:tabs>
          <w:tab w:val="num" w:pos="4320"/>
        </w:tabs>
        <w:ind w:left="4320" w:hanging="360"/>
      </w:pPr>
      <w:rPr>
        <w:rFonts w:ascii="Arial" w:hAnsi="Arial" w:hint="default"/>
      </w:rPr>
    </w:lvl>
    <w:lvl w:ilvl="6" w:tplc="822895AE" w:tentative="1">
      <w:start w:val="1"/>
      <w:numFmt w:val="bullet"/>
      <w:lvlText w:val="•"/>
      <w:lvlJc w:val="left"/>
      <w:pPr>
        <w:tabs>
          <w:tab w:val="num" w:pos="5040"/>
        </w:tabs>
        <w:ind w:left="5040" w:hanging="360"/>
      </w:pPr>
      <w:rPr>
        <w:rFonts w:ascii="Arial" w:hAnsi="Arial" w:hint="default"/>
      </w:rPr>
    </w:lvl>
    <w:lvl w:ilvl="7" w:tplc="E29044EE" w:tentative="1">
      <w:start w:val="1"/>
      <w:numFmt w:val="bullet"/>
      <w:lvlText w:val="•"/>
      <w:lvlJc w:val="left"/>
      <w:pPr>
        <w:tabs>
          <w:tab w:val="num" w:pos="5760"/>
        </w:tabs>
        <w:ind w:left="5760" w:hanging="360"/>
      </w:pPr>
      <w:rPr>
        <w:rFonts w:ascii="Arial" w:hAnsi="Arial" w:hint="default"/>
      </w:rPr>
    </w:lvl>
    <w:lvl w:ilvl="8" w:tplc="DB44785A" w:tentative="1">
      <w:start w:val="1"/>
      <w:numFmt w:val="bullet"/>
      <w:lvlText w:val="•"/>
      <w:lvlJc w:val="left"/>
      <w:pPr>
        <w:tabs>
          <w:tab w:val="num" w:pos="6480"/>
        </w:tabs>
        <w:ind w:left="6480" w:hanging="360"/>
      </w:pPr>
      <w:rPr>
        <w:rFonts w:ascii="Arial" w:hAnsi="Arial" w:hint="default"/>
      </w:rPr>
    </w:lvl>
  </w:abstractNum>
  <w:abstractNum w:abstractNumId="42">
    <w:nsid w:val="725F76EB"/>
    <w:multiLevelType w:val="hybridMultilevel"/>
    <w:tmpl w:val="A934BB8C"/>
    <w:lvl w:ilvl="0" w:tplc="04090001">
      <w:start w:val="1"/>
      <w:numFmt w:val="bullet"/>
      <w:lvlText w:val=""/>
      <w:lvlJc w:val="left"/>
      <w:pPr>
        <w:ind w:left="720" w:hanging="360"/>
      </w:pPr>
      <w:rPr>
        <w:rFonts w:ascii="Symbol" w:hAnsi="Symbol" w:hint="default"/>
      </w:rPr>
    </w:lvl>
    <w:lvl w:ilvl="1" w:tplc="D7989784">
      <w:start w:val="1"/>
      <w:numFmt w:val="bullet"/>
      <w:lvlText w:val="•"/>
      <w:lvlJc w:val="left"/>
      <w:pPr>
        <w:tabs>
          <w:tab w:val="num" w:pos="1440"/>
        </w:tabs>
        <w:ind w:left="1440" w:hanging="360"/>
      </w:pPr>
      <w:rPr>
        <w:rFonts w:ascii="Arial" w:hAnsi="Arial" w:hint="default"/>
      </w:rPr>
    </w:lvl>
    <w:lvl w:ilvl="2" w:tplc="202EF120" w:tentative="1">
      <w:start w:val="1"/>
      <w:numFmt w:val="bullet"/>
      <w:lvlText w:val="•"/>
      <w:lvlJc w:val="left"/>
      <w:pPr>
        <w:tabs>
          <w:tab w:val="num" w:pos="2160"/>
        </w:tabs>
        <w:ind w:left="2160" w:hanging="360"/>
      </w:pPr>
      <w:rPr>
        <w:rFonts w:ascii="Arial" w:hAnsi="Arial" w:hint="default"/>
      </w:rPr>
    </w:lvl>
    <w:lvl w:ilvl="3" w:tplc="0F942144" w:tentative="1">
      <w:start w:val="1"/>
      <w:numFmt w:val="bullet"/>
      <w:lvlText w:val="•"/>
      <w:lvlJc w:val="left"/>
      <w:pPr>
        <w:tabs>
          <w:tab w:val="num" w:pos="2880"/>
        </w:tabs>
        <w:ind w:left="2880" w:hanging="360"/>
      </w:pPr>
      <w:rPr>
        <w:rFonts w:ascii="Arial" w:hAnsi="Arial" w:hint="default"/>
      </w:rPr>
    </w:lvl>
    <w:lvl w:ilvl="4" w:tplc="91BC5674" w:tentative="1">
      <w:start w:val="1"/>
      <w:numFmt w:val="bullet"/>
      <w:lvlText w:val="•"/>
      <w:lvlJc w:val="left"/>
      <w:pPr>
        <w:tabs>
          <w:tab w:val="num" w:pos="3600"/>
        </w:tabs>
        <w:ind w:left="3600" w:hanging="360"/>
      </w:pPr>
      <w:rPr>
        <w:rFonts w:ascii="Arial" w:hAnsi="Arial" w:hint="default"/>
      </w:rPr>
    </w:lvl>
    <w:lvl w:ilvl="5" w:tplc="FD961088" w:tentative="1">
      <w:start w:val="1"/>
      <w:numFmt w:val="bullet"/>
      <w:lvlText w:val="•"/>
      <w:lvlJc w:val="left"/>
      <w:pPr>
        <w:tabs>
          <w:tab w:val="num" w:pos="4320"/>
        </w:tabs>
        <w:ind w:left="4320" w:hanging="360"/>
      </w:pPr>
      <w:rPr>
        <w:rFonts w:ascii="Arial" w:hAnsi="Arial" w:hint="default"/>
      </w:rPr>
    </w:lvl>
    <w:lvl w:ilvl="6" w:tplc="76D68318" w:tentative="1">
      <w:start w:val="1"/>
      <w:numFmt w:val="bullet"/>
      <w:lvlText w:val="•"/>
      <w:lvlJc w:val="left"/>
      <w:pPr>
        <w:tabs>
          <w:tab w:val="num" w:pos="5040"/>
        </w:tabs>
        <w:ind w:left="5040" w:hanging="360"/>
      </w:pPr>
      <w:rPr>
        <w:rFonts w:ascii="Arial" w:hAnsi="Arial" w:hint="default"/>
      </w:rPr>
    </w:lvl>
    <w:lvl w:ilvl="7" w:tplc="BB261736" w:tentative="1">
      <w:start w:val="1"/>
      <w:numFmt w:val="bullet"/>
      <w:lvlText w:val="•"/>
      <w:lvlJc w:val="left"/>
      <w:pPr>
        <w:tabs>
          <w:tab w:val="num" w:pos="5760"/>
        </w:tabs>
        <w:ind w:left="5760" w:hanging="360"/>
      </w:pPr>
      <w:rPr>
        <w:rFonts w:ascii="Arial" w:hAnsi="Arial" w:hint="default"/>
      </w:rPr>
    </w:lvl>
    <w:lvl w:ilvl="8" w:tplc="D664539E" w:tentative="1">
      <w:start w:val="1"/>
      <w:numFmt w:val="bullet"/>
      <w:lvlText w:val="•"/>
      <w:lvlJc w:val="left"/>
      <w:pPr>
        <w:tabs>
          <w:tab w:val="num" w:pos="6480"/>
        </w:tabs>
        <w:ind w:left="6480" w:hanging="360"/>
      </w:pPr>
      <w:rPr>
        <w:rFonts w:ascii="Arial" w:hAnsi="Arial" w:hint="default"/>
      </w:rPr>
    </w:lvl>
  </w:abstractNum>
  <w:abstractNum w:abstractNumId="43">
    <w:nsid w:val="7BE84395"/>
    <w:multiLevelType w:val="multilevel"/>
    <w:tmpl w:val="E3BEA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7DAF6885"/>
    <w:multiLevelType w:val="hybridMultilevel"/>
    <w:tmpl w:val="1FCC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5D6749"/>
    <w:multiLevelType w:val="hybridMultilevel"/>
    <w:tmpl w:val="62A85D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9"/>
  </w:num>
  <w:num w:numId="2">
    <w:abstractNumId w:val="6"/>
  </w:num>
  <w:num w:numId="3">
    <w:abstractNumId w:val="15"/>
  </w:num>
  <w:num w:numId="4">
    <w:abstractNumId w:val="19"/>
  </w:num>
  <w:num w:numId="5">
    <w:abstractNumId w:val="4"/>
  </w:num>
  <w:num w:numId="6">
    <w:abstractNumId w:val="14"/>
  </w:num>
  <w:num w:numId="7">
    <w:abstractNumId w:val="45"/>
  </w:num>
  <w:num w:numId="8">
    <w:abstractNumId w:val="28"/>
  </w:num>
  <w:num w:numId="9">
    <w:abstractNumId w:val="17"/>
  </w:num>
  <w:num w:numId="10">
    <w:abstractNumId w:val="7"/>
  </w:num>
  <w:num w:numId="11">
    <w:abstractNumId w:val="30"/>
  </w:num>
  <w:num w:numId="12">
    <w:abstractNumId w:val="11"/>
  </w:num>
  <w:num w:numId="13">
    <w:abstractNumId w:val="20"/>
  </w:num>
  <w:num w:numId="14">
    <w:abstractNumId w:val="35"/>
  </w:num>
  <w:num w:numId="15">
    <w:abstractNumId w:val="23"/>
  </w:num>
  <w:num w:numId="16">
    <w:abstractNumId w:val="32"/>
  </w:num>
  <w:num w:numId="17">
    <w:abstractNumId w:val="38"/>
  </w:num>
  <w:num w:numId="18">
    <w:abstractNumId w:val="2"/>
  </w:num>
  <w:num w:numId="19">
    <w:abstractNumId w:val="42"/>
  </w:num>
  <w:num w:numId="20">
    <w:abstractNumId w:val="8"/>
  </w:num>
  <w:num w:numId="21">
    <w:abstractNumId w:val="24"/>
  </w:num>
  <w:num w:numId="22">
    <w:abstractNumId w:val="25"/>
  </w:num>
  <w:num w:numId="23">
    <w:abstractNumId w:val="0"/>
  </w:num>
  <w:num w:numId="24">
    <w:abstractNumId w:val="41"/>
  </w:num>
  <w:num w:numId="25">
    <w:abstractNumId w:val="1"/>
  </w:num>
  <w:num w:numId="26">
    <w:abstractNumId w:val="31"/>
  </w:num>
  <w:num w:numId="27">
    <w:abstractNumId w:val="3"/>
  </w:num>
  <w:num w:numId="28">
    <w:abstractNumId w:val="16"/>
  </w:num>
  <w:num w:numId="29">
    <w:abstractNumId w:val="13"/>
  </w:num>
  <w:num w:numId="30">
    <w:abstractNumId w:val="26"/>
  </w:num>
  <w:num w:numId="31">
    <w:abstractNumId w:val="33"/>
  </w:num>
  <w:num w:numId="32">
    <w:abstractNumId w:val="27"/>
  </w:num>
  <w:num w:numId="33">
    <w:abstractNumId w:val="34"/>
  </w:num>
  <w:num w:numId="34">
    <w:abstractNumId w:val="37"/>
  </w:num>
  <w:num w:numId="35">
    <w:abstractNumId w:val="39"/>
  </w:num>
  <w:num w:numId="36">
    <w:abstractNumId w:val="9"/>
  </w:num>
  <w:num w:numId="37">
    <w:abstractNumId w:val="43"/>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num>
  <w:num w:numId="55">
    <w:abstractNumId w:val="40"/>
  </w:num>
  <w:num w:numId="56">
    <w:abstractNumId w:val="21"/>
  </w:num>
  <w:num w:numId="57">
    <w:abstractNumId w:val="10"/>
  </w:num>
  <w:num w:numId="58">
    <w:abstractNumId w:val="44"/>
  </w:num>
  <w:num w:numId="59">
    <w:abstractNumId w:val="22"/>
  </w:num>
  <w:num w:numId="60">
    <w:abstractNumId w:val="5"/>
  </w:num>
  <w:num w:numId="61">
    <w:abstractNumId w:val="12"/>
  </w:num>
  <w:num w:numId="62">
    <w:abstractNumId w:val="36"/>
  </w:num>
  <w:num w:numId="6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NZ"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
  <w:rsids>
    <w:rsidRoot w:val="008D075C"/>
    <w:rsid w:val="00000ECC"/>
    <w:rsid w:val="00003FA3"/>
    <w:rsid w:val="000049DA"/>
    <w:rsid w:val="0000591F"/>
    <w:rsid w:val="00005D02"/>
    <w:rsid w:val="00007310"/>
    <w:rsid w:val="00010293"/>
    <w:rsid w:val="00010ABA"/>
    <w:rsid w:val="00016F33"/>
    <w:rsid w:val="000205C6"/>
    <w:rsid w:val="00020C97"/>
    <w:rsid w:val="00023E37"/>
    <w:rsid w:val="00023FCA"/>
    <w:rsid w:val="00024635"/>
    <w:rsid w:val="00026705"/>
    <w:rsid w:val="00031618"/>
    <w:rsid w:val="000329D1"/>
    <w:rsid w:val="00032B80"/>
    <w:rsid w:val="0003327A"/>
    <w:rsid w:val="00033BE9"/>
    <w:rsid w:val="000400D2"/>
    <w:rsid w:val="00041B3E"/>
    <w:rsid w:val="00041EDC"/>
    <w:rsid w:val="00042CEC"/>
    <w:rsid w:val="00042FBD"/>
    <w:rsid w:val="00043BD2"/>
    <w:rsid w:val="00051C48"/>
    <w:rsid w:val="00054FE1"/>
    <w:rsid w:val="00055FFE"/>
    <w:rsid w:val="000561E3"/>
    <w:rsid w:val="0006010C"/>
    <w:rsid w:val="0006142E"/>
    <w:rsid w:val="00061DE7"/>
    <w:rsid w:val="00061E10"/>
    <w:rsid w:val="0006292C"/>
    <w:rsid w:val="00062C3B"/>
    <w:rsid w:val="000635D0"/>
    <w:rsid w:val="00064306"/>
    <w:rsid w:val="00070F7B"/>
    <w:rsid w:val="00072BD7"/>
    <w:rsid w:val="000737C7"/>
    <w:rsid w:val="00073DCF"/>
    <w:rsid w:val="00075A4C"/>
    <w:rsid w:val="00075FE7"/>
    <w:rsid w:val="00076609"/>
    <w:rsid w:val="00080759"/>
    <w:rsid w:val="00080D3B"/>
    <w:rsid w:val="00082203"/>
    <w:rsid w:val="00083EB8"/>
    <w:rsid w:val="00085E22"/>
    <w:rsid w:val="00086143"/>
    <w:rsid w:val="00092319"/>
    <w:rsid w:val="00092C06"/>
    <w:rsid w:val="00093757"/>
    <w:rsid w:val="00095073"/>
    <w:rsid w:val="00095100"/>
    <w:rsid w:val="000957EF"/>
    <w:rsid w:val="00097615"/>
    <w:rsid w:val="00097C7E"/>
    <w:rsid w:val="000A0E13"/>
    <w:rsid w:val="000A29E1"/>
    <w:rsid w:val="000A3940"/>
    <w:rsid w:val="000A399C"/>
    <w:rsid w:val="000A4D03"/>
    <w:rsid w:val="000A548B"/>
    <w:rsid w:val="000A5EDA"/>
    <w:rsid w:val="000A65E8"/>
    <w:rsid w:val="000A7677"/>
    <w:rsid w:val="000A799A"/>
    <w:rsid w:val="000A7E53"/>
    <w:rsid w:val="000B0C3C"/>
    <w:rsid w:val="000B1606"/>
    <w:rsid w:val="000B2177"/>
    <w:rsid w:val="000B44FE"/>
    <w:rsid w:val="000B5176"/>
    <w:rsid w:val="000B76DA"/>
    <w:rsid w:val="000C03D3"/>
    <w:rsid w:val="000C0826"/>
    <w:rsid w:val="000C2E81"/>
    <w:rsid w:val="000C4B7F"/>
    <w:rsid w:val="000C546F"/>
    <w:rsid w:val="000C54B6"/>
    <w:rsid w:val="000C7124"/>
    <w:rsid w:val="000D03BD"/>
    <w:rsid w:val="000D0978"/>
    <w:rsid w:val="000D0B36"/>
    <w:rsid w:val="000D2F40"/>
    <w:rsid w:val="000D412A"/>
    <w:rsid w:val="000D41D1"/>
    <w:rsid w:val="000D4A3C"/>
    <w:rsid w:val="000D5282"/>
    <w:rsid w:val="000D570B"/>
    <w:rsid w:val="000D6477"/>
    <w:rsid w:val="000D6E10"/>
    <w:rsid w:val="000E35C9"/>
    <w:rsid w:val="000E6976"/>
    <w:rsid w:val="000E6BAB"/>
    <w:rsid w:val="000F10D5"/>
    <w:rsid w:val="000F5694"/>
    <w:rsid w:val="000F5C98"/>
    <w:rsid w:val="000F681E"/>
    <w:rsid w:val="00101419"/>
    <w:rsid w:val="0010325F"/>
    <w:rsid w:val="00103B69"/>
    <w:rsid w:val="00104490"/>
    <w:rsid w:val="00104688"/>
    <w:rsid w:val="00105B03"/>
    <w:rsid w:val="001074A2"/>
    <w:rsid w:val="00107D74"/>
    <w:rsid w:val="00111E4F"/>
    <w:rsid w:val="0011239F"/>
    <w:rsid w:val="001145D9"/>
    <w:rsid w:val="00120DF7"/>
    <w:rsid w:val="00121F52"/>
    <w:rsid w:val="0012452B"/>
    <w:rsid w:val="00127321"/>
    <w:rsid w:val="00127F49"/>
    <w:rsid w:val="001311F2"/>
    <w:rsid w:val="00131F0A"/>
    <w:rsid w:val="0013447B"/>
    <w:rsid w:val="001363AB"/>
    <w:rsid w:val="0013784B"/>
    <w:rsid w:val="00143F66"/>
    <w:rsid w:val="00144974"/>
    <w:rsid w:val="00145127"/>
    <w:rsid w:val="00146193"/>
    <w:rsid w:val="00146C7A"/>
    <w:rsid w:val="00146F22"/>
    <w:rsid w:val="00150731"/>
    <w:rsid w:val="0015094E"/>
    <w:rsid w:val="0015098B"/>
    <w:rsid w:val="00150F1F"/>
    <w:rsid w:val="001513D6"/>
    <w:rsid w:val="0015151E"/>
    <w:rsid w:val="0015471C"/>
    <w:rsid w:val="001552CE"/>
    <w:rsid w:val="001572BF"/>
    <w:rsid w:val="00157764"/>
    <w:rsid w:val="00157C92"/>
    <w:rsid w:val="00160FD7"/>
    <w:rsid w:val="00165F4E"/>
    <w:rsid w:val="001667A8"/>
    <w:rsid w:val="00171CA7"/>
    <w:rsid w:val="001728A5"/>
    <w:rsid w:val="00175824"/>
    <w:rsid w:val="001769D6"/>
    <w:rsid w:val="001810E8"/>
    <w:rsid w:val="00181BC9"/>
    <w:rsid w:val="001821A9"/>
    <w:rsid w:val="00182DBF"/>
    <w:rsid w:val="001831EE"/>
    <w:rsid w:val="00192D5F"/>
    <w:rsid w:val="001945D8"/>
    <w:rsid w:val="00194E14"/>
    <w:rsid w:val="00195637"/>
    <w:rsid w:val="00195C48"/>
    <w:rsid w:val="001961C3"/>
    <w:rsid w:val="00197955"/>
    <w:rsid w:val="001A155D"/>
    <w:rsid w:val="001A2D6E"/>
    <w:rsid w:val="001A495B"/>
    <w:rsid w:val="001A4A7C"/>
    <w:rsid w:val="001A52A1"/>
    <w:rsid w:val="001A5995"/>
    <w:rsid w:val="001A71F3"/>
    <w:rsid w:val="001A7E96"/>
    <w:rsid w:val="001B1839"/>
    <w:rsid w:val="001B2687"/>
    <w:rsid w:val="001B3183"/>
    <w:rsid w:val="001B365D"/>
    <w:rsid w:val="001B45B0"/>
    <w:rsid w:val="001B6D9D"/>
    <w:rsid w:val="001C17F2"/>
    <w:rsid w:val="001C1FDE"/>
    <w:rsid w:val="001C2FB6"/>
    <w:rsid w:val="001C36F6"/>
    <w:rsid w:val="001C7D27"/>
    <w:rsid w:val="001D110D"/>
    <w:rsid w:val="001D185A"/>
    <w:rsid w:val="001D1AE7"/>
    <w:rsid w:val="001D20EB"/>
    <w:rsid w:val="001D3FE5"/>
    <w:rsid w:val="001D659C"/>
    <w:rsid w:val="001E23DB"/>
    <w:rsid w:val="001E47C7"/>
    <w:rsid w:val="001E4F9F"/>
    <w:rsid w:val="001E69CA"/>
    <w:rsid w:val="001E714A"/>
    <w:rsid w:val="001F2412"/>
    <w:rsid w:val="001F287F"/>
    <w:rsid w:val="001F2EBF"/>
    <w:rsid w:val="001F44C2"/>
    <w:rsid w:val="001F5A0E"/>
    <w:rsid w:val="00201114"/>
    <w:rsid w:val="00201129"/>
    <w:rsid w:val="00202450"/>
    <w:rsid w:val="00204729"/>
    <w:rsid w:val="00205EDE"/>
    <w:rsid w:val="002067D2"/>
    <w:rsid w:val="00207078"/>
    <w:rsid w:val="00207628"/>
    <w:rsid w:val="002104B8"/>
    <w:rsid w:val="00212299"/>
    <w:rsid w:val="00213846"/>
    <w:rsid w:val="00213E5D"/>
    <w:rsid w:val="002203AA"/>
    <w:rsid w:val="00221855"/>
    <w:rsid w:val="002225FD"/>
    <w:rsid w:val="00224591"/>
    <w:rsid w:val="00224C2E"/>
    <w:rsid w:val="002256F5"/>
    <w:rsid w:val="00227AA5"/>
    <w:rsid w:val="00231163"/>
    <w:rsid w:val="002313E8"/>
    <w:rsid w:val="00231A52"/>
    <w:rsid w:val="0023221A"/>
    <w:rsid w:val="002331A9"/>
    <w:rsid w:val="002334FA"/>
    <w:rsid w:val="00233A77"/>
    <w:rsid w:val="002348F2"/>
    <w:rsid w:val="00235990"/>
    <w:rsid w:val="00235EF1"/>
    <w:rsid w:val="00236314"/>
    <w:rsid w:val="00236565"/>
    <w:rsid w:val="00240917"/>
    <w:rsid w:val="00241B89"/>
    <w:rsid w:val="00242A01"/>
    <w:rsid w:val="00242B8F"/>
    <w:rsid w:val="00242E4E"/>
    <w:rsid w:val="0024416F"/>
    <w:rsid w:val="0024423E"/>
    <w:rsid w:val="00244CF0"/>
    <w:rsid w:val="00245018"/>
    <w:rsid w:val="002458B4"/>
    <w:rsid w:val="00245C0F"/>
    <w:rsid w:val="002460FB"/>
    <w:rsid w:val="00246196"/>
    <w:rsid w:val="00247BE0"/>
    <w:rsid w:val="00250641"/>
    <w:rsid w:val="002513C8"/>
    <w:rsid w:val="0025519B"/>
    <w:rsid w:val="002554CD"/>
    <w:rsid w:val="00255962"/>
    <w:rsid w:val="00255B64"/>
    <w:rsid w:val="00256196"/>
    <w:rsid w:val="00256236"/>
    <w:rsid w:val="00256681"/>
    <w:rsid w:val="002633FB"/>
    <w:rsid w:val="0026343A"/>
    <w:rsid w:val="0026549A"/>
    <w:rsid w:val="0026653E"/>
    <w:rsid w:val="0026686C"/>
    <w:rsid w:val="00266C01"/>
    <w:rsid w:val="00266DF4"/>
    <w:rsid w:val="002715D7"/>
    <w:rsid w:val="00274668"/>
    <w:rsid w:val="002746F3"/>
    <w:rsid w:val="002853FF"/>
    <w:rsid w:val="00290032"/>
    <w:rsid w:val="0029283A"/>
    <w:rsid w:val="00294423"/>
    <w:rsid w:val="002951F1"/>
    <w:rsid w:val="00295901"/>
    <w:rsid w:val="00295DBD"/>
    <w:rsid w:val="002A02CF"/>
    <w:rsid w:val="002A0901"/>
    <w:rsid w:val="002A2235"/>
    <w:rsid w:val="002A2BD9"/>
    <w:rsid w:val="002A382C"/>
    <w:rsid w:val="002A40A5"/>
    <w:rsid w:val="002A4495"/>
    <w:rsid w:val="002A4B84"/>
    <w:rsid w:val="002A5498"/>
    <w:rsid w:val="002A5CB4"/>
    <w:rsid w:val="002A603D"/>
    <w:rsid w:val="002A7224"/>
    <w:rsid w:val="002A7590"/>
    <w:rsid w:val="002B3842"/>
    <w:rsid w:val="002B6CAE"/>
    <w:rsid w:val="002B78DB"/>
    <w:rsid w:val="002B7AD2"/>
    <w:rsid w:val="002C09FA"/>
    <w:rsid w:val="002C5149"/>
    <w:rsid w:val="002C5477"/>
    <w:rsid w:val="002C6018"/>
    <w:rsid w:val="002D04A5"/>
    <w:rsid w:val="002D0C8E"/>
    <w:rsid w:val="002D2493"/>
    <w:rsid w:val="002D276C"/>
    <w:rsid w:val="002D4040"/>
    <w:rsid w:val="002D5765"/>
    <w:rsid w:val="002E1120"/>
    <w:rsid w:val="002E38FA"/>
    <w:rsid w:val="002E5967"/>
    <w:rsid w:val="002E5BED"/>
    <w:rsid w:val="002E72BA"/>
    <w:rsid w:val="002F1E0A"/>
    <w:rsid w:val="002F2425"/>
    <w:rsid w:val="002F33F0"/>
    <w:rsid w:val="002F6285"/>
    <w:rsid w:val="002F6706"/>
    <w:rsid w:val="002F6D80"/>
    <w:rsid w:val="002F7406"/>
    <w:rsid w:val="0030394E"/>
    <w:rsid w:val="003039D2"/>
    <w:rsid w:val="00310089"/>
    <w:rsid w:val="00311858"/>
    <w:rsid w:val="0031240C"/>
    <w:rsid w:val="00312858"/>
    <w:rsid w:val="00312F6B"/>
    <w:rsid w:val="0031389E"/>
    <w:rsid w:val="00313CD4"/>
    <w:rsid w:val="00315532"/>
    <w:rsid w:val="00315B62"/>
    <w:rsid w:val="00316356"/>
    <w:rsid w:val="00316467"/>
    <w:rsid w:val="00316CFE"/>
    <w:rsid w:val="00322D40"/>
    <w:rsid w:val="003253AF"/>
    <w:rsid w:val="00325BFC"/>
    <w:rsid w:val="003279E7"/>
    <w:rsid w:val="00332D54"/>
    <w:rsid w:val="00334037"/>
    <w:rsid w:val="003342C9"/>
    <w:rsid w:val="00341B5B"/>
    <w:rsid w:val="00347C71"/>
    <w:rsid w:val="00350BE2"/>
    <w:rsid w:val="00352126"/>
    <w:rsid w:val="003535D8"/>
    <w:rsid w:val="00354C18"/>
    <w:rsid w:val="00355ACC"/>
    <w:rsid w:val="00356297"/>
    <w:rsid w:val="00357698"/>
    <w:rsid w:val="003613FA"/>
    <w:rsid w:val="00363439"/>
    <w:rsid w:val="0036355D"/>
    <w:rsid w:val="00365F45"/>
    <w:rsid w:val="00370555"/>
    <w:rsid w:val="0037105B"/>
    <w:rsid w:val="003713A7"/>
    <w:rsid w:val="00371C4D"/>
    <w:rsid w:val="003753E5"/>
    <w:rsid w:val="0037598F"/>
    <w:rsid w:val="00376E31"/>
    <w:rsid w:val="00377D5D"/>
    <w:rsid w:val="00380069"/>
    <w:rsid w:val="00382E55"/>
    <w:rsid w:val="00385269"/>
    <w:rsid w:val="00385329"/>
    <w:rsid w:val="00385D1E"/>
    <w:rsid w:val="00391DA9"/>
    <w:rsid w:val="00394B3A"/>
    <w:rsid w:val="00397F37"/>
    <w:rsid w:val="003A1CB1"/>
    <w:rsid w:val="003A29E0"/>
    <w:rsid w:val="003A29EC"/>
    <w:rsid w:val="003A3684"/>
    <w:rsid w:val="003A3A25"/>
    <w:rsid w:val="003A42AE"/>
    <w:rsid w:val="003A4475"/>
    <w:rsid w:val="003A56FE"/>
    <w:rsid w:val="003B0526"/>
    <w:rsid w:val="003B0F44"/>
    <w:rsid w:val="003B1A40"/>
    <w:rsid w:val="003B2AA6"/>
    <w:rsid w:val="003B349B"/>
    <w:rsid w:val="003B425E"/>
    <w:rsid w:val="003B469A"/>
    <w:rsid w:val="003B4F9D"/>
    <w:rsid w:val="003B5A7D"/>
    <w:rsid w:val="003B7D2C"/>
    <w:rsid w:val="003C11CF"/>
    <w:rsid w:val="003C1728"/>
    <w:rsid w:val="003C18F2"/>
    <w:rsid w:val="003C201A"/>
    <w:rsid w:val="003C3623"/>
    <w:rsid w:val="003C40E5"/>
    <w:rsid w:val="003C5BBB"/>
    <w:rsid w:val="003C78F8"/>
    <w:rsid w:val="003D064B"/>
    <w:rsid w:val="003D3322"/>
    <w:rsid w:val="003D3437"/>
    <w:rsid w:val="003D377F"/>
    <w:rsid w:val="003D4C0E"/>
    <w:rsid w:val="003D4F78"/>
    <w:rsid w:val="003D601B"/>
    <w:rsid w:val="003D69BB"/>
    <w:rsid w:val="003D6B3E"/>
    <w:rsid w:val="003D7039"/>
    <w:rsid w:val="003D7504"/>
    <w:rsid w:val="003D762E"/>
    <w:rsid w:val="003D7DC5"/>
    <w:rsid w:val="003E112C"/>
    <w:rsid w:val="003E37D1"/>
    <w:rsid w:val="003E38DA"/>
    <w:rsid w:val="003E531A"/>
    <w:rsid w:val="003E74E5"/>
    <w:rsid w:val="003F178F"/>
    <w:rsid w:val="003F3D7E"/>
    <w:rsid w:val="003F4592"/>
    <w:rsid w:val="003F4846"/>
    <w:rsid w:val="003F6551"/>
    <w:rsid w:val="003F6EF3"/>
    <w:rsid w:val="003F73C9"/>
    <w:rsid w:val="0040155A"/>
    <w:rsid w:val="0040180C"/>
    <w:rsid w:val="00402AA5"/>
    <w:rsid w:val="00403795"/>
    <w:rsid w:val="00404576"/>
    <w:rsid w:val="00405998"/>
    <w:rsid w:val="00411462"/>
    <w:rsid w:val="00411B4A"/>
    <w:rsid w:val="00412E84"/>
    <w:rsid w:val="00413EAE"/>
    <w:rsid w:val="00414A92"/>
    <w:rsid w:val="00415DAA"/>
    <w:rsid w:val="00415DBA"/>
    <w:rsid w:val="00416506"/>
    <w:rsid w:val="00416FD5"/>
    <w:rsid w:val="0042329F"/>
    <w:rsid w:val="0042400E"/>
    <w:rsid w:val="004242DD"/>
    <w:rsid w:val="0042565F"/>
    <w:rsid w:val="00425757"/>
    <w:rsid w:val="004270FB"/>
    <w:rsid w:val="00427777"/>
    <w:rsid w:val="004278DD"/>
    <w:rsid w:val="0043012D"/>
    <w:rsid w:val="0043034C"/>
    <w:rsid w:val="004324D8"/>
    <w:rsid w:val="00432CEA"/>
    <w:rsid w:val="00433420"/>
    <w:rsid w:val="00434380"/>
    <w:rsid w:val="00435E42"/>
    <w:rsid w:val="004366AD"/>
    <w:rsid w:val="00437232"/>
    <w:rsid w:val="004375BC"/>
    <w:rsid w:val="00437CFC"/>
    <w:rsid w:val="0044005D"/>
    <w:rsid w:val="00440081"/>
    <w:rsid w:val="00440208"/>
    <w:rsid w:val="00440CCA"/>
    <w:rsid w:val="004450F6"/>
    <w:rsid w:val="004453B4"/>
    <w:rsid w:val="00445482"/>
    <w:rsid w:val="0044595B"/>
    <w:rsid w:val="0044616E"/>
    <w:rsid w:val="00447BC9"/>
    <w:rsid w:val="00451926"/>
    <w:rsid w:val="00454153"/>
    <w:rsid w:val="004556CB"/>
    <w:rsid w:val="004558E1"/>
    <w:rsid w:val="00461AE4"/>
    <w:rsid w:val="00462CB6"/>
    <w:rsid w:val="00462D75"/>
    <w:rsid w:val="0047136D"/>
    <w:rsid w:val="0047263D"/>
    <w:rsid w:val="004726AD"/>
    <w:rsid w:val="00472D17"/>
    <w:rsid w:val="00472FEA"/>
    <w:rsid w:val="00473666"/>
    <w:rsid w:val="004739ED"/>
    <w:rsid w:val="0047758D"/>
    <w:rsid w:val="004841CC"/>
    <w:rsid w:val="0048494D"/>
    <w:rsid w:val="00485846"/>
    <w:rsid w:val="004878F8"/>
    <w:rsid w:val="00491CE1"/>
    <w:rsid w:val="004925E5"/>
    <w:rsid w:val="00493026"/>
    <w:rsid w:val="00493D3A"/>
    <w:rsid w:val="00495EAE"/>
    <w:rsid w:val="004967AC"/>
    <w:rsid w:val="00496B64"/>
    <w:rsid w:val="00496D16"/>
    <w:rsid w:val="004A33DC"/>
    <w:rsid w:val="004A47E9"/>
    <w:rsid w:val="004B1A9F"/>
    <w:rsid w:val="004B1EAD"/>
    <w:rsid w:val="004B33F5"/>
    <w:rsid w:val="004B39AD"/>
    <w:rsid w:val="004B3EA3"/>
    <w:rsid w:val="004B6B0E"/>
    <w:rsid w:val="004B7B01"/>
    <w:rsid w:val="004C046F"/>
    <w:rsid w:val="004C207D"/>
    <w:rsid w:val="004C27E7"/>
    <w:rsid w:val="004C27FF"/>
    <w:rsid w:val="004C353A"/>
    <w:rsid w:val="004C464A"/>
    <w:rsid w:val="004C681C"/>
    <w:rsid w:val="004C7341"/>
    <w:rsid w:val="004C73B5"/>
    <w:rsid w:val="004D204A"/>
    <w:rsid w:val="004D51A0"/>
    <w:rsid w:val="004D6F78"/>
    <w:rsid w:val="004D73EB"/>
    <w:rsid w:val="004D7D1D"/>
    <w:rsid w:val="004E1CC6"/>
    <w:rsid w:val="004E1EED"/>
    <w:rsid w:val="004E254D"/>
    <w:rsid w:val="004E54DA"/>
    <w:rsid w:val="004F0323"/>
    <w:rsid w:val="004F3DF6"/>
    <w:rsid w:val="004F508B"/>
    <w:rsid w:val="00500E1F"/>
    <w:rsid w:val="00504487"/>
    <w:rsid w:val="00505008"/>
    <w:rsid w:val="00505DC4"/>
    <w:rsid w:val="00506132"/>
    <w:rsid w:val="005066F8"/>
    <w:rsid w:val="00506ECB"/>
    <w:rsid w:val="00510722"/>
    <w:rsid w:val="005160A5"/>
    <w:rsid w:val="0051626B"/>
    <w:rsid w:val="00516870"/>
    <w:rsid w:val="0051718A"/>
    <w:rsid w:val="0052118A"/>
    <w:rsid w:val="005211D9"/>
    <w:rsid w:val="0052248D"/>
    <w:rsid w:val="00522792"/>
    <w:rsid w:val="005230CF"/>
    <w:rsid w:val="0052478D"/>
    <w:rsid w:val="00524A29"/>
    <w:rsid w:val="00526D05"/>
    <w:rsid w:val="00527F8B"/>
    <w:rsid w:val="005303B8"/>
    <w:rsid w:val="00533D34"/>
    <w:rsid w:val="0053415C"/>
    <w:rsid w:val="0053477B"/>
    <w:rsid w:val="00534B1F"/>
    <w:rsid w:val="0053676C"/>
    <w:rsid w:val="00541172"/>
    <w:rsid w:val="005451B0"/>
    <w:rsid w:val="0054597C"/>
    <w:rsid w:val="00546BEF"/>
    <w:rsid w:val="005500C8"/>
    <w:rsid w:val="005517EB"/>
    <w:rsid w:val="005523D1"/>
    <w:rsid w:val="00554584"/>
    <w:rsid w:val="00560613"/>
    <w:rsid w:val="00562B90"/>
    <w:rsid w:val="00564248"/>
    <w:rsid w:val="00564564"/>
    <w:rsid w:val="00565F84"/>
    <w:rsid w:val="00572FA7"/>
    <w:rsid w:val="00575846"/>
    <w:rsid w:val="00575B84"/>
    <w:rsid w:val="00577787"/>
    <w:rsid w:val="00577908"/>
    <w:rsid w:val="0058124D"/>
    <w:rsid w:val="00582559"/>
    <w:rsid w:val="0058275A"/>
    <w:rsid w:val="00582BE5"/>
    <w:rsid w:val="0059242B"/>
    <w:rsid w:val="00593E24"/>
    <w:rsid w:val="00594D3A"/>
    <w:rsid w:val="00597926"/>
    <w:rsid w:val="00597CF6"/>
    <w:rsid w:val="005A0EA5"/>
    <w:rsid w:val="005A1CE8"/>
    <w:rsid w:val="005A308D"/>
    <w:rsid w:val="005A31FE"/>
    <w:rsid w:val="005A6B0C"/>
    <w:rsid w:val="005B1AEA"/>
    <w:rsid w:val="005B526F"/>
    <w:rsid w:val="005B6494"/>
    <w:rsid w:val="005B7818"/>
    <w:rsid w:val="005C076B"/>
    <w:rsid w:val="005C2481"/>
    <w:rsid w:val="005C2FFE"/>
    <w:rsid w:val="005C42A7"/>
    <w:rsid w:val="005C4A11"/>
    <w:rsid w:val="005C4E61"/>
    <w:rsid w:val="005C5431"/>
    <w:rsid w:val="005C7A00"/>
    <w:rsid w:val="005D0989"/>
    <w:rsid w:val="005D18C0"/>
    <w:rsid w:val="005D2EBE"/>
    <w:rsid w:val="005D45AF"/>
    <w:rsid w:val="005D499C"/>
    <w:rsid w:val="005D56F1"/>
    <w:rsid w:val="005D753D"/>
    <w:rsid w:val="005D780F"/>
    <w:rsid w:val="005E0BB2"/>
    <w:rsid w:val="005E11C1"/>
    <w:rsid w:val="005E1956"/>
    <w:rsid w:val="005E2072"/>
    <w:rsid w:val="005E2E1D"/>
    <w:rsid w:val="005E3708"/>
    <w:rsid w:val="005E42E5"/>
    <w:rsid w:val="005E4592"/>
    <w:rsid w:val="005E6328"/>
    <w:rsid w:val="005E6866"/>
    <w:rsid w:val="005E6F19"/>
    <w:rsid w:val="005E7052"/>
    <w:rsid w:val="005E72A5"/>
    <w:rsid w:val="005F329B"/>
    <w:rsid w:val="005F3D63"/>
    <w:rsid w:val="005F4892"/>
    <w:rsid w:val="005F50D5"/>
    <w:rsid w:val="00600416"/>
    <w:rsid w:val="006004C9"/>
    <w:rsid w:val="0060150B"/>
    <w:rsid w:val="006027DB"/>
    <w:rsid w:val="006048A1"/>
    <w:rsid w:val="00605C7A"/>
    <w:rsid w:val="00611A36"/>
    <w:rsid w:val="0061352F"/>
    <w:rsid w:val="00614A91"/>
    <w:rsid w:val="00615598"/>
    <w:rsid w:val="00615FA4"/>
    <w:rsid w:val="0061630C"/>
    <w:rsid w:val="006167BB"/>
    <w:rsid w:val="006168A9"/>
    <w:rsid w:val="00617AEB"/>
    <w:rsid w:val="00620C17"/>
    <w:rsid w:val="00620FE5"/>
    <w:rsid w:val="006224B6"/>
    <w:rsid w:val="00624B3E"/>
    <w:rsid w:val="0062640F"/>
    <w:rsid w:val="00627204"/>
    <w:rsid w:val="0063040A"/>
    <w:rsid w:val="00631505"/>
    <w:rsid w:val="00633370"/>
    <w:rsid w:val="006340E8"/>
    <w:rsid w:val="0063455E"/>
    <w:rsid w:val="00634770"/>
    <w:rsid w:val="00636DDE"/>
    <w:rsid w:val="006370BB"/>
    <w:rsid w:val="00637928"/>
    <w:rsid w:val="0064062F"/>
    <w:rsid w:val="00640B08"/>
    <w:rsid w:val="00641BA0"/>
    <w:rsid w:val="006462D4"/>
    <w:rsid w:val="00646E2E"/>
    <w:rsid w:val="00647FFD"/>
    <w:rsid w:val="00650496"/>
    <w:rsid w:val="00650CA7"/>
    <w:rsid w:val="00654DF8"/>
    <w:rsid w:val="00656062"/>
    <w:rsid w:val="00657818"/>
    <w:rsid w:val="00660397"/>
    <w:rsid w:val="006620DE"/>
    <w:rsid w:val="00662BCE"/>
    <w:rsid w:val="00663550"/>
    <w:rsid w:val="00665380"/>
    <w:rsid w:val="00665ABE"/>
    <w:rsid w:val="00665B67"/>
    <w:rsid w:val="00667342"/>
    <w:rsid w:val="00667E8D"/>
    <w:rsid w:val="006736FA"/>
    <w:rsid w:val="00675063"/>
    <w:rsid w:val="00675754"/>
    <w:rsid w:val="00676043"/>
    <w:rsid w:val="0067715E"/>
    <w:rsid w:val="00680681"/>
    <w:rsid w:val="00680DFE"/>
    <w:rsid w:val="0068250D"/>
    <w:rsid w:val="0068442C"/>
    <w:rsid w:val="00684569"/>
    <w:rsid w:val="00684591"/>
    <w:rsid w:val="00685BB3"/>
    <w:rsid w:val="006871B7"/>
    <w:rsid w:val="00687C26"/>
    <w:rsid w:val="00690279"/>
    <w:rsid w:val="00690AF9"/>
    <w:rsid w:val="00692D89"/>
    <w:rsid w:val="0069662E"/>
    <w:rsid w:val="006A0427"/>
    <w:rsid w:val="006A1B15"/>
    <w:rsid w:val="006A2B98"/>
    <w:rsid w:val="006A3A00"/>
    <w:rsid w:val="006A3FC2"/>
    <w:rsid w:val="006A4ACE"/>
    <w:rsid w:val="006A523D"/>
    <w:rsid w:val="006A5BE0"/>
    <w:rsid w:val="006A71A7"/>
    <w:rsid w:val="006B0B11"/>
    <w:rsid w:val="006B0EBD"/>
    <w:rsid w:val="006B1424"/>
    <w:rsid w:val="006B2C3E"/>
    <w:rsid w:val="006B399A"/>
    <w:rsid w:val="006B46F0"/>
    <w:rsid w:val="006B4C7A"/>
    <w:rsid w:val="006B52D4"/>
    <w:rsid w:val="006B56DF"/>
    <w:rsid w:val="006B7B72"/>
    <w:rsid w:val="006C0CF7"/>
    <w:rsid w:val="006C15FA"/>
    <w:rsid w:val="006C41FF"/>
    <w:rsid w:val="006C52A4"/>
    <w:rsid w:val="006D15B3"/>
    <w:rsid w:val="006D41FE"/>
    <w:rsid w:val="006D67D6"/>
    <w:rsid w:val="006D6C75"/>
    <w:rsid w:val="006D7BC6"/>
    <w:rsid w:val="006E125F"/>
    <w:rsid w:val="006E29A3"/>
    <w:rsid w:val="006E4111"/>
    <w:rsid w:val="006E4DF5"/>
    <w:rsid w:val="006E7282"/>
    <w:rsid w:val="006F1112"/>
    <w:rsid w:val="006F3B7B"/>
    <w:rsid w:val="006F4F77"/>
    <w:rsid w:val="006F753D"/>
    <w:rsid w:val="0070397E"/>
    <w:rsid w:val="0071142F"/>
    <w:rsid w:val="007119BD"/>
    <w:rsid w:val="007119BE"/>
    <w:rsid w:val="0071472B"/>
    <w:rsid w:val="007166C8"/>
    <w:rsid w:val="0072091A"/>
    <w:rsid w:val="00720BA9"/>
    <w:rsid w:val="007214DF"/>
    <w:rsid w:val="007233CC"/>
    <w:rsid w:val="00724B6D"/>
    <w:rsid w:val="00725B71"/>
    <w:rsid w:val="0073123A"/>
    <w:rsid w:val="007327E5"/>
    <w:rsid w:val="00734DEE"/>
    <w:rsid w:val="00735903"/>
    <w:rsid w:val="00736488"/>
    <w:rsid w:val="00736E87"/>
    <w:rsid w:val="00736FF3"/>
    <w:rsid w:val="007430D7"/>
    <w:rsid w:val="00744891"/>
    <w:rsid w:val="007472C4"/>
    <w:rsid w:val="00747835"/>
    <w:rsid w:val="007553E7"/>
    <w:rsid w:val="0075765A"/>
    <w:rsid w:val="00757C8F"/>
    <w:rsid w:val="00760D5A"/>
    <w:rsid w:val="00761AEB"/>
    <w:rsid w:val="00761C1B"/>
    <w:rsid w:val="00761C71"/>
    <w:rsid w:val="00761F73"/>
    <w:rsid w:val="00762D2D"/>
    <w:rsid w:val="00763821"/>
    <w:rsid w:val="007644BD"/>
    <w:rsid w:val="007648BE"/>
    <w:rsid w:val="00765125"/>
    <w:rsid w:val="007663A6"/>
    <w:rsid w:val="00766420"/>
    <w:rsid w:val="00770EF8"/>
    <w:rsid w:val="007717DF"/>
    <w:rsid w:val="007727C5"/>
    <w:rsid w:val="00772CFD"/>
    <w:rsid w:val="00773A91"/>
    <w:rsid w:val="00774BF2"/>
    <w:rsid w:val="007767CD"/>
    <w:rsid w:val="00776E2D"/>
    <w:rsid w:val="007808A0"/>
    <w:rsid w:val="0078109F"/>
    <w:rsid w:val="00782121"/>
    <w:rsid w:val="0078366D"/>
    <w:rsid w:val="0078441C"/>
    <w:rsid w:val="0078492B"/>
    <w:rsid w:val="00791282"/>
    <w:rsid w:val="00792B2E"/>
    <w:rsid w:val="00793027"/>
    <w:rsid w:val="007933E1"/>
    <w:rsid w:val="0079464B"/>
    <w:rsid w:val="00795178"/>
    <w:rsid w:val="007951F9"/>
    <w:rsid w:val="00795292"/>
    <w:rsid w:val="007952B7"/>
    <w:rsid w:val="00795A35"/>
    <w:rsid w:val="00795EAF"/>
    <w:rsid w:val="00796AEA"/>
    <w:rsid w:val="007A444A"/>
    <w:rsid w:val="007A50C9"/>
    <w:rsid w:val="007A6A86"/>
    <w:rsid w:val="007B0CFF"/>
    <w:rsid w:val="007B2AFE"/>
    <w:rsid w:val="007B2B0A"/>
    <w:rsid w:val="007B5327"/>
    <w:rsid w:val="007B6DD2"/>
    <w:rsid w:val="007B6E4E"/>
    <w:rsid w:val="007B7F09"/>
    <w:rsid w:val="007C3551"/>
    <w:rsid w:val="007C35AC"/>
    <w:rsid w:val="007C4532"/>
    <w:rsid w:val="007C488D"/>
    <w:rsid w:val="007C4A79"/>
    <w:rsid w:val="007C5DC9"/>
    <w:rsid w:val="007C7322"/>
    <w:rsid w:val="007D1623"/>
    <w:rsid w:val="007D3436"/>
    <w:rsid w:val="007D52C0"/>
    <w:rsid w:val="007D5359"/>
    <w:rsid w:val="007D641B"/>
    <w:rsid w:val="007D693F"/>
    <w:rsid w:val="007D7B1F"/>
    <w:rsid w:val="007E282E"/>
    <w:rsid w:val="007E2E70"/>
    <w:rsid w:val="007F30DA"/>
    <w:rsid w:val="007F7D8D"/>
    <w:rsid w:val="0080040F"/>
    <w:rsid w:val="00801B63"/>
    <w:rsid w:val="008045A6"/>
    <w:rsid w:val="00805659"/>
    <w:rsid w:val="00805810"/>
    <w:rsid w:val="008061B6"/>
    <w:rsid w:val="008210FE"/>
    <w:rsid w:val="00822460"/>
    <w:rsid w:val="00823315"/>
    <w:rsid w:val="00825291"/>
    <w:rsid w:val="0082665B"/>
    <w:rsid w:val="00826CB2"/>
    <w:rsid w:val="00826FF8"/>
    <w:rsid w:val="008271A7"/>
    <w:rsid w:val="00827289"/>
    <w:rsid w:val="008272DE"/>
    <w:rsid w:val="0082774E"/>
    <w:rsid w:val="008278F9"/>
    <w:rsid w:val="0083526B"/>
    <w:rsid w:val="00837574"/>
    <w:rsid w:val="0084208A"/>
    <w:rsid w:val="008426BC"/>
    <w:rsid w:val="00842F66"/>
    <w:rsid w:val="00844187"/>
    <w:rsid w:val="00846B51"/>
    <w:rsid w:val="00846D8D"/>
    <w:rsid w:val="00847959"/>
    <w:rsid w:val="0085012B"/>
    <w:rsid w:val="00850217"/>
    <w:rsid w:val="00851558"/>
    <w:rsid w:val="0085200B"/>
    <w:rsid w:val="008538B6"/>
    <w:rsid w:val="008546E3"/>
    <w:rsid w:val="00857128"/>
    <w:rsid w:val="00857538"/>
    <w:rsid w:val="00860815"/>
    <w:rsid w:val="0086096A"/>
    <w:rsid w:val="00860B40"/>
    <w:rsid w:val="008618BB"/>
    <w:rsid w:val="00864D0B"/>
    <w:rsid w:val="00870089"/>
    <w:rsid w:val="00873404"/>
    <w:rsid w:val="00876B9D"/>
    <w:rsid w:val="00876E87"/>
    <w:rsid w:val="00876FE1"/>
    <w:rsid w:val="00877D65"/>
    <w:rsid w:val="00877E93"/>
    <w:rsid w:val="008809C6"/>
    <w:rsid w:val="00881CFA"/>
    <w:rsid w:val="008857A0"/>
    <w:rsid w:val="00887349"/>
    <w:rsid w:val="008911C3"/>
    <w:rsid w:val="008922EA"/>
    <w:rsid w:val="0089387A"/>
    <w:rsid w:val="008945F3"/>
    <w:rsid w:val="0089793B"/>
    <w:rsid w:val="008A05DD"/>
    <w:rsid w:val="008A0C76"/>
    <w:rsid w:val="008A4688"/>
    <w:rsid w:val="008A4979"/>
    <w:rsid w:val="008A49A8"/>
    <w:rsid w:val="008A4AF4"/>
    <w:rsid w:val="008A55A8"/>
    <w:rsid w:val="008A6A86"/>
    <w:rsid w:val="008A7213"/>
    <w:rsid w:val="008B2D13"/>
    <w:rsid w:val="008B4AEC"/>
    <w:rsid w:val="008B764F"/>
    <w:rsid w:val="008C0172"/>
    <w:rsid w:val="008C1BA4"/>
    <w:rsid w:val="008C3162"/>
    <w:rsid w:val="008C46F6"/>
    <w:rsid w:val="008C5519"/>
    <w:rsid w:val="008C5BFC"/>
    <w:rsid w:val="008C7C34"/>
    <w:rsid w:val="008D075C"/>
    <w:rsid w:val="008D3186"/>
    <w:rsid w:val="008D6488"/>
    <w:rsid w:val="008D7777"/>
    <w:rsid w:val="008E0EBF"/>
    <w:rsid w:val="008E20F1"/>
    <w:rsid w:val="008F47B3"/>
    <w:rsid w:val="008F60A2"/>
    <w:rsid w:val="008F6C90"/>
    <w:rsid w:val="008F6DA0"/>
    <w:rsid w:val="008F78BD"/>
    <w:rsid w:val="00900394"/>
    <w:rsid w:val="00901C43"/>
    <w:rsid w:val="00901F35"/>
    <w:rsid w:val="00901F91"/>
    <w:rsid w:val="00902CFC"/>
    <w:rsid w:val="00903C3C"/>
    <w:rsid w:val="00903D79"/>
    <w:rsid w:val="00907E40"/>
    <w:rsid w:val="00916FF0"/>
    <w:rsid w:val="0092035C"/>
    <w:rsid w:val="0092234A"/>
    <w:rsid w:val="00922831"/>
    <w:rsid w:val="00924235"/>
    <w:rsid w:val="009242A3"/>
    <w:rsid w:val="00924312"/>
    <w:rsid w:val="009300B5"/>
    <w:rsid w:val="0093265E"/>
    <w:rsid w:val="009335E3"/>
    <w:rsid w:val="00934A96"/>
    <w:rsid w:val="00937698"/>
    <w:rsid w:val="00940CD1"/>
    <w:rsid w:val="0094104D"/>
    <w:rsid w:val="00941AA6"/>
    <w:rsid w:val="0094205D"/>
    <w:rsid w:val="009435B3"/>
    <w:rsid w:val="00943FD4"/>
    <w:rsid w:val="00946A73"/>
    <w:rsid w:val="00947452"/>
    <w:rsid w:val="009505D8"/>
    <w:rsid w:val="00952249"/>
    <w:rsid w:val="00953366"/>
    <w:rsid w:val="0095617E"/>
    <w:rsid w:val="009572CE"/>
    <w:rsid w:val="0096076E"/>
    <w:rsid w:val="009614D6"/>
    <w:rsid w:val="0096160B"/>
    <w:rsid w:val="009629DE"/>
    <w:rsid w:val="009635F9"/>
    <w:rsid w:val="009647E1"/>
    <w:rsid w:val="0096596E"/>
    <w:rsid w:val="00966F9D"/>
    <w:rsid w:val="00967F3B"/>
    <w:rsid w:val="00970562"/>
    <w:rsid w:val="00971967"/>
    <w:rsid w:val="00973767"/>
    <w:rsid w:val="00975DC8"/>
    <w:rsid w:val="00976745"/>
    <w:rsid w:val="009773D1"/>
    <w:rsid w:val="00977E04"/>
    <w:rsid w:val="00980C8C"/>
    <w:rsid w:val="00981144"/>
    <w:rsid w:val="0098179D"/>
    <w:rsid w:val="00981C86"/>
    <w:rsid w:val="00982C7F"/>
    <w:rsid w:val="00987158"/>
    <w:rsid w:val="0098785B"/>
    <w:rsid w:val="00990517"/>
    <w:rsid w:val="00990F05"/>
    <w:rsid w:val="009913BC"/>
    <w:rsid w:val="00991567"/>
    <w:rsid w:val="00993042"/>
    <w:rsid w:val="00993BAB"/>
    <w:rsid w:val="00994618"/>
    <w:rsid w:val="00995988"/>
    <w:rsid w:val="00995BBB"/>
    <w:rsid w:val="00997F6E"/>
    <w:rsid w:val="009A1453"/>
    <w:rsid w:val="009A2108"/>
    <w:rsid w:val="009A28B6"/>
    <w:rsid w:val="009A4278"/>
    <w:rsid w:val="009A653F"/>
    <w:rsid w:val="009A6DC5"/>
    <w:rsid w:val="009B1469"/>
    <w:rsid w:val="009B3CC5"/>
    <w:rsid w:val="009B479C"/>
    <w:rsid w:val="009B4FF6"/>
    <w:rsid w:val="009B5B0D"/>
    <w:rsid w:val="009B6194"/>
    <w:rsid w:val="009B66BE"/>
    <w:rsid w:val="009C1922"/>
    <w:rsid w:val="009C1BEF"/>
    <w:rsid w:val="009C3EF3"/>
    <w:rsid w:val="009C4959"/>
    <w:rsid w:val="009C4C73"/>
    <w:rsid w:val="009C668B"/>
    <w:rsid w:val="009D0810"/>
    <w:rsid w:val="009D195E"/>
    <w:rsid w:val="009D2688"/>
    <w:rsid w:val="009D317C"/>
    <w:rsid w:val="009D595B"/>
    <w:rsid w:val="009E214B"/>
    <w:rsid w:val="009E4891"/>
    <w:rsid w:val="009E497F"/>
    <w:rsid w:val="009F0534"/>
    <w:rsid w:val="009F12C8"/>
    <w:rsid w:val="009F28AA"/>
    <w:rsid w:val="009F34B9"/>
    <w:rsid w:val="009F3F4B"/>
    <w:rsid w:val="009F4542"/>
    <w:rsid w:val="009F4F4B"/>
    <w:rsid w:val="009F5F06"/>
    <w:rsid w:val="009F7948"/>
    <w:rsid w:val="00A019CC"/>
    <w:rsid w:val="00A01B3E"/>
    <w:rsid w:val="00A01C69"/>
    <w:rsid w:val="00A0217E"/>
    <w:rsid w:val="00A06392"/>
    <w:rsid w:val="00A12454"/>
    <w:rsid w:val="00A12C19"/>
    <w:rsid w:val="00A13228"/>
    <w:rsid w:val="00A15886"/>
    <w:rsid w:val="00A15ED2"/>
    <w:rsid w:val="00A168E3"/>
    <w:rsid w:val="00A1749C"/>
    <w:rsid w:val="00A20760"/>
    <w:rsid w:val="00A22D41"/>
    <w:rsid w:val="00A22F20"/>
    <w:rsid w:val="00A236E2"/>
    <w:rsid w:val="00A325B1"/>
    <w:rsid w:val="00A334CA"/>
    <w:rsid w:val="00A33D58"/>
    <w:rsid w:val="00A34220"/>
    <w:rsid w:val="00A34D26"/>
    <w:rsid w:val="00A409C8"/>
    <w:rsid w:val="00A41862"/>
    <w:rsid w:val="00A41C22"/>
    <w:rsid w:val="00A42366"/>
    <w:rsid w:val="00A42B88"/>
    <w:rsid w:val="00A43239"/>
    <w:rsid w:val="00A44677"/>
    <w:rsid w:val="00A44C5E"/>
    <w:rsid w:val="00A45058"/>
    <w:rsid w:val="00A460EC"/>
    <w:rsid w:val="00A505EA"/>
    <w:rsid w:val="00A5061E"/>
    <w:rsid w:val="00A506D0"/>
    <w:rsid w:val="00A50AB5"/>
    <w:rsid w:val="00A51F74"/>
    <w:rsid w:val="00A521D9"/>
    <w:rsid w:val="00A53C58"/>
    <w:rsid w:val="00A552DB"/>
    <w:rsid w:val="00A55EDC"/>
    <w:rsid w:val="00A56206"/>
    <w:rsid w:val="00A5709E"/>
    <w:rsid w:val="00A574F4"/>
    <w:rsid w:val="00A5799A"/>
    <w:rsid w:val="00A6332E"/>
    <w:rsid w:val="00A641F8"/>
    <w:rsid w:val="00A65BFF"/>
    <w:rsid w:val="00A66E1D"/>
    <w:rsid w:val="00A70B71"/>
    <w:rsid w:val="00A73890"/>
    <w:rsid w:val="00A74D9A"/>
    <w:rsid w:val="00A75B1C"/>
    <w:rsid w:val="00A7613E"/>
    <w:rsid w:val="00A803BD"/>
    <w:rsid w:val="00A81C44"/>
    <w:rsid w:val="00A81E33"/>
    <w:rsid w:val="00A8323E"/>
    <w:rsid w:val="00A83277"/>
    <w:rsid w:val="00A8532B"/>
    <w:rsid w:val="00A863EE"/>
    <w:rsid w:val="00A8759E"/>
    <w:rsid w:val="00A877BD"/>
    <w:rsid w:val="00A9086D"/>
    <w:rsid w:val="00A95BAA"/>
    <w:rsid w:val="00A97198"/>
    <w:rsid w:val="00AA0FFB"/>
    <w:rsid w:val="00AA1093"/>
    <w:rsid w:val="00AA1BD4"/>
    <w:rsid w:val="00AA3148"/>
    <w:rsid w:val="00AA75D5"/>
    <w:rsid w:val="00AB094D"/>
    <w:rsid w:val="00AB0A74"/>
    <w:rsid w:val="00AB18FC"/>
    <w:rsid w:val="00AB4820"/>
    <w:rsid w:val="00AB4EF6"/>
    <w:rsid w:val="00AB5C94"/>
    <w:rsid w:val="00AC0F71"/>
    <w:rsid w:val="00AC13BF"/>
    <w:rsid w:val="00AC41D3"/>
    <w:rsid w:val="00AC4405"/>
    <w:rsid w:val="00AC5626"/>
    <w:rsid w:val="00AC6410"/>
    <w:rsid w:val="00AD0AC9"/>
    <w:rsid w:val="00AD1E6E"/>
    <w:rsid w:val="00AD21FF"/>
    <w:rsid w:val="00AD49E4"/>
    <w:rsid w:val="00AD7BBA"/>
    <w:rsid w:val="00AD7F92"/>
    <w:rsid w:val="00AE2571"/>
    <w:rsid w:val="00AE3900"/>
    <w:rsid w:val="00AE43A5"/>
    <w:rsid w:val="00AE7485"/>
    <w:rsid w:val="00AF0FA5"/>
    <w:rsid w:val="00AF2CA0"/>
    <w:rsid w:val="00AF3F63"/>
    <w:rsid w:val="00AF43D7"/>
    <w:rsid w:val="00AF7391"/>
    <w:rsid w:val="00AF7793"/>
    <w:rsid w:val="00B00CEF"/>
    <w:rsid w:val="00B013A4"/>
    <w:rsid w:val="00B04238"/>
    <w:rsid w:val="00B04CD6"/>
    <w:rsid w:val="00B04D3D"/>
    <w:rsid w:val="00B076BD"/>
    <w:rsid w:val="00B11385"/>
    <w:rsid w:val="00B121CB"/>
    <w:rsid w:val="00B12626"/>
    <w:rsid w:val="00B130D7"/>
    <w:rsid w:val="00B14CD5"/>
    <w:rsid w:val="00B16540"/>
    <w:rsid w:val="00B167F3"/>
    <w:rsid w:val="00B177BD"/>
    <w:rsid w:val="00B20FC8"/>
    <w:rsid w:val="00B211DB"/>
    <w:rsid w:val="00B22BFA"/>
    <w:rsid w:val="00B22CBE"/>
    <w:rsid w:val="00B23868"/>
    <w:rsid w:val="00B25E9B"/>
    <w:rsid w:val="00B26247"/>
    <w:rsid w:val="00B264C7"/>
    <w:rsid w:val="00B26ADE"/>
    <w:rsid w:val="00B26DFB"/>
    <w:rsid w:val="00B33CB4"/>
    <w:rsid w:val="00B33E47"/>
    <w:rsid w:val="00B35A60"/>
    <w:rsid w:val="00B36FEB"/>
    <w:rsid w:val="00B370A0"/>
    <w:rsid w:val="00B417F4"/>
    <w:rsid w:val="00B41A99"/>
    <w:rsid w:val="00B43344"/>
    <w:rsid w:val="00B43B95"/>
    <w:rsid w:val="00B4455B"/>
    <w:rsid w:val="00B44C6C"/>
    <w:rsid w:val="00B47E11"/>
    <w:rsid w:val="00B52F8F"/>
    <w:rsid w:val="00B570C7"/>
    <w:rsid w:val="00B57A8E"/>
    <w:rsid w:val="00B62D0B"/>
    <w:rsid w:val="00B64315"/>
    <w:rsid w:val="00B64F58"/>
    <w:rsid w:val="00B67C5B"/>
    <w:rsid w:val="00B70E5E"/>
    <w:rsid w:val="00B7119A"/>
    <w:rsid w:val="00B71D32"/>
    <w:rsid w:val="00B72CC7"/>
    <w:rsid w:val="00B73F9B"/>
    <w:rsid w:val="00B749E9"/>
    <w:rsid w:val="00B75208"/>
    <w:rsid w:val="00B75F57"/>
    <w:rsid w:val="00B76596"/>
    <w:rsid w:val="00B772D5"/>
    <w:rsid w:val="00B776B8"/>
    <w:rsid w:val="00B812C2"/>
    <w:rsid w:val="00B817D1"/>
    <w:rsid w:val="00B844D5"/>
    <w:rsid w:val="00B8559D"/>
    <w:rsid w:val="00B876F2"/>
    <w:rsid w:val="00B917F4"/>
    <w:rsid w:val="00B94313"/>
    <w:rsid w:val="00B94A6E"/>
    <w:rsid w:val="00B95882"/>
    <w:rsid w:val="00B95AA5"/>
    <w:rsid w:val="00B95D5A"/>
    <w:rsid w:val="00B96623"/>
    <w:rsid w:val="00BA0D94"/>
    <w:rsid w:val="00BA2F8F"/>
    <w:rsid w:val="00BA49D4"/>
    <w:rsid w:val="00BA4E8C"/>
    <w:rsid w:val="00BA6181"/>
    <w:rsid w:val="00BA64F3"/>
    <w:rsid w:val="00BB0C1D"/>
    <w:rsid w:val="00BB2608"/>
    <w:rsid w:val="00BB791A"/>
    <w:rsid w:val="00BB7AE6"/>
    <w:rsid w:val="00BC269B"/>
    <w:rsid w:val="00BC296D"/>
    <w:rsid w:val="00BC3662"/>
    <w:rsid w:val="00BC421C"/>
    <w:rsid w:val="00BC4CA0"/>
    <w:rsid w:val="00BC4CF9"/>
    <w:rsid w:val="00BC53AE"/>
    <w:rsid w:val="00BC60D1"/>
    <w:rsid w:val="00BC64A8"/>
    <w:rsid w:val="00BD18BA"/>
    <w:rsid w:val="00BD3DC8"/>
    <w:rsid w:val="00BD714E"/>
    <w:rsid w:val="00BD7DD0"/>
    <w:rsid w:val="00BE0906"/>
    <w:rsid w:val="00BE2D8F"/>
    <w:rsid w:val="00BE4533"/>
    <w:rsid w:val="00BE4F09"/>
    <w:rsid w:val="00BF0BE4"/>
    <w:rsid w:val="00BF0DD5"/>
    <w:rsid w:val="00BF0E0A"/>
    <w:rsid w:val="00BF27AD"/>
    <w:rsid w:val="00BF3486"/>
    <w:rsid w:val="00BF424B"/>
    <w:rsid w:val="00BF5F86"/>
    <w:rsid w:val="00BF78E2"/>
    <w:rsid w:val="00C02292"/>
    <w:rsid w:val="00C03599"/>
    <w:rsid w:val="00C03607"/>
    <w:rsid w:val="00C110A2"/>
    <w:rsid w:val="00C11400"/>
    <w:rsid w:val="00C116E1"/>
    <w:rsid w:val="00C11808"/>
    <w:rsid w:val="00C1224C"/>
    <w:rsid w:val="00C124F7"/>
    <w:rsid w:val="00C14A28"/>
    <w:rsid w:val="00C14B28"/>
    <w:rsid w:val="00C15231"/>
    <w:rsid w:val="00C15A9D"/>
    <w:rsid w:val="00C241B5"/>
    <w:rsid w:val="00C2687A"/>
    <w:rsid w:val="00C2799B"/>
    <w:rsid w:val="00C3033C"/>
    <w:rsid w:val="00C30AAD"/>
    <w:rsid w:val="00C314F3"/>
    <w:rsid w:val="00C32A8E"/>
    <w:rsid w:val="00C347E9"/>
    <w:rsid w:val="00C37074"/>
    <w:rsid w:val="00C37579"/>
    <w:rsid w:val="00C40A20"/>
    <w:rsid w:val="00C417E6"/>
    <w:rsid w:val="00C43143"/>
    <w:rsid w:val="00C43EED"/>
    <w:rsid w:val="00C4578C"/>
    <w:rsid w:val="00C46E3A"/>
    <w:rsid w:val="00C50788"/>
    <w:rsid w:val="00C51B67"/>
    <w:rsid w:val="00C531E0"/>
    <w:rsid w:val="00C53C27"/>
    <w:rsid w:val="00C5504A"/>
    <w:rsid w:val="00C560C5"/>
    <w:rsid w:val="00C578B0"/>
    <w:rsid w:val="00C63AFC"/>
    <w:rsid w:val="00C63C5D"/>
    <w:rsid w:val="00C63E61"/>
    <w:rsid w:val="00C640FD"/>
    <w:rsid w:val="00C648DE"/>
    <w:rsid w:val="00C65FC4"/>
    <w:rsid w:val="00C72467"/>
    <w:rsid w:val="00C734E0"/>
    <w:rsid w:val="00C7350C"/>
    <w:rsid w:val="00C775F1"/>
    <w:rsid w:val="00C815E8"/>
    <w:rsid w:val="00C822B1"/>
    <w:rsid w:val="00C82DD5"/>
    <w:rsid w:val="00C84A25"/>
    <w:rsid w:val="00C84D17"/>
    <w:rsid w:val="00C855F5"/>
    <w:rsid w:val="00C9017C"/>
    <w:rsid w:val="00C93F4B"/>
    <w:rsid w:val="00C9436E"/>
    <w:rsid w:val="00C953E6"/>
    <w:rsid w:val="00CA18BF"/>
    <w:rsid w:val="00CA2524"/>
    <w:rsid w:val="00CA2DB2"/>
    <w:rsid w:val="00CA4FA3"/>
    <w:rsid w:val="00CA5D33"/>
    <w:rsid w:val="00CA7748"/>
    <w:rsid w:val="00CA7BE4"/>
    <w:rsid w:val="00CB3246"/>
    <w:rsid w:val="00CB3983"/>
    <w:rsid w:val="00CB4708"/>
    <w:rsid w:val="00CB679B"/>
    <w:rsid w:val="00CB7D4B"/>
    <w:rsid w:val="00CC14AE"/>
    <w:rsid w:val="00CC316E"/>
    <w:rsid w:val="00CC476E"/>
    <w:rsid w:val="00CC4EFD"/>
    <w:rsid w:val="00CD0ACE"/>
    <w:rsid w:val="00CD180F"/>
    <w:rsid w:val="00CD398E"/>
    <w:rsid w:val="00CD4E1A"/>
    <w:rsid w:val="00CE0E64"/>
    <w:rsid w:val="00CE17E9"/>
    <w:rsid w:val="00CE26C9"/>
    <w:rsid w:val="00CE278A"/>
    <w:rsid w:val="00CE2C9A"/>
    <w:rsid w:val="00CE462E"/>
    <w:rsid w:val="00CE511F"/>
    <w:rsid w:val="00CE526C"/>
    <w:rsid w:val="00CE6E3B"/>
    <w:rsid w:val="00CF0C54"/>
    <w:rsid w:val="00CF119F"/>
    <w:rsid w:val="00CF24CF"/>
    <w:rsid w:val="00CF5395"/>
    <w:rsid w:val="00CF6A28"/>
    <w:rsid w:val="00CF7FD5"/>
    <w:rsid w:val="00D02373"/>
    <w:rsid w:val="00D024CA"/>
    <w:rsid w:val="00D04379"/>
    <w:rsid w:val="00D050AA"/>
    <w:rsid w:val="00D06275"/>
    <w:rsid w:val="00D10B0E"/>
    <w:rsid w:val="00D116CA"/>
    <w:rsid w:val="00D11C77"/>
    <w:rsid w:val="00D13CBD"/>
    <w:rsid w:val="00D14235"/>
    <w:rsid w:val="00D150D3"/>
    <w:rsid w:val="00D16395"/>
    <w:rsid w:val="00D16D7F"/>
    <w:rsid w:val="00D2075A"/>
    <w:rsid w:val="00D2133C"/>
    <w:rsid w:val="00D213B2"/>
    <w:rsid w:val="00D218D4"/>
    <w:rsid w:val="00D21994"/>
    <w:rsid w:val="00D22E79"/>
    <w:rsid w:val="00D2406B"/>
    <w:rsid w:val="00D24D5A"/>
    <w:rsid w:val="00D26905"/>
    <w:rsid w:val="00D27E34"/>
    <w:rsid w:val="00D30A3E"/>
    <w:rsid w:val="00D31EA6"/>
    <w:rsid w:val="00D33A25"/>
    <w:rsid w:val="00D352D2"/>
    <w:rsid w:val="00D355A9"/>
    <w:rsid w:val="00D40E36"/>
    <w:rsid w:val="00D410BA"/>
    <w:rsid w:val="00D425D3"/>
    <w:rsid w:val="00D44AE2"/>
    <w:rsid w:val="00D452FC"/>
    <w:rsid w:val="00D47558"/>
    <w:rsid w:val="00D523E4"/>
    <w:rsid w:val="00D53997"/>
    <w:rsid w:val="00D5479A"/>
    <w:rsid w:val="00D562C2"/>
    <w:rsid w:val="00D565BB"/>
    <w:rsid w:val="00D605BC"/>
    <w:rsid w:val="00D62AA9"/>
    <w:rsid w:val="00D63593"/>
    <w:rsid w:val="00D63F80"/>
    <w:rsid w:val="00D70C01"/>
    <w:rsid w:val="00D72EFD"/>
    <w:rsid w:val="00D753D5"/>
    <w:rsid w:val="00D75498"/>
    <w:rsid w:val="00D75C59"/>
    <w:rsid w:val="00D77382"/>
    <w:rsid w:val="00D82553"/>
    <w:rsid w:val="00D82F6C"/>
    <w:rsid w:val="00D839AF"/>
    <w:rsid w:val="00D851D6"/>
    <w:rsid w:val="00D851DF"/>
    <w:rsid w:val="00D85415"/>
    <w:rsid w:val="00D86CCD"/>
    <w:rsid w:val="00D86FB0"/>
    <w:rsid w:val="00D90A1F"/>
    <w:rsid w:val="00D928D4"/>
    <w:rsid w:val="00D96972"/>
    <w:rsid w:val="00D97936"/>
    <w:rsid w:val="00D97EFD"/>
    <w:rsid w:val="00DA3236"/>
    <w:rsid w:val="00DA5A9E"/>
    <w:rsid w:val="00DA7B37"/>
    <w:rsid w:val="00DA7ED3"/>
    <w:rsid w:val="00DB03C2"/>
    <w:rsid w:val="00DB1B7A"/>
    <w:rsid w:val="00DB5032"/>
    <w:rsid w:val="00DB53DF"/>
    <w:rsid w:val="00DC049A"/>
    <w:rsid w:val="00DC12BF"/>
    <w:rsid w:val="00DC162D"/>
    <w:rsid w:val="00DC1C36"/>
    <w:rsid w:val="00DC20D4"/>
    <w:rsid w:val="00DC4102"/>
    <w:rsid w:val="00DC4473"/>
    <w:rsid w:val="00DC4714"/>
    <w:rsid w:val="00DC4D93"/>
    <w:rsid w:val="00DD003E"/>
    <w:rsid w:val="00DD493A"/>
    <w:rsid w:val="00DD49F7"/>
    <w:rsid w:val="00DD5594"/>
    <w:rsid w:val="00DD7073"/>
    <w:rsid w:val="00DD71CD"/>
    <w:rsid w:val="00DE22AE"/>
    <w:rsid w:val="00DE36F4"/>
    <w:rsid w:val="00DE5B1E"/>
    <w:rsid w:val="00DE6C2F"/>
    <w:rsid w:val="00DF085C"/>
    <w:rsid w:val="00DF0F8F"/>
    <w:rsid w:val="00DF1FD2"/>
    <w:rsid w:val="00DF442D"/>
    <w:rsid w:val="00DF741A"/>
    <w:rsid w:val="00DF7456"/>
    <w:rsid w:val="00E0077E"/>
    <w:rsid w:val="00E019E6"/>
    <w:rsid w:val="00E04ABA"/>
    <w:rsid w:val="00E04ECF"/>
    <w:rsid w:val="00E10E97"/>
    <w:rsid w:val="00E11C35"/>
    <w:rsid w:val="00E13868"/>
    <w:rsid w:val="00E21648"/>
    <w:rsid w:val="00E21E06"/>
    <w:rsid w:val="00E24A55"/>
    <w:rsid w:val="00E24BAC"/>
    <w:rsid w:val="00E25A35"/>
    <w:rsid w:val="00E26866"/>
    <w:rsid w:val="00E30D4D"/>
    <w:rsid w:val="00E3170E"/>
    <w:rsid w:val="00E31A5F"/>
    <w:rsid w:val="00E338D9"/>
    <w:rsid w:val="00E33E99"/>
    <w:rsid w:val="00E34F71"/>
    <w:rsid w:val="00E362A6"/>
    <w:rsid w:val="00E3675C"/>
    <w:rsid w:val="00E406D3"/>
    <w:rsid w:val="00E417F4"/>
    <w:rsid w:val="00E41C88"/>
    <w:rsid w:val="00E42768"/>
    <w:rsid w:val="00E434C3"/>
    <w:rsid w:val="00E44E33"/>
    <w:rsid w:val="00E46826"/>
    <w:rsid w:val="00E46856"/>
    <w:rsid w:val="00E47300"/>
    <w:rsid w:val="00E4737D"/>
    <w:rsid w:val="00E50186"/>
    <w:rsid w:val="00E51B47"/>
    <w:rsid w:val="00E5417B"/>
    <w:rsid w:val="00E55F23"/>
    <w:rsid w:val="00E61416"/>
    <w:rsid w:val="00E63091"/>
    <w:rsid w:val="00E66132"/>
    <w:rsid w:val="00E67E2B"/>
    <w:rsid w:val="00E70F1E"/>
    <w:rsid w:val="00E75FBB"/>
    <w:rsid w:val="00E76B12"/>
    <w:rsid w:val="00E77126"/>
    <w:rsid w:val="00E8124A"/>
    <w:rsid w:val="00E83595"/>
    <w:rsid w:val="00E85FB3"/>
    <w:rsid w:val="00E872AA"/>
    <w:rsid w:val="00E8794B"/>
    <w:rsid w:val="00E91636"/>
    <w:rsid w:val="00E917B1"/>
    <w:rsid w:val="00E92D00"/>
    <w:rsid w:val="00E94392"/>
    <w:rsid w:val="00E95569"/>
    <w:rsid w:val="00EA0F9C"/>
    <w:rsid w:val="00EA2C1F"/>
    <w:rsid w:val="00EA6666"/>
    <w:rsid w:val="00EA6F1A"/>
    <w:rsid w:val="00EA7D65"/>
    <w:rsid w:val="00EB0E2C"/>
    <w:rsid w:val="00EB1C3A"/>
    <w:rsid w:val="00EB4B40"/>
    <w:rsid w:val="00EC2FA4"/>
    <w:rsid w:val="00EC4835"/>
    <w:rsid w:val="00EC4AA8"/>
    <w:rsid w:val="00EC5C96"/>
    <w:rsid w:val="00EC7936"/>
    <w:rsid w:val="00ED0162"/>
    <w:rsid w:val="00ED21D2"/>
    <w:rsid w:val="00ED6F7F"/>
    <w:rsid w:val="00EE118E"/>
    <w:rsid w:val="00EE3819"/>
    <w:rsid w:val="00EE4C82"/>
    <w:rsid w:val="00EE50C6"/>
    <w:rsid w:val="00EE6626"/>
    <w:rsid w:val="00EE7C34"/>
    <w:rsid w:val="00EF023D"/>
    <w:rsid w:val="00EF05EA"/>
    <w:rsid w:val="00EF0B1E"/>
    <w:rsid w:val="00EF178C"/>
    <w:rsid w:val="00EF22BF"/>
    <w:rsid w:val="00EF66C8"/>
    <w:rsid w:val="00F0016F"/>
    <w:rsid w:val="00F00BA7"/>
    <w:rsid w:val="00F052A6"/>
    <w:rsid w:val="00F053E8"/>
    <w:rsid w:val="00F072CE"/>
    <w:rsid w:val="00F13632"/>
    <w:rsid w:val="00F13931"/>
    <w:rsid w:val="00F179E0"/>
    <w:rsid w:val="00F17E70"/>
    <w:rsid w:val="00F207E1"/>
    <w:rsid w:val="00F2093A"/>
    <w:rsid w:val="00F20BF7"/>
    <w:rsid w:val="00F20E3A"/>
    <w:rsid w:val="00F22FB5"/>
    <w:rsid w:val="00F26B56"/>
    <w:rsid w:val="00F30E77"/>
    <w:rsid w:val="00F3166C"/>
    <w:rsid w:val="00F319E7"/>
    <w:rsid w:val="00F3276E"/>
    <w:rsid w:val="00F334C9"/>
    <w:rsid w:val="00F336AA"/>
    <w:rsid w:val="00F35ABD"/>
    <w:rsid w:val="00F376C2"/>
    <w:rsid w:val="00F4274D"/>
    <w:rsid w:val="00F4428F"/>
    <w:rsid w:val="00F46B80"/>
    <w:rsid w:val="00F46BCA"/>
    <w:rsid w:val="00F46C64"/>
    <w:rsid w:val="00F50537"/>
    <w:rsid w:val="00F5150B"/>
    <w:rsid w:val="00F52E96"/>
    <w:rsid w:val="00F61494"/>
    <w:rsid w:val="00F621F9"/>
    <w:rsid w:val="00F63C2E"/>
    <w:rsid w:val="00F63E52"/>
    <w:rsid w:val="00F640DA"/>
    <w:rsid w:val="00F64E68"/>
    <w:rsid w:val="00F661A2"/>
    <w:rsid w:val="00F67743"/>
    <w:rsid w:val="00F67C8F"/>
    <w:rsid w:val="00F73086"/>
    <w:rsid w:val="00F81F54"/>
    <w:rsid w:val="00F85D81"/>
    <w:rsid w:val="00F865C3"/>
    <w:rsid w:val="00F90857"/>
    <w:rsid w:val="00F922D7"/>
    <w:rsid w:val="00F92397"/>
    <w:rsid w:val="00F93BEC"/>
    <w:rsid w:val="00F94436"/>
    <w:rsid w:val="00F94813"/>
    <w:rsid w:val="00F969D5"/>
    <w:rsid w:val="00F974F3"/>
    <w:rsid w:val="00FA1775"/>
    <w:rsid w:val="00FA546D"/>
    <w:rsid w:val="00FA6BDB"/>
    <w:rsid w:val="00FA7094"/>
    <w:rsid w:val="00FB360C"/>
    <w:rsid w:val="00FB4590"/>
    <w:rsid w:val="00FB4719"/>
    <w:rsid w:val="00FB4CCA"/>
    <w:rsid w:val="00FB546A"/>
    <w:rsid w:val="00FB677C"/>
    <w:rsid w:val="00FC342D"/>
    <w:rsid w:val="00FC3679"/>
    <w:rsid w:val="00FC5785"/>
    <w:rsid w:val="00FC73CF"/>
    <w:rsid w:val="00FC75E7"/>
    <w:rsid w:val="00FD323D"/>
    <w:rsid w:val="00FD33E2"/>
    <w:rsid w:val="00FD3F64"/>
    <w:rsid w:val="00FD519C"/>
    <w:rsid w:val="00FD5601"/>
    <w:rsid w:val="00FD7E4F"/>
    <w:rsid w:val="00FE27D7"/>
    <w:rsid w:val="00FE2FCD"/>
    <w:rsid w:val="00FE3AAF"/>
    <w:rsid w:val="00FE51A7"/>
    <w:rsid w:val="00FF0361"/>
    <w:rsid w:val="00FF3420"/>
    <w:rsid w:val="00FF41DD"/>
    <w:rsid w:val="00FF4946"/>
    <w:rsid w:val="00FF49B6"/>
    <w:rsid w:val="00FF630A"/>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C9"/>
    <w:pPr>
      <w:spacing w:before="120" w:after="120"/>
    </w:pPr>
    <w:rPr>
      <w:rFonts w:ascii="Arial" w:eastAsia="MS Mincho" w:hAnsi="Arial" w:cs="FSMe-Bold"/>
      <w:spacing w:val="-2"/>
      <w:sz w:val="20"/>
      <w:szCs w:val="20"/>
      <w:lang w:val="en-GB"/>
    </w:rPr>
  </w:style>
  <w:style w:type="paragraph" w:styleId="Heading1">
    <w:name w:val="heading 1"/>
    <w:basedOn w:val="Normal"/>
    <w:next w:val="Normal"/>
    <w:link w:val="Heading1Char"/>
    <w:autoRedefine/>
    <w:uiPriority w:val="9"/>
    <w:qFormat/>
    <w:rsid w:val="00E31A5F"/>
    <w:pPr>
      <w:keepNext/>
      <w:numPr>
        <w:numId w:val="18"/>
      </w:numPr>
      <w:spacing w:before="240"/>
      <w:outlineLvl w:val="0"/>
    </w:pPr>
    <w:rPr>
      <w:rFonts w:eastAsia="MS Gothic" w:cs="Times New Roman"/>
      <w:b/>
      <w:bCs/>
      <w:color w:val="6B2976"/>
      <w:kern w:val="32"/>
      <w:sz w:val="36"/>
      <w:szCs w:val="40"/>
    </w:rPr>
  </w:style>
  <w:style w:type="paragraph" w:styleId="Heading2">
    <w:name w:val="heading 2"/>
    <w:basedOn w:val="Normal"/>
    <w:next w:val="Normal"/>
    <w:link w:val="Heading2Char"/>
    <w:autoRedefine/>
    <w:uiPriority w:val="9"/>
    <w:unhideWhenUsed/>
    <w:qFormat/>
    <w:rsid w:val="000D6477"/>
    <w:pPr>
      <w:keepNext/>
      <w:spacing w:before="240"/>
      <w:ind w:left="567" w:hanging="567"/>
      <w:outlineLvl w:val="1"/>
    </w:pPr>
    <w:rPr>
      <w:rFonts w:ascii="Arial Bold" w:eastAsia="MS Gothic" w:hAnsi="Arial Bold" w:cs="Times New Roman"/>
      <w:b/>
      <w:bCs/>
      <w:color w:val="54A0CF"/>
      <w:sz w:val="24"/>
      <w:szCs w:val="24"/>
    </w:rPr>
  </w:style>
  <w:style w:type="paragraph" w:styleId="Heading3">
    <w:name w:val="heading 3"/>
    <w:basedOn w:val="Normal"/>
    <w:next w:val="Normal"/>
    <w:link w:val="Heading3Char"/>
    <w:autoRedefine/>
    <w:uiPriority w:val="9"/>
    <w:unhideWhenUsed/>
    <w:qFormat/>
    <w:rsid w:val="00E917B1"/>
    <w:pPr>
      <w:keepNext/>
      <w:spacing w:before="240" w:after="60"/>
      <w:outlineLvl w:val="2"/>
    </w:pPr>
    <w:rPr>
      <w:rFonts w:ascii="Arial Bold" w:eastAsia="MS Gothic" w:hAnsi="Arial Bold" w:cs="Times New Roman"/>
      <w:bCs/>
      <w:sz w:val="22"/>
      <w:szCs w:val="22"/>
    </w:rPr>
  </w:style>
  <w:style w:type="paragraph" w:styleId="Heading4">
    <w:name w:val="heading 4"/>
    <w:basedOn w:val="Normal"/>
    <w:next w:val="Normal"/>
    <w:link w:val="Heading4Char"/>
    <w:uiPriority w:val="9"/>
    <w:unhideWhenUsed/>
    <w:qFormat/>
    <w:rsid w:val="00380069"/>
    <w:pPr>
      <w:keepNext/>
      <w:keepLines/>
      <w:tabs>
        <w:tab w:val="left" w:pos="567"/>
      </w:tabs>
      <w:spacing w:before="200"/>
      <w:outlineLvl w:val="3"/>
    </w:pPr>
    <w:rPr>
      <w:rFonts w:ascii="Arial Bold Italic" w:eastAsiaTheme="majorEastAsia" w:hAnsi="Arial Bold Italic" w:cstheme="majorBidi"/>
      <w:b/>
      <w:bCs/>
      <w:i/>
      <w:iCs/>
      <w:lang w:val="en-AU"/>
    </w:rPr>
  </w:style>
  <w:style w:type="paragraph" w:styleId="Heading5">
    <w:name w:val="heading 5"/>
    <w:basedOn w:val="Normal"/>
    <w:next w:val="Normal"/>
    <w:link w:val="Heading5Char"/>
    <w:uiPriority w:val="9"/>
    <w:unhideWhenUsed/>
    <w:qFormat/>
    <w:rsid w:val="00B95A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B5A7D"/>
    <w:rPr>
      <w:rFonts w:asciiTheme="minorHAnsi" w:hAnsiTheme="minorHAnsi"/>
    </w:rPr>
  </w:style>
  <w:style w:type="character" w:customStyle="1" w:styleId="CommentTextChar">
    <w:name w:val="Comment Text Char"/>
    <w:basedOn w:val="DefaultParagraphFont"/>
    <w:link w:val="CommentText"/>
    <w:uiPriority w:val="99"/>
    <w:rsid w:val="003B5A7D"/>
    <w:rPr>
      <w:rFonts w:asciiTheme="minorHAnsi" w:hAnsiTheme="minorHAnsi"/>
      <w:lang w:val="en-GB"/>
    </w:rPr>
  </w:style>
  <w:style w:type="paragraph" w:styleId="TOC2">
    <w:name w:val="toc 2"/>
    <w:basedOn w:val="Normal"/>
    <w:next w:val="Normal"/>
    <w:autoRedefine/>
    <w:uiPriority w:val="39"/>
    <w:unhideWhenUsed/>
    <w:rsid w:val="00B35A60"/>
    <w:pPr>
      <w:spacing w:before="0"/>
      <w:ind w:left="198"/>
    </w:pPr>
  </w:style>
  <w:style w:type="paragraph" w:styleId="Header">
    <w:name w:val="header"/>
    <w:basedOn w:val="Normal"/>
    <w:link w:val="HeaderChar"/>
    <w:uiPriority w:val="99"/>
    <w:unhideWhenUsed/>
    <w:rsid w:val="000737C7"/>
    <w:pPr>
      <w:tabs>
        <w:tab w:val="center" w:pos="4320"/>
        <w:tab w:val="right" w:pos="8640"/>
      </w:tabs>
    </w:pPr>
  </w:style>
  <w:style w:type="character" w:customStyle="1" w:styleId="HeaderChar">
    <w:name w:val="Header Char"/>
    <w:basedOn w:val="DefaultParagraphFont"/>
    <w:link w:val="Header"/>
    <w:uiPriority w:val="99"/>
    <w:rsid w:val="000737C7"/>
    <w:rPr>
      <w:rFonts w:ascii="Arial" w:eastAsia="MS Mincho" w:hAnsi="Arial" w:cs="FSMe-Bold"/>
      <w:spacing w:val="-2"/>
      <w:sz w:val="20"/>
      <w:szCs w:val="20"/>
    </w:rPr>
  </w:style>
  <w:style w:type="paragraph" w:styleId="Footer">
    <w:name w:val="footer"/>
    <w:basedOn w:val="Normal"/>
    <w:link w:val="FooterChar"/>
    <w:autoRedefine/>
    <w:uiPriority w:val="99"/>
    <w:unhideWhenUsed/>
    <w:qFormat/>
    <w:rsid w:val="00EF023D"/>
    <w:pPr>
      <w:tabs>
        <w:tab w:val="left" w:pos="3686"/>
        <w:tab w:val="center" w:pos="8647"/>
        <w:tab w:val="right" w:pos="14459"/>
      </w:tabs>
    </w:pPr>
    <w:rPr>
      <w:color w:val="6B2976"/>
    </w:rPr>
  </w:style>
  <w:style w:type="character" w:customStyle="1" w:styleId="FooterChar">
    <w:name w:val="Footer Char"/>
    <w:link w:val="Footer"/>
    <w:uiPriority w:val="99"/>
    <w:rsid w:val="00EF023D"/>
    <w:rPr>
      <w:rFonts w:ascii="Arial" w:eastAsia="MS Mincho" w:hAnsi="Arial" w:cs="FSMe-Bold"/>
      <w:color w:val="6B2976"/>
      <w:spacing w:val="-2"/>
      <w:sz w:val="20"/>
      <w:szCs w:val="20"/>
    </w:rPr>
  </w:style>
  <w:style w:type="character" w:styleId="PageNumber">
    <w:name w:val="page number"/>
    <w:basedOn w:val="DefaultParagraphFont"/>
    <w:uiPriority w:val="99"/>
    <w:semiHidden/>
    <w:unhideWhenUsed/>
    <w:rsid w:val="000737C7"/>
  </w:style>
  <w:style w:type="paragraph" w:customStyle="1" w:styleId="Default">
    <w:name w:val="Default"/>
    <w:rsid w:val="008A4979"/>
    <w:pPr>
      <w:widowControl w:val="0"/>
      <w:autoSpaceDE w:val="0"/>
      <w:autoSpaceDN w:val="0"/>
      <w:adjustRightInd w:val="0"/>
    </w:pPr>
    <w:rPr>
      <w:rFonts w:cs="Calibri"/>
      <w:color w:val="000000"/>
    </w:rPr>
  </w:style>
  <w:style w:type="character" w:styleId="CommentReference">
    <w:name w:val="annotation reference"/>
    <w:basedOn w:val="DefaultParagraphFont"/>
    <w:uiPriority w:val="99"/>
    <w:semiHidden/>
    <w:unhideWhenUsed/>
    <w:rsid w:val="00684591"/>
    <w:rPr>
      <w:sz w:val="18"/>
      <w:szCs w:val="18"/>
    </w:rPr>
  </w:style>
  <w:style w:type="paragraph" w:styleId="CommentSubject">
    <w:name w:val="annotation subject"/>
    <w:basedOn w:val="CommentText"/>
    <w:next w:val="CommentText"/>
    <w:link w:val="CommentSubjectChar"/>
    <w:uiPriority w:val="99"/>
    <w:semiHidden/>
    <w:unhideWhenUsed/>
    <w:rsid w:val="00684591"/>
    <w:rPr>
      <w:rFonts w:ascii="Calibri" w:hAnsi="Calibri"/>
      <w:b/>
      <w:bCs/>
    </w:rPr>
  </w:style>
  <w:style w:type="character" w:customStyle="1" w:styleId="CommentSubjectChar">
    <w:name w:val="Comment Subject Char"/>
    <w:basedOn w:val="CommentTextChar"/>
    <w:link w:val="CommentSubject"/>
    <w:uiPriority w:val="99"/>
    <w:semiHidden/>
    <w:rsid w:val="00684591"/>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0737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C7"/>
    <w:rPr>
      <w:rFonts w:ascii="Tahoma" w:eastAsia="MS Mincho" w:hAnsi="Tahoma" w:cs="Tahoma"/>
      <w:spacing w:val="-2"/>
      <w:sz w:val="16"/>
      <w:szCs w:val="16"/>
    </w:rPr>
  </w:style>
  <w:style w:type="character" w:customStyle="1" w:styleId="Heading2Char">
    <w:name w:val="Heading 2 Char"/>
    <w:link w:val="Heading2"/>
    <w:uiPriority w:val="9"/>
    <w:rsid w:val="000D6477"/>
    <w:rPr>
      <w:rFonts w:ascii="Arial Bold" w:eastAsia="MS Gothic" w:hAnsi="Arial Bold" w:cs="Times New Roman"/>
      <w:b/>
      <w:bCs/>
      <w:color w:val="54A0CF"/>
      <w:spacing w:val="-2"/>
      <w:lang w:val="en-GB"/>
    </w:rPr>
  </w:style>
  <w:style w:type="paragraph" w:styleId="Title">
    <w:name w:val="Title"/>
    <w:basedOn w:val="Normal"/>
    <w:next w:val="Normal"/>
    <w:link w:val="TitleChar"/>
    <w:uiPriority w:val="10"/>
    <w:qFormat/>
    <w:rsid w:val="000737C7"/>
    <w:pP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0737C7"/>
    <w:rPr>
      <w:rFonts w:ascii="Arial" w:eastAsiaTheme="majorEastAsia" w:hAnsi="Arial" w:cstheme="majorBidi"/>
      <w:b/>
      <w:color w:val="17365D" w:themeColor="text2" w:themeShade="BF"/>
      <w:spacing w:val="5"/>
      <w:kern w:val="28"/>
      <w:sz w:val="52"/>
      <w:szCs w:val="52"/>
    </w:rPr>
  </w:style>
  <w:style w:type="character" w:customStyle="1" w:styleId="Heading3Char">
    <w:name w:val="Heading 3 Char"/>
    <w:link w:val="Heading3"/>
    <w:uiPriority w:val="9"/>
    <w:rsid w:val="00E917B1"/>
    <w:rPr>
      <w:rFonts w:ascii="Arial Bold" w:eastAsia="MS Gothic" w:hAnsi="Arial Bold" w:cs="Times New Roman"/>
      <w:bCs/>
      <w:spacing w:val="-2"/>
      <w:sz w:val="22"/>
      <w:szCs w:val="22"/>
      <w:lang w:val="en-GB"/>
    </w:rPr>
  </w:style>
  <w:style w:type="character" w:styleId="FootnoteReference">
    <w:name w:val="footnote reference"/>
    <w:uiPriority w:val="99"/>
    <w:rsid w:val="00391DA9"/>
    <w:rPr>
      <w:rFonts w:ascii="Georgia" w:hAnsi="Georgia"/>
      <w:sz w:val="20"/>
      <w:szCs w:val="20"/>
      <w:vertAlign w:val="superscript"/>
    </w:rPr>
  </w:style>
  <w:style w:type="paragraph" w:styleId="FootnoteText">
    <w:name w:val="footnote text"/>
    <w:basedOn w:val="Normal"/>
    <w:link w:val="FootnoteTextChar"/>
    <w:uiPriority w:val="99"/>
    <w:rsid w:val="00391DA9"/>
    <w:pPr>
      <w:ind w:left="360" w:hanging="360"/>
    </w:pPr>
    <w:rPr>
      <w:rFonts w:eastAsia="Times New Roman" w:cs="Times New Roman"/>
      <w:sz w:val="16"/>
      <w:szCs w:val="14"/>
      <w:lang w:eastAsia="en-NZ"/>
    </w:rPr>
  </w:style>
  <w:style w:type="character" w:customStyle="1" w:styleId="FootnoteTextChar">
    <w:name w:val="Footnote Text Char"/>
    <w:basedOn w:val="DefaultParagraphFont"/>
    <w:link w:val="FootnoteText"/>
    <w:uiPriority w:val="99"/>
    <w:rsid w:val="00391DA9"/>
    <w:rPr>
      <w:rFonts w:ascii="Arial" w:eastAsia="Times New Roman" w:hAnsi="Arial" w:cs="Times New Roman"/>
      <w:sz w:val="16"/>
      <w:szCs w:val="14"/>
      <w:lang w:val="en-AU" w:eastAsia="en-NZ"/>
    </w:rPr>
  </w:style>
  <w:style w:type="character" w:customStyle="1" w:styleId="Heading1Char">
    <w:name w:val="Heading 1 Char"/>
    <w:link w:val="Heading1"/>
    <w:uiPriority w:val="9"/>
    <w:rsid w:val="00E31A5F"/>
    <w:rPr>
      <w:rFonts w:ascii="Arial" w:eastAsia="MS Gothic" w:hAnsi="Arial" w:cs="Times New Roman"/>
      <w:b/>
      <w:bCs/>
      <w:color w:val="6B2976"/>
      <w:spacing w:val="-2"/>
      <w:kern w:val="32"/>
      <w:sz w:val="36"/>
      <w:szCs w:val="40"/>
      <w:lang w:val="en-GB"/>
    </w:rPr>
  </w:style>
  <w:style w:type="character" w:customStyle="1" w:styleId="Heading4Char">
    <w:name w:val="Heading 4 Char"/>
    <w:basedOn w:val="DefaultParagraphFont"/>
    <w:link w:val="Heading4"/>
    <w:uiPriority w:val="9"/>
    <w:rsid w:val="00380069"/>
    <w:rPr>
      <w:rFonts w:ascii="Arial Bold Italic" w:eastAsiaTheme="majorEastAsia" w:hAnsi="Arial Bold Italic" w:cstheme="majorBidi"/>
      <w:b/>
      <w:bCs/>
      <w:i/>
      <w:iCs/>
      <w:spacing w:val="-2"/>
      <w:sz w:val="20"/>
      <w:szCs w:val="20"/>
      <w:lang w:val="en-AU"/>
    </w:rPr>
  </w:style>
  <w:style w:type="paragraph" w:customStyle="1" w:styleId="ListBullet21">
    <w:name w:val="List Bullet 21"/>
    <w:basedOn w:val="ListBullet"/>
    <w:qFormat/>
    <w:rsid w:val="00901C43"/>
    <w:pPr>
      <w:numPr>
        <w:numId w:val="1"/>
      </w:numPr>
      <w:spacing w:before="0"/>
      <w:ind w:left="714" w:hanging="357"/>
    </w:pPr>
  </w:style>
  <w:style w:type="paragraph" w:styleId="TOC1">
    <w:name w:val="toc 1"/>
    <w:basedOn w:val="Normal"/>
    <w:next w:val="Normal"/>
    <w:autoRedefine/>
    <w:uiPriority w:val="39"/>
    <w:unhideWhenUsed/>
    <w:rsid w:val="00B35A60"/>
    <w:pPr>
      <w:tabs>
        <w:tab w:val="right" w:pos="9072"/>
      </w:tabs>
      <w:spacing w:before="0"/>
    </w:pPr>
  </w:style>
  <w:style w:type="character" w:styleId="Hyperlink">
    <w:name w:val="Hyperlink"/>
    <w:uiPriority w:val="99"/>
    <w:rsid w:val="00294423"/>
    <w:rPr>
      <w:color w:val="0000FF"/>
      <w:u w:val="single"/>
    </w:rPr>
  </w:style>
  <w:style w:type="paragraph" w:styleId="TOC3">
    <w:name w:val="toc 3"/>
    <w:basedOn w:val="Normal"/>
    <w:next w:val="Normal"/>
    <w:autoRedefine/>
    <w:uiPriority w:val="39"/>
    <w:unhideWhenUsed/>
    <w:rsid w:val="00B35A60"/>
    <w:pPr>
      <w:tabs>
        <w:tab w:val="right" w:pos="9010"/>
      </w:tabs>
      <w:spacing w:after="100"/>
      <w:ind w:left="400"/>
    </w:pPr>
  </w:style>
  <w:style w:type="character" w:customStyle="1" w:styleId="Heading5Char">
    <w:name w:val="Heading 5 Char"/>
    <w:basedOn w:val="DefaultParagraphFont"/>
    <w:link w:val="Heading5"/>
    <w:uiPriority w:val="9"/>
    <w:rsid w:val="00B95AA5"/>
    <w:rPr>
      <w:rFonts w:asciiTheme="majorHAnsi" w:eastAsiaTheme="majorEastAsia" w:hAnsiTheme="majorHAnsi" w:cstheme="majorBidi"/>
      <w:color w:val="243F60" w:themeColor="accent1" w:themeShade="7F"/>
      <w:lang w:val="en-GB"/>
    </w:rPr>
  </w:style>
  <w:style w:type="paragraph" w:styleId="Revision">
    <w:name w:val="Revision"/>
    <w:hidden/>
    <w:uiPriority w:val="99"/>
    <w:semiHidden/>
    <w:rsid w:val="00BB2608"/>
    <w:rPr>
      <w:lang w:val="en-GB"/>
    </w:rPr>
  </w:style>
  <w:style w:type="paragraph" w:customStyle="1" w:styleId="Listnumalpha">
    <w:name w:val="List num alpha"/>
    <w:basedOn w:val="ListBullet"/>
    <w:qFormat/>
    <w:rsid w:val="004278DD"/>
    <w:pPr>
      <w:numPr>
        <w:numId w:val="2"/>
      </w:numPr>
    </w:pPr>
  </w:style>
  <w:style w:type="paragraph" w:styleId="DocumentMap">
    <w:name w:val="Document Map"/>
    <w:basedOn w:val="Normal"/>
    <w:link w:val="DocumentMapChar"/>
    <w:uiPriority w:val="99"/>
    <w:semiHidden/>
    <w:unhideWhenUsed/>
    <w:rsid w:val="000737C7"/>
    <w:rPr>
      <w:rFonts w:ascii="Lucida Grande" w:hAnsi="Lucida Grande" w:cs="Lucida Grande"/>
      <w:sz w:val="24"/>
      <w:szCs w:val="24"/>
    </w:rPr>
  </w:style>
  <w:style w:type="character" w:customStyle="1" w:styleId="DocumentMapChar">
    <w:name w:val="Document Map Char"/>
    <w:link w:val="DocumentMap"/>
    <w:uiPriority w:val="99"/>
    <w:semiHidden/>
    <w:rsid w:val="000737C7"/>
    <w:rPr>
      <w:rFonts w:ascii="Lucida Grande" w:eastAsia="MS Mincho" w:hAnsi="Lucida Grande" w:cs="Lucida Grande"/>
      <w:spacing w:val="-2"/>
    </w:rPr>
  </w:style>
  <w:style w:type="paragraph" w:styleId="ListBullet">
    <w:name w:val="List Bullet"/>
    <w:basedOn w:val="Normal"/>
    <w:autoRedefine/>
    <w:uiPriority w:val="99"/>
    <w:unhideWhenUsed/>
    <w:qFormat/>
    <w:rsid w:val="000E6BAB"/>
    <w:rPr>
      <w:rFonts w:eastAsiaTheme="minorEastAsia" w:cs="Arial"/>
      <w:spacing w:val="-3"/>
      <w:kern w:val="1"/>
    </w:rPr>
  </w:style>
  <w:style w:type="paragraph" w:styleId="Quote">
    <w:name w:val="Quote"/>
    <w:basedOn w:val="Normal"/>
    <w:next w:val="Normal"/>
    <w:link w:val="QuoteChar"/>
    <w:uiPriority w:val="29"/>
    <w:qFormat/>
    <w:rsid w:val="000737C7"/>
    <w:rPr>
      <w:i/>
      <w:iCs/>
      <w:color w:val="000000" w:themeColor="text1"/>
    </w:rPr>
  </w:style>
  <w:style w:type="character" w:customStyle="1" w:styleId="QuoteChar">
    <w:name w:val="Quote Char"/>
    <w:basedOn w:val="DefaultParagraphFont"/>
    <w:link w:val="Quote"/>
    <w:uiPriority w:val="29"/>
    <w:rsid w:val="000737C7"/>
    <w:rPr>
      <w:rFonts w:ascii="Arial" w:eastAsia="MS Mincho" w:hAnsi="Arial" w:cs="FSMe-Bold"/>
      <w:i/>
      <w:iCs/>
      <w:color w:val="000000" w:themeColor="text1"/>
      <w:spacing w:val="-2"/>
      <w:sz w:val="20"/>
      <w:szCs w:val="20"/>
    </w:rPr>
  </w:style>
  <w:style w:type="paragraph" w:styleId="ListParagraph">
    <w:name w:val="List Paragraph"/>
    <w:aliases w:val="Recommendation,List Paragraph1,List Paragraph11"/>
    <w:basedOn w:val="Normal"/>
    <w:link w:val="ListParagraphChar"/>
    <w:uiPriority w:val="34"/>
    <w:qFormat/>
    <w:rsid w:val="00F336AA"/>
    <w:pPr>
      <w:ind w:left="720"/>
      <w:contextualSpacing/>
    </w:pPr>
  </w:style>
  <w:style w:type="character" w:customStyle="1" w:styleId="ListParagraphChar">
    <w:name w:val="List Paragraph Char"/>
    <w:aliases w:val="Recommendation Char,List Paragraph1 Char,List Paragraph11 Char"/>
    <w:basedOn w:val="DefaultParagraphFont"/>
    <w:link w:val="ListParagraph"/>
    <w:uiPriority w:val="34"/>
    <w:rsid w:val="00924235"/>
    <w:rPr>
      <w:rFonts w:ascii="Arial" w:eastAsia="MS Mincho" w:hAnsi="Arial" w:cs="FSMe-Bold"/>
      <w:spacing w:val="-2"/>
      <w:sz w:val="20"/>
      <w:szCs w:val="20"/>
    </w:rPr>
  </w:style>
  <w:style w:type="paragraph" w:styleId="NormalWeb">
    <w:name w:val="Normal (Web)"/>
    <w:basedOn w:val="Normal"/>
    <w:uiPriority w:val="99"/>
    <w:unhideWhenUsed/>
    <w:rsid w:val="00B64315"/>
    <w:pPr>
      <w:spacing w:before="100" w:beforeAutospacing="1" w:after="100" w:afterAutospacing="1"/>
    </w:pPr>
    <w:rPr>
      <w:rFonts w:ascii="Times New Roman" w:eastAsia="Times New Roman" w:hAnsi="Times New Roman" w:cs="Times New Roman"/>
      <w:spacing w:val="0"/>
      <w:sz w:val="24"/>
      <w:szCs w:val="24"/>
      <w:lang w:val="en-AU" w:eastAsia="en-AU"/>
    </w:rPr>
  </w:style>
  <w:style w:type="paragraph" w:styleId="Caption">
    <w:name w:val="caption"/>
    <w:basedOn w:val="Normal"/>
    <w:next w:val="Normal"/>
    <w:uiPriority w:val="35"/>
    <w:unhideWhenUsed/>
    <w:qFormat/>
    <w:rsid w:val="00F072CE"/>
    <w:pPr>
      <w:spacing w:before="0" w:after="200"/>
    </w:pPr>
    <w:rPr>
      <w:b/>
      <w:bCs/>
      <w:color w:val="4F81BD" w:themeColor="accent1"/>
      <w:sz w:val="18"/>
      <w:szCs w:val="18"/>
    </w:rPr>
  </w:style>
  <w:style w:type="character" w:styleId="BookTitle">
    <w:name w:val="Book Title"/>
    <w:uiPriority w:val="33"/>
    <w:qFormat/>
    <w:rsid w:val="002C5149"/>
    <w:rPr>
      <w:i/>
      <w:iCs/>
      <w:smallCaps/>
      <w:spacing w:val="5"/>
    </w:rPr>
  </w:style>
  <w:style w:type="paragraph" w:customStyle="1" w:styleId="CommentText1">
    <w:name w:val="Comment Text1"/>
    <w:basedOn w:val="Normal"/>
    <w:next w:val="CommentText"/>
    <w:uiPriority w:val="99"/>
    <w:unhideWhenUsed/>
    <w:rsid w:val="0044616E"/>
    <w:rPr>
      <w:rFonts w:ascii="Cambria" w:eastAsiaTheme="minorHAnsi" w:hAnsi="Cambria" w:cstheme="minorBidi"/>
      <w:spacing w:val="0"/>
      <w:sz w:val="22"/>
      <w:szCs w:val="22"/>
    </w:rPr>
  </w:style>
  <w:style w:type="character" w:customStyle="1" w:styleId="CommentTextChar1">
    <w:name w:val="Comment Text Char1"/>
    <w:basedOn w:val="DefaultParagraphFont"/>
    <w:uiPriority w:val="99"/>
    <w:semiHidden/>
    <w:rsid w:val="0044616E"/>
    <w:rPr>
      <w:rFonts w:ascii="Arial" w:hAnsi="Arial"/>
      <w:sz w:val="20"/>
      <w:szCs w:val="20"/>
    </w:rPr>
  </w:style>
  <w:style w:type="paragraph" w:customStyle="1" w:styleId="Headingnonumbers">
    <w:name w:val="Heading (no numbers)"/>
    <w:basedOn w:val="Normal"/>
    <w:next w:val="Normal"/>
    <w:rsid w:val="00EF023D"/>
    <w:pPr>
      <w:spacing w:before="240"/>
    </w:pPr>
    <w:rPr>
      <w:rFonts w:eastAsia="Times New Roman" w:cs="Times New Roman"/>
      <w:b/>
      <w:bCs/>
      <w:spacing w:val="0"/>
      <w:sz w:val="26"/>
      <w:szCs w:val="26"/>
      <w:lang w:val="en-AU"/>
    </w:rPr>
  </w:style>
  <w:style w:type="paragraph" w:customStyle="1" w:styleId="heading1nonumber">
    <w:name w:val="heading 1 no number"/>
    <w:basedOn w:val="Heading1"/>
    <w:link w:val="heading1nonumberChar"/>
    <w:qFormat/>
    <w:rsid w:val="004558E1"/>
    <w:pPr>
      <w:numPr>
        <w:numId w:val="0"/>
      </w:numPr>
    </w:pPr>
  </w:style>
  <w:style w:type="character" w:customStyle="1" w:styleId="heading1nonumberChar">
    <w:name w:val="heading 1 no number Char"/>
    <w:basedOn w:val="Heading1Char"/>
    <w:link w:val="heading1nonumber"/>
    <w:rsid w:val="004558E1"/>
    <w:rPr>
      <w:rFonts w:ascii="Arial" w:eastAsia="MS Gothic" w:hAnsi="Arial" w:cs="Times New Roman"/>
      <w:b/>
      <w:bCs/>
      <w:color w:val="6B2976"/>
      <w:spacing w:val="-2"/>
      <w:kern w:val="32"/>
      <w:sz w:val="36"/>
      <w:szCs w:val="40"/>
      <w:lang w:val="en-GB"/>
    </w:rPr>
  </w:style>
  <w:style w:type="character" w:styleId="Strong">
    <w:name w:val="Strong"/>
    <w:basedOn w:val="DefaultParagraphFont"/>
    <w:uiPriority w:val="22"/>
    <w:qFormat/>
    <w:rsid w:val="00380069"/>
    <w:rPr>
      <w:b/>
      <w:bCs/>
    </w:rPr>
  </w:style>
  <w:style w:type="character" w:styleId="FollowedHyperlink">
    <w:name w:val="FollowedHyperlink"/>
    <w:basedOn w:val="DefaultParagraphFont"/>
    <w:uiPriority w:val="99"/>
    <w:semiHidden/>
    <w:unhideWhenUsed/>
    <w:rsid w:val="007946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C9"/>
    <w:pPr>
      <w:spacing w:before="120" w:after="120"/>
    </w:pPr>
    <w:rPr>
      <w:rFonts w:ascii="Arial" w:eastAsia="MS Mincho" w:hAnsi="Arial" w:cs="FSMe-Bold"/>
      <w:spacing w:val="-2"/>
      <w:sz w:val="20"/>
      <w:szCs w:val="20"/>
      <w:lang w:val="en-GB"/>
    </w:rPr>
  </w:style>
  <w:style w:type="paragraph" w:styleId="Heading1">
    <w:name w:val="heading 1"/>
    <w:basedOn w:val="Normal"/>
    <w:next w:val="Normal"/>
    <w:link w:val="Heading1Char"/>
    <w:autoRedefine/>
    <w:uiPriority w:val="9"/>
    <w:qFormat/>
    <w:rsid w:val="00E31A5F"/>
    <w:pPr>
      <w:keepNext/>
      <w:numPr>
        <w:numId w:val="18"/>
      </w:numPr>
      <w:spacing w:before="240"/>
      <w:outlineLvl w:val="0"/>
    </w:pPr>
    <w:rPr>
      <w:rFonts w:eastAsia="MS Gothic" w:cs="Times New Roman"/>
      <w:b/>
      <w:bCs/>
      <w:color w:val="6B2976"/>
      <w:kern w:val="32"/>
      <w:sz w:val="36"/>
      <w:szCs w:val="40"/>
    </w:rPr>
  </w:style>
  <w:style w:type="paragraph" w:styleId="Heading2">
    <w:name w:val="heading 2"/>
    <w:basedOn w:val="Normal"/>
    <w:next w:val="Normal"/>
    <w:link w:val="Heading2Char"/>
    <w:autoRedefine/>
    <w:uiPriority w:val="9"/>
    <w:unhideWhenUsed/>
    <w:qFormat/>
    <w:rsid w:val="000D6477"/>
    <w:pPr>
      <w:keepNext/>
      <w:spacing w:before="240"/>
      <w:ind w:left="567" w:hanging="567"/>
      <w:outlineLvl w:val="1"/>
    </w:pPr>
    <w:rPr>
      <w:rFonts w:ascii="Arial Bold" w:eastAsia="MS Gothic" w:hAnsi="Arial Bold" w:cs="Times New Roman"/>
      <w:b/>
      <w:bCs/>
      <w:color w:val="54A0CF"/>
      <w:sz w:val="24"/>
      <w:szCs w:val="24"/>
    </w:rPr>
  </w:style>
  <w:style w:type="paragraph" w:styleId="Heading3">
    <w:name w:val="heading 3"/>
    <w:basedOn w:val="Normal"/>
    <w:next w:val="Normal"/>
    <w:link w:val="Heading3Char"/>
    <w:autoRedefine/>
    <w:uiPriority w:val="9"/>
    <w:unhideWhenUsed/>
    <w:qFormat/>
    <w:rsid w:val="00E917B1"/>
    <w:pPr>
      <w:keepNext/>
      <w:spacing w:before="240" w:after="60"/>
      <w:outlineLvl w:val="2"/>
    </w:pPr>
    <w:rPr>
      <w:rFonts w:ascii="Arial Bold" w:eastAsia="MS Gothic" w:hAnsi="Arial Bold" w:cs="Times New Roman"/>
      <w:bCs/>
      <w:sz w:val="22"/>
      <w:szCs w:val="22"/>
    </w:rPr>
  </w:style>
  <w:style w:type="paragraph" w:styleId="Heading4">
    <w:name w:val="heading 4"/>
    <w:basedOn w:val="Normal"/>
    <w:next w:val="Normal"/>
    <w:link w:val="Heading4Char"/>
    <w:uiPriority w:val="9"/>
    <w:unhideWhenUsed/>
    <w:qFormat/>
    <w:rsid w:val="00380069"/>
    <w:pPr>
      <w:keepNext/>
      <w:keepLines/>
      <w:tabs>
        <w:tab w:val="left" w:pos="567"/>
      </w:tabs>
      <w:spacing w:before="200"/>
      <w:outlineLvl w:val="3"/>
    </w:pPr>
    <w:rPr>
      <w:rFonts w:ascii="Arial Bold Italic" w:eastAsiaTheme="majorEastAsia" w:hAnsi="Arial Bold Italic" w:cstheme="majorBidi"/>
      <w:b/>
      <w:bCs/>
      <w:i/>
      <w:iCs/>
      <w:lang w:val="en-AU"/>
    </w:rPr>
  </w:style>
  <w:style w:type="paragraph" w:styleId="Heading5">
    <w:name w:val="heading 5"/>
    <w:basedOn w:val="Normal"/>
    <w:next w:val="Normal"/>
    <w:link w:val="Heading5Char"/>
    <w:uiPriority w:val="9"/>
    <w:unhideWhenUsed/>
    <w:qFormat/>
    <w:rsid w:val="00B95A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B5A7D"/>
    <w:rPr>
      <w:rFonts w:asciiTheme="minorHAnsi" w:hAnsiTheme="minorHAnsi"/>
    </w:rPr>
  </w:style>
  <w:style w:type="character" w:customStyle="1" w:styleId="CommentTextChar">
    <w:name w:val="Comment Text Char"/>
    <w:basedOn w:val="DefaultParagraphFont"/>
    <w:link w:val="CommentText"/>
    <w:uiPriority w:val="99"/>
    <w:rsid w:val="003B5A7D"/>
    <w:rPr>
      <w:rFonts w:asciiTheme="minorHAnsi" w:hAnsiTheme="minorHAnsi"/>
      <w:lang w:val="en-GB"/>
    </w:rPr>
  </w:style>
  <w:style w:type="paragraph" w:styleId="TOC2">
    <w:name w:val="toc 2"/>
    <w:basedOn w:val="Normal"/>
    <w:next w:val="Normal"/>
    <w:autoRedefine/>
    <w:uiPriority w:val="39"/>
    <w:unhideWhenUsed/>
    <w:rsid w:val="00B35A60"/>
    <w:pPr>
      <w:spacing w:before="0"/>
      <w:ind w:left="198"/>
    </w:pPr>
  </w:style>
  <w:style w:type="paragraph" w:styleId="Header">
    <w:name w:val="header"/>
    <w:basedOn w:val="Normal"/>
    <w:link w:val="HeaderChar"/>
    <w:uiPriority w:val="99"/>
    <w:unhideWhenUsed/>
    <w:rsid w:val="000737C7"/>
    <w:pPr>
      <w:tabs>
        <w:tab w:val="center" w:pos="4320"/>
        <w:tab w:val="right" w:pos="8640"/>
      </w:tabs>
    </w:pPr>
  </w:style>
  <w:style w:type="character" w:customStyle="1" w:styleId="HeaderChar">
    <w:name w:val="Header Char"/>
    <w:basedOn w:val="DefaultParagraphFont"/>
    <w:link w:val="Header"/>
    <w:uiPriority w:val="99"/>
    <w:rsid w:val="000737C7"/>
    <w:rPr>
      <w:rFonts w:ascii="Arial" w:eastAsia="MS Mincho" w:hAnsi="Arial" w:cs="FSMe-Bold"/>
      <w:spacing w:val="-2"/>
      <w:sz w:val="20"/>
      <w:szCs w:val="20"/>
    </w:rPr>
  </w:style>
  <w:style w:type="paragraph" w:styleId="Footer">
    <w:name w:val="footer"/>
    <w:basedOn w:val="Normal"/>
    <w:link w:val="FooterChar"/>
    <w:autoRedefine/>
    <w:uiPriority w:val="99"/>
    <w:unhideWhenUsed/>
    <w:qFormat/>
    <w:rsid w:val="00EF023D"/>
    <w:pPr>
      <w:tabs>
        <w:tab w:val="left" w:pos="3686"/>
        <w:tab w:val="center" w:pos="8647"/>
        <w:tab w:val="right" w:pos="14459"/>
      </w:tabs>
    </w:pPr>
    <w:rPr>
      <w:color w:val="6B2976"/>
    </w:rPr>
  </w:style>
  <w:style w:type="character" w:customStyle="1" w:styleId="FooterChar">
    <w:name w:val="Footer Char"/>
    <w:link w:val="Footer"/>
    <w:uiPriority w:val="99"/>
    <w:rsid w:val="00EF023D"/>
    <w:rPr>
      <w:rFonts w:ascii="Arial" w:eastAsia="MS Mincho" w:hAnsi="Arial" w:cs="FSMe-Bold"/>
      <w:color w:val="6B2976"/>
      <w:spacing w:val="-2"/>
      <w:sz w:val="20"/>
      <w:szCs w:val="20"/>
    </w:rPr>
  </w:style>
  <w:style w:type="character" w:styleId="PageNumber">
    <w:name w:val="page number"/>
    <w:basedOn w:val="DefaultParagraphFont"/>
    <w:uiPriority w:val="99"/>
    <w:semiHidden/>
    <w:unhideWhenUsed/>
    <w:rsid w:val="000737C7"/>
  </w:style>
  <w:style w:type="paragraph" w:customStyle="1" w:styleId="Default">
    <w:name w:val="Default"/>
    <w:rsid w:val="008A4979"/>
    <w:pPr>
      <w:widowControl w:val="0"/>
      <w:autoSpaceDE w:val="0"/>
      <w:autoSpaceDN w:val="0"/>
      <w:adjustRightInd w:val="0"/>
    </w:pPr>
    <w:rPr>
      <w:rFonts w:cs="Calibri"/>
      <w:color w:val="000000"/>
    </w:rPr>
  </w:style>
  <w:style w:type="character" w:styleId="CommentReference">
    <w:name w:val="annotation reference"/>
    <w:basedOn w:val="DefaultParagraphFont"/>
    <w:uiPriority w:val="99"/>
    <w:semiHidden/>
    <w:unhideWhenUsed/>
    <w:rsid w:val="00684591"/>
    <w:rPr>
      <w:sz w:val="18"/>
      <w:szCs w:val="18"/>
    </w:rPr>
  </w:style>
  <w:style w:type="paragraph" w:styleId="CommentSubject">
    <w:name w:val="annotation subject"/>
    <w:basedOn w:val="CommentText"/>
    <w:next w:val="CommentText"/>
    <w:link w:val="CommentSubjectChar"/>
    <w:uiPriority w:val="99"/>
    <w:semiHidden/>
    <w:unhideWhenUsed/>
    <w:rsid w:val="00684591"/>
    <w:rPr>
      <w:rFonts w:ascii="Calibri" w:hAnsi="Calibri"/>
      <w:b/>
      <w:bCs/>
    </w:rPr>
  </w:style>
  <w:style w:type="character" w:customStyle="1" w:styleId="CommentSubjectChar">
    <w:name w:val="Comment Subject Char"/>
    <w:basedOn w:val="CommentTextChar"/>
    <w:link w:val="CommentSubject"/>
    <w:uiPriority w:val="99"/>
    <w:semiHidden/>
    <w:rsid w:val="00684591"/>
    <w:rPr>
      <w:rFonts w:asciiTheme="minorHAnsi" w:hAnsiTheme="minorHAnsi"/>
      <w:b/>
      <w:bCs/>
      <w:sz w:val="20"/>
      <w:szCs w:val="20"/>
      <w:lang w:val="en-GB"/>
    </w:rPr>
  </w:style>
  <w:style w:type="paragraph" w:styleId="BalloonText">
    <w:name w:val="Balloon Text"/>
    <w:basedOn w:val="Normal"/>
    <w:link w:val="BalloonTextChar"/>
    <w:uiPriority w:val="99"/>
    <w:semiHidden/>
    <w:unhideWhenUsed/>
    <w:rsid w:val="000737C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7C7"/>
    <w:rPr>
      <w:rFonts w:ascii="Tahoma" w:eastAsia="MS Mincho" w:hAnsi="Tahoma" w:cs="Tahoma"/>
      <w:spacing w:val="-2"/>
      <w:sz w:val="16"/>
      <w:szCs w:val="16"/>
    </w:rPr>
  </w:style>
  <w:style w:type="character" w:customStyle="1" w:styleId="Heading2Char">
    <w:name w:val="Heading 2 Char"/>
    <w:link w:val="Heading2"/>
    <w:uiPriority w:val="9"/>
    <w:rsid w:val="000D6477"/>
    <w:rPr>
      <w:rFonts w:ascii="Arial Bold" w:eastAsia="MS Gothic" w:hAnsi="Arial Bold" w:cs="Times New Roman"/>
      <w:b/>
      <w:bCs/>
      <w:color w:val="54A0CF"/>
      <w:spacing w:val="-2"/>
      <w:lang w:val="en-GB"/>
    </w:rPr>
  </w:style>
  <w:style w:type="paragraph" w:styleId="Title">
    <w:name w:val="Title"/>
    <w:basedOn w:val="Normal"/>
    <w:next w:val="Normal"/>
    <w:link w:val="TitleChar"/>
    <w:uiPriority w:val="10"/>
    <w:qFormat/>
    <w:rsid w:val="000737C7"/>
    <w:pPr>
      <w:spacing w:after="300"/>
      <w:contextualSpacing/>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0737C7"/>
    <w:rPr>
      <w:rFonts w:ascii="Arial" w:eastAsiaTheme="majorEastAsia" w:hAnsi="Arial" w:cstheme="majorBidi"/>
      <w:b/>
      <w:color w:val="17365D" w:themeColor="text2" w:themeShade="BF"/>
      <w:spacing w:val="5"/>
      <w:kern w:val="28"/>
      <w:sz w:val="52"/>
      <w:szCs w:val="52"/>
    </w:rPr>
  </w:style>
  <w:style w:type="character" w:customStyle="1" w:styleId="Heading3Char">
    <w:name w:val="Heading 3 Char"/>
    <w:link w:val="Heading3"/>
    <w:uiPriority w:val="9"/>
    <w:rsid w:val="00E917B1"/>
    <w:rPr>
      <w:rFonts w:ascii="Arial Bold" w:eastAsia="MS Gothic" w:hAnsi="Arial Bold" w:cs="Times New Roman"/>
      <w:bCs/>
      <w:spacing w:val="-2"/>
      <w:sz w:val="22"/>
      <w:szCs w:val="22"/>
      <w:lang w:val="en-GB"/>
    </w:rPr>
  </w:style>
  <w:style w:type="character" w:styleId="FootnoteReference">
    <w:name w:val="footnote reference"/>
    <w:uiPriority w:val="99"/>
    <w:rsid w:val="00391DA9"/>
    <w:rPr>
      <w:rFonts w:ascii="Georgia" w:hAnsi="Georgia"/>
      <w:sz w:val="20"/>
      <w:szCs w:val="20"/>
      <w:vertAlign w:val="superscript"/>
    </w:rPr>
  </w:style>
  <w:style w:type="paragraph" w:styleId="FootnoteText">
    <w:name w:val="footnote text"/>
    <w:basedOn w:val="Normal"/>
    <w:link w:val="FootnoteTextChar"/>
    <w:uiPriority w:val="99"/>
    <w:rsid w:val="00391DA9"/>
    <w:pPr>
      <w:ind w:left="360" w:hanging="360"/>
    </w:pPr>
    <w:rPr>
      <w:rFonts w:eastAsia="Times New Roman" w:cs="Times New Roman"/>
      <w:sz w:val="16"/>
      <w:szCs w:val="14"/>
      <w:lang w:eastAsia="en-NZ"/>
    </w:rPr>
  </w:style>
  <w:style w:type="character" w:customStyle="1" w:styleId="FootnoteTextChar">
    <w:name w:val="Footnote Text Char"/>
    <w:basedOn w:val="DefaultParagraphFont"/>
    <w:link w:val="FootnoteText"/>
    <w:uiPriority w:val="99"/>
    <w:rsid w:val="00391DA9"/>
    <w:rPr>
      <w:rFonts w:ascii="Arial" w:eastAsia="Times New Roman" w:hAnsi="Arial" w:cs="Times New Roman"/>
      <w:sz w:val="16"/>
      <w:szCs w:val="14"/>
      <w:lang w:val="en-AU" w:eastAsia="en-NZ"/>
    </w:rPr>
  </w:style>
  <w:style w:type="character" w:customStyle="1" w:styleId="Heading1Char">
    <w:name w:val="Heading 1 Char"/>
    <w:link w:val="Heading1"/>
    <w:uiPriority w:val="9"/>
    <w:rsid w:val="00E31A5F"/>
    <w:rPr>
      <w:rFonts w:ascii="Arial" w:eastAsia="MS Gothic" w:hAnsi="Arial" w:cs="Times New Roman"/>
      <w:b/>
      <w:bCs/>
      <w:color w:val="6B2976"/>
      <w:spacing w:val="-2"/>
      <w:kern w:val="32"/>
      <w:sz w:val="36"/>
      <w:szCs w:val="40"/>
      <w:lang w:val="en-GB"/>
    </w:rPr>
  </w:style>
  <w:style w:type="character" w:customStyle="1" w:styleId="Heading4Char">
    <w:name w:val="Heading 4 Char"/>
    <w:basedOn w:val="DefaultParagraphFont"/>
    <w:link w:val="Heading4"/>
    <w:uiPriority w:val="9"/>
    <w:rsid w:val="00380069"/>
    <w:rPr>
      <w:rFonts w:ascii="Arial Bold Italic" w:eastAsiaTheme="majorEastAsia" w:hAnsi="Arial Bold Italic" w:cstheme="majorBidi"/>
      <w:b/>
      <w:bCs/>
      <w:i/>
      <w:iCs/>
      <w:spacing w:val="-2"/>
      <w:sz w:val="20"/>
      <w:szCs w:val="20"/>
      <w:lang w:val="en-AU"/>
    </w:rPr>
  </w:style>
  <w:style w:type="paragraph" w:customStyle="1" w:styleId="ListBullet21">
    <w:name w:val="List Bullet 21"/>
    <w:basedOn w:val="ListBullet"/>
    <w:qFormat/>
    <w:rsid w:val="00901C43"/>
    <w:pPr>
      <w:numPr>
        <w:numId w:val="1"/>
      </w:numPr>
      <w:spacing w:before="0"/>
      <w:ind w:left="714" w:hanging="357"/>
    </w:pPr>
  </w:style>
  <w:style w:type="paragraph" w:styleId="TOC1">
    <w:name w:val="toc 1"/>
    <w:basedOn w:val="Normal"/>
    <w:next w:val="Normal"/>
    <w:autoRedefine/>
    <w:uiPriority w:val="39"/>
    <w:unhideWhenUsed/>
    <w:rsid w:val="00B35A60"/>
    <w:pPr>
      <w:tabs>
        <w:tab w:val="right" w:pos="9072"/>
      </w:tabs>
      <w:spacing w:before="0"/>
    </w:pPr>
  </w:style>
  <w:style w:type="character" w:styleId="Hyperlink">
    <w:name w:val="Hyperlink"/>
    <w:uiPriority w:val="99"/>
    <w:rsid w:val="00294423"/>
    <w:rPr>
      <w:color w:val="0000FF"/>
      <w:u w:val="single"/>
    </w:rPr>
  </w:style>
  <w:style w:type="paragraph" w:styleId="TOC3">
    <w:name w:val="toc 3"/>
    <w:basedOn w:val="Normal"/>
    <w:next w:val="Normal"/>
    <w:autoRedefine/>
    <w:uiPriority w:val="39"/>
    <w:unhideWhenUsed/>
    <w:rsid w:val="00B35A60"/>
    <w:pPr>
      <w:tabs>
        <w:tab w:val="right" w:pos="9010"/>
      </w:tabs>
      <w:spacing w:after="100"/>
      <w:ind w:left="400"/>
    </w:pPr>
  </w:style>
  <w:style w:type="character" w:customStyle="1" w:styleId="Heading5Char">
    <w:name w:val="Heading 5 Char"/>
    <w:basedOn w:val="DefaultParagraphFont"/>
    <w:link w:val="Heading5"/>
    <w:uiPriority w:val="9"/>
    <w:rsid w:val="00B95AA5"/>
    <w:rPr>
      <w:rFonts w:asciiTheme="majorHAnsi" w:eastAsiaTheme="majorEastAsia" w:hAnsiTheme="majorHAnsi" w:cstheme="majorBidi"/>
      <w:color w:val="243F60" w:themeColor="accent1" w:themeShade="7F"/>
      <w:lang w:val="en-GB"/>
    </w:rPr>
  </w:style>
  <w:style w:type="paragraph" w:styleId="Revision">
    <w:name w:val="Revision"/>
    <w:hidden/>
    <w:uiPriority w:val="99"/>
    <w:semiHidden/>
    <w:rsid w:val="00BB2608"/>
    <w:rPr>
      <w:lang w:val="en-GB"/>
    </w:rPr>
  </w:style>
  <w:style w:type="paragraph" w:customStyle="1" w:styleId="Listnumalpha">
    <w:name w:val="List num alpha"/>
    <w:basedOn w:val="ListBullet"/>
    <w:qFormat/>
    <w:rsid w:val="004278DD"/>
    <w:pPr>
      <w:numPr>
        <w:numId w:val="2"/>
      </w:numPr>
    </w:pPr>
  </w:style>
  <w:style w:type="paragraph" w:styleId="DocumentMap">
    <w:name w:val="Document Map"/>
    <w:basedOn w:val="Normal"/>
    <w:link w:val="DocumentMapChar"/>
    <w:uiPriority w:val="99"/>
    <w:semiHidden/>
    <w:unhideWhenUsed/>
    <w:rsid w:val="000737C7"/>
    <w:rPr>
      <w:rFonts w:ascii="Lucida Grande" w:hAnsi="Lucida Grande" w:cs="Lucida Grande"/>
      <w:sz w:val="24"/>
      <w:szCs w:val="24"/>
    </w:rPr>
  </w:style>
  <w:style w:type="character" w:customStyle="1" w:styleId="DocumentMapChar">
    <w:name w:val="Document Map Char"/>
    <w:link w:val="DocumentMap"/>
    <w:uiPriority w:val="99"/>
    <w:semiHidden/>
    <w:rsid w:val="000737C7"/>
    <w:rPr>
      <w:rFonts w:ascii="Lucida Grande" w:eastAsia="MS Mincho" w:hAnsi="Lucida Grande" w:cs="Lucida Grande"/>
      <w:spacing w:val="-2"/>
    </w:rPr>
  </w:style>
  <w:style w:type="paragraph" w:styleId="ListBullet">
    <w:name w:val="List Bullet"/>
    <w:basedOn w:val="Normal"/>
    <w:autoRedefine/>
    <w:uiPriority w:val="99"/>
    <w:unhideWhenUsed/>
    <w:qFormat/>
    <w:rsid w:val="000E6BAB"/>
    <w:rPr>
      <w:rFonts w:eastAsiaTheme="minorEastAsia" w:cs="Arial"/>
      <w:spacing w:val="-3"/>
      <w:kern w:val="1"/>
    </w:rPr>
  </w:style>
  <w:style w:type="paragraph" w:styleId="Quote">
    <w:name w:val="Quote"/>
    <w:basedOn w:val="Normal"/>
    <w:next w:val="Normal"/>
    <w:link w:val="QuoteChar"/>
    <w:uiPriority w:val="29"/>
    <w:qFormat/>
    <w:rsid w:val="000737C7"/>
    <w:rPr>
      <w:i/>
      <w:iCs/>
      <w:color w:val="000000" w:themeColor="text1"/>
    </w:rPr>
  </w:style>
  <w:style w:type="character" w:customStyle="1" w:styleId="QuoteChar">
    <w:name w:val="Quote Char"/>
    <w:basedOn w:val="DefaultParagraphFont"/>
    <w:link w:val="Quote"/>
    <w:uiPriority w:val="29"/>
    <w:rsid w:val="000737C7"/>
    <w:rPr>
      <w:rFonts w:ascii="Arial" w:eastAsia="MS Mincho" w:hAnsi="Arial" w:cs="FSMe-Bold"/>
      <w:i/>
      <w:iCs/>
      <w:color w:val="000000" w:themeColor="text1"/>
      <w:spacing w:val="-2"/>
      <w:sz w:val="20"/>
      <w:szCs w:val="20"/>
    </w:rPr>
  </w:style>
  <w:style w:type="paragraph" w:styleId="ListParagraph">
    <w:name w:val="List Paragraph"/>
    <w:aliases w:val="Recommendation,List Paragraph1,List Paragraph11"/>
    <w:basedOn w:val="Normal"/>
    <w:link w:val="ListParagraphChar"/>
    <w:uiPriority w:val="34"/>
    <w:qFormat/>
    <w:rsid w:val="00F336AA"/>
    <w:pPr>
      <w:ind w:left="720"/>
      <w:contextualSpacing/>
    </w:pPr>
  </w:style>
  <w:style w:type="character" w:customStyle="1" w:styleId="ListParagraphChar">
    <w:name w:val="List Paragraph Char"/>
    <w:aliases w:val="Recommendation Char,List Paragraph1 Char,List Paragraph11 Char"/>
    <w:basedOn w:val="DefaultParagraphFont"/>
    <w:link w:val="ListParagraph"/>
    <w:uiPriority w:val="34"/>
    <w:rsid w:val="00924235"/>
    <w:rPr>
      <w:rFonts w:ascii="Arial" w:eastAsia="MS Mincho" w:hAnsi="Arial" w:cs="FSMe-Bold"/>
      <w:spacing w:val="-2"/>
      <w:sz w:val="20"/>
      <w:szCs w:val="20"/>
    </w:rPr>
  </w:style>
  <w:style w:type="paragraph" w:styleId="NormalWeb">
    <w:name w:val="Normal (Web)"/>
    <w:basedOn w:val="Normal"/>
    <w:uiPriority w:val="99"/>
    <w:unhideWhenUsed/>
    <w:rsid w:val="00B64315"/>
    <w:pPr>
      <w:spacing w:before="100" w:beforeAutospacing="1" w:after="100" w:afterAutospacing="1"/>
    </w:pPr>
    <w:rPr>
      <w:rFonts w:ascii="Times New Roman" w:eastAsia="Times New Roman" w:hAnsi="Times New Roman" w:cs="Times New Roman"/>
      <w:spacing w:val="0"/>
      <w:sz w:val="24"/>
      <w:szCs w:val="24"/>
      <w:lang w:val="en-AU" w:eastAsia="en-AU"/>
    </w:rPr>
  </w:style>
  <w:style w:type="paragraph" w:styleId="Caption">
    <w:name w:val="caption"/>
    <w:basedOn w:val="Normal"/>
    <w:next w:val="Normal"/>
    <w:uiPriority w:val="35"/>
    <w:unhideWhenUsed/>
    <w:qFormat/>
    <w:rsid w:val="00F072CE"/>
    <w:pPr>
      <w:spacing w:before="0" w:after="200"/>
    </w:pPr>
    <w:rPr>
      <w:b/>
      <w:bCs/>
      <w:color w:val="4F81BD" w:themeColor="accent1"/>
      <w:sz w:val="18"/>
      <w:szCs w:val="18"/>
    </w:rPr>
  </w:style>
  <w:style w:type="character" w:styleId="BookTitle">
    <w:name w:val="Book Title"/>
    <w:uiPriority w:val="33"/>
    <w:qFormat/>
    <w:rsid w:val="002C5149"/>
    <w:rPr>
      <w:i/>
      <w:iCs/>
      <w:smallCaps/>
      <w:spacing w:val="5"/>
    </w:rPr>
  </w:style>
  <w:style w:type="paragraph" w:customStyle="1" w:styleId="CommentText1">
    <w:name w:val="Comment Text1"/>
    <w:basedOn w:val="Normal"/>
    <w:next w:val="CommentText"/>
    <w:uiPriority w:val="99"/>
    <w:unhideWhenUsed/>
    <w:rsid w:val="0044616E"/>
    <w:rPr>
      <w:rFonts w:ascii="Cambria" w:eastAsiaTheme="minorHAnsi" w:hAnsi="Cambria" w:cstheme="minorBidi"/>
      <w:spacing w:val="0"/>
      <w:sz w:val="22"/>
      <w:szCs w:val="22"/>
    </w:rPr>
  </w:style>
  <w:style w:type="character" w:customStyle="1" w:styleId="CommentTextChar1">
    <w:name w:val="Comment Text Char1"/>
    <w:basedOn w:val="DefaultParagraphFont"/>
    <w:uiPriority w:val="99"/>
    <w:semiHidden/>
    <w:rsid w:val="0044616E"/>
    <w:rPr>
      <w:rFonts w:ascii="Arial" w:hAnsi="Arial"/>
      <w:sz w:val="20"/>
      <w:szCs w:val="20"/>
    </w:rPr>
  </w:style>
  <w:style w:type="paragraph" w:customStyle="1" w:styleId="Headingnonumbers">
    <w:name w:val="Heading (no numbers)"/>
    <w:basedOn w:val="Normal"/>
    <w:next w:val="Normal"/>
    <w:rsid w:val="00EF023D"/>
    <w:pPr>
      <w:spacing w:before="240"/>
    </w:pPr>
    <w:rPr>
      <w:rFonts w:eastAsia="Times New Roman" w:cs="Times New Roman"/>
      <w:b/>
      <w:bCs/>
      <w:spacing w:val="0"/>
      <w:sz w:val="26"/>
      <w:szCs w:val="26"/>
      <w:lang w:val="en-AU"/>
    </w:rPr>
  </w:style>
  <w:style w:type="paragraph" w:customStyle="1" w:styleId="heading1nonumber">
    <w:name w:val="heading 1 no number"/>
    <w:basedOn w:val="Heading1"/>
    <w:link w:val="heading1nonumberChar"/>
    <w:qFormat/>
    <w:rsid w:val="004558E1"/>
    <w:pPr>
      <w:numPr>
        <w:numId w:val="0"/>
      </w:numPr>
    </w:pPr>
  </w:style>
  <w:style w:type="character" w:customStyle="1" w:styleId="heading1nonumberChar">
    <w:name w:val="heading 1 no number Char"/>
    <w:basedOn w:val="Heading1Char"/>
    <w:link w:val="heading1nonumber"/>
    <w:rsid w:val="004558E1"/>
    <w:rPr>
      <w:rFonts w:ascii="Arial" w:eastAsia="MS Gothic" w:hAnsi="Arial" w:cs="Times New Roman"/>
      <w:b/>
      <w:bCs/>
      <w:color w:val="6B2976"/>
      <w:spacing w:val="-2"/>
      <w:kern w:val="32"/>
      <w:sz w:val="36"/>
      <w:szCs w:val="40"/>
      <w:lang w:val="en-GB"/>
    </w:rPr>
  </w:style>
  <w:style w:type="character" w:styleId="Strong">
    <w:name w:val="Strong"/>
    <w:basedOn w:val="DefaultParagraphFont"/>
    <w:uiPriority w:val="22"/>
    <w:qFormat/>
    <w:rsid w:val="00380069"/>
    <w:rPr>
      <w:b/>
      <w:bCs/>
    </w:rPr>
  </w:style>
  <w:style w:type="character" w:styleId="FollowedHyperlink">
    <w:name w:val="FollowedHyperlink"/>
    <w:basedOn w:val="DefaultParagraphFont"/>
    <w:uiPriority w:val="99"/>
    <w:semiHidden/>
    <w:unhideWhenUsed/>
    <w:rsid w:val="00794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9658">
      <w:bodyDiv w:val="1"/>
      <w:marLeft w:val="0"/>
      <w:marRight w:val="0"/>
      <w:marTop w:val="0"/>
      <w:marBottom w:val="0"/>
      <w:divBdr>
        <w:top w:val="none" w:sz="0" w:space="0" w:color="auto"/>
        <w:left w:val="none" w:sz="0" w:space="0" w:color="auto"/>
        <w:bottom w:val="none" w:sz="0" w:space="0" w:color="auto"/>
        <w:right w:val="none" w:sz="0" w:space="0" w:color="auto"/>
      </w:divBdr>
    </w:div>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7025936">
          <w:marLeft w:val="1080"/>
          <w:marRight w:val="0"/>
          <w:marTop w:val="120"/>
          <w:marBottom w:val="0"/>
          <w:divBdr>
            <w:top w:val="none" w:sz="0" w:space="0" w:color="auto"/>
            <w:left w:val="none" w:sz="0" w:space="0" w:color="auto"/>
            <w:bottom w:val="none" w:sz="0" w:space="0" w:color="auto"/>
            <w:right w:val="none" w:sz="0" w:space="0" w:color="auto"/>
          </w:divBdr>
        </w:div>
        <w:div w:id="328681804">
          <w:marLeft w:val="1080"/>
          <w:marRight w:val="0"/>
          <w:marTop w:val="120"/>
          <w:marBottom w:val="0"/>
          <w:divBdr>
            <w:top w:val="none" w:sz="0" w:space="0" w:color="auto"/>
            <w:left w:val="none" w:sz="0" w:space="0" w:color="auto"/>
            <w:bottom w:val="none" w:sz="0" w:space="0" w:color="auto"/>
            <w:right w:val="none" w:sz="0" w:space="0" w:color="auto"/>
          </w:divBdr>
        </w:div>
        <w:div w:id="1337809684">
          <w:marLeft w:val="547"/>
          <w:marRight w:val="0"/>
          <w:marTop w:val="400"/>
          <w:marBottom w:val="0"/>
          <w:divBdr>
            <w:top w:val="none" w:sz="0" w:space="0" w:color="auto"/>
            <w:left w:val="none" w:sz="0" w:space="0" w:color="auto"/>
            <w:bottom w:val="none" w:sz="0" w:space="0" w:color="auto"/>
            <w:right w:val="none" w:sz="0" w:space="0" w:color="auto"/>
          </w:divBdr>
        </w:div>
        <w:div w:id="1627275916">
          <w:marLeft w:val="1080"/>
          <w:marRight w:val="0"/>
          <w:marTop w:val="120"/>
          <w:marBottom w:val="0"/>
          <w:divBdr>
            <w:top w:val="none" w:sz="0" w:space="0" w:color="auto"/>
            <w:left w:val="none" w:sz="0" w:space="0" w:color="auto"/>
            <w:bottom w:val="none" w:sz="0" w:space="0" w:color="auto"/>
            <w:right w:val="none" w:sz="0" w:space="0" w:color="auto"/>
          </w:divBdr>
        </w:div>
      </w:divsChild>
    </w:div>
    <w:div w:id="62216716">
      <w:bodyDiv w:val="1"/>
      <w:marLeft w:val="0"/>
      <w:marRight w:val="0"/>
      <w:marTop w:val="0"/>
      <w:marBottom w:val="0"/>
      <w:divBdr>
        <w:top w:val="none" w:sz="0" w:space="0" w:color="auto"/>
        <w:left w:val="none" w:sz="0" w:space="0" w:color="auto"/>
        <w:bottom w:val="none" w:sz="0" w:space="0" w:color="auto"/>
        <w:right w:val="none" w:sz="0" w:space="0" w:color="auto"/>
      </w:divBdr>
    </w:div>
    <w:div w:id="64690214">
      <w:bodyDiv w:val="1"/>
      <w:marLeft w:val="0"/>
      <w:marRight w:val="0"/>
      <w:marTop w:val="0"/>
      <w:marBottom w:val="0"/>
      <w:divBdr>
        <w:top w:val="none" w:sz="0" w:space="0" w:color="auto"/>
        <w:left w:val="none" w:sz="0" w:space="0" w:color="auto"/>
        <w:bottom w:val="none" w:sz="0" w:space="0" w:color="auto"/>
        <w:right w:val="none" w:sz="0" w:space="0" w:color="auto"/>
      </w:divBdr>
      <w:divsChild>
        <w:div w:id="930696598">
          <w:marLeft w:val="720"/>
          <w:marRight w:val="0"/>
          <w:marTop w:val="67"/>
          <w:marBottom w:val="0"/>
          <w:divBdr>
            <w:top w:val="none" w:sz="0" w:space="0" w:color="auto"/>
            <w:left w:val="none" w:sz="0" w:space="0" w:color="auto"/>
            <w:bottom w:val="none" w:sz="0" w:space="0" w:color="auto"/>
            <w:right w:val="none" w:sz="0" w:space="0" w:color="auto"/>
          </w:divBdr>
        </w:div>
        <w:div w:id="1065687856">
          <w:marLeft w:val="720"/>
          <w:marRight w:val="0"/>
          <w:marTop w:val="67"/>
          <w:marBottom w:val="0"/>
          <w:divBdr>
            <w:top w:val="none" w:sz="0" w:space="0" w:color="auto"/>
            <w:left w:val="none" w:sz="0" w:space="0" w:color="auto"/>
            <w:bottom w:val="none" w:sz="0" w:space="0" w:color="auto"/>
            <w:right w:val="none" w:sz="0" w:space="0" w:color="auto"/>
          </w:divBdr>
        </w:div>
      </w:divsChild>
    </w:div>
    <w:div w:id="88935073">
      <w:bodyDiv w:val="1"/>
      <w:marLeft w:val="0"/>
      <w:marRight w:val="0"/>
      <w:marTop w:val="0"/>
      <w:marBottom w:val="0"/>
      <w:divBdr>
        <w:top w:val="none" w:sz="0" w:space="0" w:color="auto"/>
        <w:left w:val="none" w:sz="0" w:space="0" w:color="auto"/>
        <w:bottom w:val="none" w:sz="0" w:space="0" w:color="auto"/>
        <w:right w:val="none" w:sz="0" w:space="0" w:color="auto"/>
      </w:divBdr>
    </w:div>
    <w:div w:id="124088613">
      <w:bodyDiv w:val="1"/>
      <w:marLeft w:val="0"/>
      <w:marRight w:val="0"/>
      <w:marTop w:val="0"/>
      <w:marBottom w:val="0"/>
      <w:divBdr>
        <w:top w:val="none" w:sz="0" w:space="0" w:color="auto"/>
        <w:left w:val="none" w:sz="0" w:space="0" w:color="auto"/>
        <w:bottom w:val="none" w:sz="0" w:space="0" w:color="auto"/>
        <w:right w:val="none" w:sz="0" w:space="0" w:color="auto"/>
      </w:divBdr>
      <w:divsChild>
        <w:div w:id="55057974">
          <w:marLeft w:val="274"/>
          <w:marRight w:val="0"/>
          <w:marTop w:val="0"/>
          <w:marBottom w:val="0"/>
          <w:divBdr>
            <w:top w:val="none" w:sz="0" w:space="0" w:color="auto"/>
            <w:left w:val="none" w:sz="0" w:space="0" w:color="auto"/>
            <w:bottom w:val="none" w:sz="0" w:space="0" w:color="auto"/>
            <w:right w:val="none" w:sz="0" w:space="0" w:color="auto"/>
          </w:divBdr>
        </w:div>
        <w:div w:id="632294975">
          <w:marLeft w:val="274"/>
          <w:marRight w:val="0"/>
          <w:marTop w:val="0"/>
          <w:marBottom w:val="0"/>
          <w:divBdr>
            <w:top w:val="none" w:sz="0" w:space="0" w:color="auto"/>
            <w:left w:val="none" w:sz="0" w:space="0" w:color="auto"/>
            <w:bottom w:val="none" w:sz="0" w:space="0" w:color="auto"/>
            <w:right w:val="none" w:sz="0" w:space="0" w:color="auto"/>
          </w:divBdr>
        </w:div>
        <w:div w:id="792330520">
          <w:marLeft w:val="274"/>
          <w:marRight w:val="0"/>
          <w:marTop w:val="0"/>
          <w:marBottom w:val="0"/>
          <w:divBdr>
            <w:top w:val="none" w:sz="0" w:space="0" w:color="auto"/>
            <w:left w:val="none" w:sz="0" w:space="0" w:color="auto"/>
            <w:bottom w:val="none" w:sz="0" w:space="0" w:color="auto"/>
            <w:right w:val="none" w:sz="0" w:space="0" w:color="auto"/>
          </w:divBdr>
        </w:div>
        <w:div w:id="1403720221">
          <w:marLeft w:val="274"/>
          <w:marRight w:val="0"/>
          <w:marTop w:val="0"/>
          <w:marBottom w:val="0"/>
          <w:divBdr>
            <w:top w:val="none" w:sz="0" w:space="0" w:color="auto"/>
            <w:left w:val="none" w:sz="0" w:space="0" w:color="auto"/>
            <w:bottom w:val="none" w:sz="0" w:space="0" w:color="auto"/>
            <w:right w:val="none" w:sz="0" w:space="0" w:color="auto"/>
          </w:divBdr>
        </w:div>
        <w:div w:id="2123916423">
          <w:marLeft w:val="274"/>
          <w:marRight w:val="0"/>
          <w:marTop w:val="0"/>
          <w:marBottom w:val="0"/>
          <w:divBdr>
            <w:top w:val="none" w:sz="0" w:space="0" w:color="auto"/>
            <w:left w:val="none" w:sz="0" w:space="0" w:color="auto"/>
            <w:bottom w:val="none" w:sz="0" w:space="0" w:color="auto"/>
            <w:right w:val="none" w:sz="0" w:space="0" w:color="auto"/>
          </w:divBdr>
        </w:div>
      </w:divsChild>
    </w:div>
    <w:div w:id="131993000">
      <w:bodyDiv w:val="1"/>
      <w:marLeft w:val="0"/>
      <w:marRight w:val="0"/>
      <w:marTop w:val="0"/>
      <w:marBottom w:val="0"/>
      <w:divBdr>
        <w:top w:val="none" w:sz="0" w:space="0" w:color="auto"/>
        <w:left w:val="none" w:sz="0" w:space="0" w:color="auto"/>
        <w:bottom w:val="none" w:sz="0" w:space="0" w:color="auto"/>
        <w:right w:val="none" w:sz="0" w:space="0" w:color="auto"/>
      </w:divBdr>
    </w:div>
    <w:div w:id="142090686">
      <w:bodyDiv w:val="1"/>
      <w:marLeft w:val="0"/>
      <w:marRight w:val="0"/>
      <w:marTop w:val="0"/>
      <w:marBottom w:val="0"/>
      <w:divBdr>
        <w:top w:val="none" w:sz="0" w:space="0" w:color="auto"/>
        <w:left w:val="none" w:sz="0" w:space="0" w:color="auto"/>
        <w:bottom w:val="none" w:sz="0" w:space="0" w:color="auto"/>
        <w:right w:val="none" w:sz="0" w:space="0" w:color="auto"/>
      </w:divBdr>
    </w:div>
    <w:div w:id="201863304">
      <w:bodyDiv w:val="1"/>
      <w:marLeft w:val="0"/>
      <w:marRight w:val="0"/>
      <w:marTop w:val="0"/>
      <w:marBottom w:val="0"/>
      <w:divBdr>
        <w:top w:val="none" w:sz="0" w:space="0" w:color="auto"/>
        <w:left w:val="none" w:sz="0" w:space="0" w:color="auto"/>
        <w:bottom w:val="none" w:sz="0" w:space="0" w:color="auto"/>
        <w:right w:val="none" w:sz="0" w:space="0" w:color="auto"/>
      </w:divBdr>
      <w:divsChild>
        <w:div w:id="7367191">
          <w:marLeft w:val="720"/>
          <w:marRight w:val="0"/>
          <w:marTop w:val="0"/>
          <w:marBottom w:val="0"/>
          <w:divBdr>
            <w:top w:val="none" w:sz="0" w:space="0" w:color="auto"/>
            <w:left w:val="none" w:sz="0" w:space="0" w:color="auto"/>
            <w:bottom w:val="none" w:sz="0" w:space="0" w:color="auto"/>
            <w:right w:val="none" w:sz="0" w:space="0" w:color="auto"/>
          </w:divBdr>
        </w:div>
        <w:div w:id="796416031">
          <w:marLeft w:val="720"/>
          <w:marRight w:val="0"/>
          <w:marTop w:val="0"/>
          <w:marBottom w:val="0"/>
          <w:divBdr>
            <w:top w:val="none" w:sz="0" w:space="0" w:color="auto"/>
            <w:left w:val="none" w:sz="0" w:space="0" w:color="auto"/>
            <w:bottom w:val="none" w:sz="0" w:space="0" w:color="auto"/>
            <w:right w:val="none" w:sz="0" w:space="0" w:color="auto"/>
          </w:divBdr>
        </w:div>
        <w:div w:id="1823698519">
          <w:marLeft w:val="720"/>
          <w:marRight w:val="0"/>
          <w:marTop w:val="0"/>
          <w:marBottom w:val="0"/>
          <w:divBdr>
            <w:top w:val="none" w:sz="0" w:space="0" w:color="auto"/>
            <w:left w:val="none" w:sz="0" w:space="0" w:color="auto"/>
            <w:bottom w:val="none" w:sz="0" w:space="0" w:color="auto"/>
            <w:right w:val="none" w:sz="0" w:space="0" w:color="auto"/>
          </w:divBdr>
        </w:div>
      </w:divsChild>
    </w:div>
    <w:div w:id="223641557">
      <w:bodyDiv w:val="1"/>
      <w:marLeft w:val="0"/>
      <w:marRight w:val="0"/>
      <w:marTop w:val="0"/>
      <w:marBottom w:val="0"/>
      <w:divBdr>
        <w:top w:val="none" w:sz="0" w:space="0" w:color="auto"/>
        <w:left w:val="none" w:sz="0" w:space="0" w:color="auto"/>
        <w:bottom w:val="none" w:sz="0" w:space="0" w:color="auto"/>
        <w:right w:val="none" w:sz="0" w:space="0" w:color="auto"/>
      </w:divBdr>
    </w:div>
    <w:div w:id="248083822">
      <w:bodyDiv w:val="1"/>
      <w:marLeft w:val="0"/>
      <w:marRight w:val="0"/>
      <w:marTop w:val="0"/>
      <w:marBottom w:val="0"/>
      <w:divBdr>
        <w:top w:val="none" w:sz="0" w:space="0" w:color="auto"/>
        <w:left w:val="none" w:sz="0" w:space="0" w:color="auto"/>
        <w:bottom w:val="none" w:sz="0" w:space="0" w:color="auto"/>
        <w:right w:val="none" w:sz="0" w:space="0" w:color="auto"/>
      </w:divBdr>
    </w:div>
    <w:div w:id="297759992">
      <w:bodyDiv w:val="1"/>
      <w:marLeft w:val="0"/>
      <w:marRight w:val="0"/>
      <w:marTop w:val="0"/>
      <w:marBottom w:val="0"/>
      <w:divBdr>
        <w:top w:val="none" w:sz="0" w:space="0" w:color="auto"/>
        <w:left w:val="none" w:sz="0" w:space="0" w:color="auto"/>
        <w:bottom w:val="none" w:sz="0" w:space="0" w:color="auto"/>
        <w:right w:val="none" w:sz="0" w:space="0" w:color="auto"/>
      </w:divBdr>
      <w:divsChild>
        <w:div w:id="860751849">
          <w:marLeft w:val="547"/>
          <w:marRight w:val="0"/>
          <w:marTop w:val="72"/>
          <w:marBottom w:val="0"/>
          <w:divBdr>
            <w:top w:val="none" w:sz="0" w:space="0" w:color="auto"/>
            <w:left w:val="none" w:sz="0" w:space="0" w:color="auto"/>
            <w:bottom w:val="none" w:sz="0" w:space="0" w:color="auto"/>
            <w:right w:val="none" w:sz="0" w:space="0" w:color="auto"/>
          </w:divBdr>
        </w:div>
      </w:divsChild>
    </w:div>
    <w:div w:id="320280981">
      <w:bodyDiv w:val="1"/>
      <w:marLeft w:val="0"/>
      <w:marRight w:val="0"/>
      <w:marTop w:val="0"/>
      <w:marBottom w:val="0"/>
      <w:divBdr>
        <w:top w:val="none" w:sz="0" w:space="0" w:color="auto"/>
        <w:left w:val="none" w:sz="0" w:space="0" w:color="auto"/>
        <w:bottom w:val="none" w:sz="0" w:space="0" w:color="auto"/>
        <w:right w:val="none" w:sz="0" w:space="0" w:color="auto"/>
      </w:divBdr>
    </w:div>
    <w:div w:id="347145930">
      <w:bodyDiv w:val="1"/>
      <w:marLeft w:val="0"/>
      <w:marRight w:val="0"/>
      <w:marTop w:val="0"/>
      <w:marBottom w:val="0"/>
      <w:divBdr>
        <w:top w:val="none" w:sz="0" w:space="0" w:color="auto"/>
        <w:left w:val="none" w:sz="0" w:space="0" w:color="auto"/>
        <w:bottom w:val="none" w:sz="0" w:space="0" w:color="auto"/>
        <w:right w:val="none" w:sz="0" w:space="0" w:color="auto"/>
      </w:divBdr>
    </w:div>
    <w:div w:id="349839377">
      <w:bodyDiv w:val="1"/>
      <w:marLeft w:val="0"/>
      <w:marRight w:val="0"/>
      <w:marTop w:val="0"/>
      <w:marBottom w:val="0"/>
      <w:divBdr>
        <w:top w:val="none" w:sz="0" w:space="0" w:color="auto"/>
        <w:left w:val="none" w:sz="0" w:space="0" w:color="auto"/>
        <w:bottom w:val="none" w:sz="0" w:space="0" w:color="auto"/>
        <w:right w:val="none" w:sz="0" w:space="0" w:color="auto"/>
      </w:divBdr>
      <w:divsChild>
        <w:div w:id="1879314133">
          <w:marLeft w:val="274"/>
          <w:marRight w:val="0"/>
          <w:marTop w:val="53"/>
          <w:marBottom w:val="0"/>
          <w:divBdr>
            <w:top w:val="none" w:sz="0" w:space="0" w:color="auto"/>
            <w:left w:val="none" w:sz="0" w:space="0" w:color="auto"/>
            <w:bottom w:val="none" w:sz="0" w:space="0" w:color="auto"/>
            <w:right w:val="none" w:sz="0" w:space="0" w:color="auto"/>
          </w:divBdr>
        </w:div>
      </w:divsChild>
    </w:div>
    <w:div w:id="376392511">
      <w:bodyDiv w:val="1"/>
      <w:marLeft w:val="0"/>
      <w:marRight w:val="0"/>
      <w:marTop w:val="0"/>
      <w:marBottom w:val="0"/>
      <w:divBdr>
        <w:top w:val="none" w:sz="0" w:space="0" w:color="auto"/>
        <w:left w:val="none" w:sz="0" w:space="0" w:color="auto"/>
        <w:bottom w:val="none" w:sz="0" w:space="0" w:color="auto"/>
        <w:right w:val="none" w:sz="0" w:space="0" w:color="auto"/>
      </w:divBdr>
      <w:divsChild>
        <w:div w:id="894659725">
          <w:marLeft w:val="1080"/>
          <w:marRight w:val="0"/>
          <w:marTop w:val="120"/>
          <w:marBottom w:val="0"/>
          <w:divBdr>
            <w:top w:val="none" w:sz="0" w:space="0" w:color="auto"/>
            <w:left w:val="none" w:sz="0" w:space="0" w:color="auto"/>
            <w:bottom w:val="none" w:sz="0" w:space="0" w:color="auto"/>
            <w:right w:val="none" w:sz="0" w:space="0" w:color="auto"/>
          </w:divBdr>
        </w:div>
        <w:div w:id="957834746">
          <w:marLeft w:val="1080"/>
          <w:marRight w:val="0"/>
          <w:marTop w:val="120"/>
          <w:marBottom w:val="0"/>
          <w:divBdr>
            <w:top w:val="none" w:sz="0" w:space="0" w:color="auto"/>
            <w:left w:val="none" w:sz="0" w:space="0" w:color="auto"/>
            <w:bottom w:val="none" w:sz="0" w:space="0" w:color="auto"/>
            <w:right w:val="none" w:sz="0" w:space="0" w:color="auto"/>
          </w:divBdr>
        </w:div>
        <w:div w:id="1047921019">
          <w:marLeft w:val="1080"/>
          <w:marRight w:val="0"/>
          <w:marTop w:val="120"/>
          <w:marBottom w:val="0"/>
          <w:divBdr>
            <w:top w:val="none" w:sz="0" w:space="0" w:color="auto"/>
            <w:left w:val="none" w:sz="0" w:space="0" w:color="auto"/>
            <w:bottom w:val="none" w:sz="0" w:space="0" w:color="auto"/>
            <w:right w:val="none" w:sz="0" w:space="0" w:color="auto"/>
          </w:divBdr>
        </w:div>
        <w:div w:id="1362903450">
          <w:marLeft w:val="1080"/>
          <w:marRight w:val="0"/>
          <w:marTop w:val="120"/>
          <w:marBottom w:val="0"/>
          <w:divBdr>
            <w:top w:val="none" w:sz="0" w:space="0" w:color="auto"/>
            <w:left w:val="none" w:sz="0" w:space="0" w:color="auto"/>
            <w:bottom w:val="none" w:sz="0" w:space="0" w:color="auto"/>
            <w:right w:val="none" w:sz="0" w:space="0" w:color="auto"/>
          </w:divBdr>
        </w:div>
        <w:div w:id="1490094048">
          <w:marLeft w:val="547"/>
          <w:marRight w:val="0"/>
          <w:marTop w:val="400"/>
          <w:marBottom w:val="0"/>
          <w:divBdr>
            <w:top w:val="none" w:sz="0" w:space="0" w:color="auto"/>
            <w:left w:val="none" w:sz="0" w:space="0" w:color="auto"/>
            <w:bottom w:val="none" w:sz="0" w:space="0" w:color="auto"/>
            <w:right w:val="none" w:sz="0" w:space="0" w:color="auto"/>
          </w:divBdr>
        </w:div>
        <w:div w:id="1777365142">
          <w:marLeft w:val="1080"/>
          <w:marRight w:val="0"/>
          <w:marTop w:val="120"/>
          <w:marBottom w:val="0"/>
          <w:divBdr>
            <w:top w:val="none" w:sz="0" w:space="0" w:color="auto"/>
            <w:left w:val="none" w:sz="0" w:space="0" w:color="auto"/>
            <w:bottom w:val="none" w:sz="0" w:space="0" w:color="auto"/>
            <w:right w:val="none" w:sz="0" w:space="0" w:color="auto"/>
          </w:divBdr>
        </w:div>
      </w:divsChild>
    </w:div>
    <w:div w:id="425156743">
      <w:bodyDiv w:val="1"/>
      <w:marLeft w:val="0"/>
      <w:marRight w:val="0"/>
      <w:marTop w:val="0"/>
      <w:marBottom w:val="0"/>
      <w:divBdr>
        <w:top w:val="none" w:sz="0" w:space="0" w:color="auto"/>
        <w:left w:val="none" w:sz="0" w:space="0" w:color="auto"/>
        <w:bottom w:val="none" w:sz="0" w:space="0" w:color="auto"/>
        <w:right w:val="none" w:sz="0" w:space="0" w:color="auto"/>
      </w:divBdr>
      <w:divsChild>
        <w:div w:id="1293093598">
          <w:marLeft w:val="720"/>
          <w:marRight w:val="0"/>
          <w:marTop w:val="0"/>
          <w:marBottom w:val="0"/>
          <w:divBdr>
            <w:top w:val="none" w:sz="0" w:space="0" w:color="auto"/>
            <w:left w:val="none" w:sz="0" w:space="0" w:color="auto"/>
            <w:bottom w:val="none" w:sz="0" w:space="0" w:color="auto"/>
            <w:right w:val="none" w:sz="0" w:space="0" w:color="auto"/>
          </w:divBdr>
        </w:div>
        <w:div w:id="1937866649">
          <w:marLeft w:val="720"/>
          <w:marRight w:val="0"/>
          <w:marTop w:val="0"/>
          <w:marBottom w:val="0"/>
          <w:divBdr>
            <w:top w:val="none" w:sz="0" w:space="0" w:color="auto"/>
            <w:left w:val="none" w:sz="0" w:space="0" w:color="auto"/>
            <w:bottom w:val="none" w:sz="0" w:space="0" w:color="auto"/>
            <w:right w:val="none" w:sz="0" w:space="0" w:color="auto"/>
          </w:divBdr>
        </w:div>
        <w:div w:id="2017075656">
          <w:marLeft w:val="720"/>
          <w:marRight w:val="0"/>
          <w:marTop w:val="0"/>
          <w:marBottom w:val="0"/>
          <w:divBdr>
            <w:top w:val="none" w:sz="0" w:space="0" w:color="auto"/>
            <w:left w:val="none" w:sz="0" w:space="0" w:color="auto"/>
            <w:bottom w:val="none" w:sz="0" w:space="0" w:color="auto"/>
            <w:right w:val="none" w:sz="0" w:space="0" w:color="auto"/>
          </w:divBdr>
        </w:div>
      </w:divsChild>
    </w:div>
    <w:div w:id="456410800">
      <w:bodyDiv w:val="1"/>
      <w:marLeft w:val="0"/>
      <w:marRight w:val="0"/>
      <w:marTop w:val="0"/>
      <w:marBottom w:val="0"/>
      <w:divBdr>
        <w:top w:val="none" w:sz="0" w:space="0" w:color="auto"/>
        <w:left w:val="none" w:sz="0" w:space="0" w:color="auto"/>
        <w:bottom w:val="none" w:sz="0" w:space="0" w:color="auto"/>
        <w:right w:val="none" w:sz="0" w:space="0" w:color="auto"/>
      </w:divBdr>
    </w:div>
    <w:div w:id="463160444">
      <w:bodyDiv w:val="1"/>
      <w:marLeft w:val="0"/>
      <w:marRight w:val="0"/>
      <w:marTop w:val="0"/>
      <w:marBottom w:val="0"/>
      <w:divBdr>
        <w:top w:val="none" w:sz="0" w:space="0" w:color="auto"/>
        <w:left w:val="none" w:sz="0" w:space="0" w:color="auto"/>
        <w:bottom w:val="none" w:sz="0" w:space="0" w:color="auto"/>
        <w:right w:val="none" w:sz="0" w:space="0" w:color="auto"/>
      </w:divBdr>
      <w:divsChild>
        <w:div w:id="861481901">
          <w:marLeft w:val="446"/>
          <w:marRight w:val="0"/>
          <w:marTop w:val="0"/>
          <w:marBottom w:val="0"/>
          <w:divBdr>
            <w:top w:val="none" w:sz="0" w:space="0" w:color="auto"/>
            <w:left w:val="none" w:sz="0" w:space="0" w:color="auto"/>
            <w:bottom w:val="none" w:sz="0" w:space="0" w:color="auto"/>
            <w:right w:val="none" w:sz="0" w:space="0" w:color="auto"/>
          </w:divBdr>
        </w:div>
        <w:div w:id="1273897082">
          <w:marLeft w:val="446"/>
          <w:marRight w:val="0"/>
          <w:marTop w:val="0"/>
          <w:marBottom w:val="0"/>
          <w:divBdr>
            <w:top w:val="none" w:sz="0" w:space="0" w:color="auto"/>
            <w:left w:val="none" w:sz="0" w:space="0" w:color="auto"/>
            <w:bottom w:val="none" w:sz="0" w:space="0" w:color="auto"/>
            <w:right w:val="none" w:sz="0" w:space="0" w:color="auto"/>
          </w:divBdr>
        </w:div>
        <w:div w:id="1562909015">
          <w:marLeft w:val="446"/>
          <w:marRight w:val="0"/>
          <w:marTop w:val="0"/>
          <w:marBottom w:val="0"/>
          <w:divBdr>
            <w:top w:val="none" w:sz="0" w:space="0" w:color="auto"/>
            <w:left w:val="none" w:sz="0" w:space="0" w:color="auto"/>
            <w:bottom w:val="none" w:sz="0" w:space="0" w:color="auto"/>
            <w:right w:val="none" w:sz="0" w:space="0" w:color="auto"/>
          </w:divBdr>
        </w:div>
      </w:divsChild>
    </w:div>
    <w:div w:id="480125338">
      <w:bodyDiv w:val="1"/>
      <w:marLeft w:val="0"/>
      <w:marRight w:val="0"/>
      <w:marTop w:val="0"/>
      <w:marBottom w:val="0"/>
      <w:divBdr>
        <w:top w:val="none" w:sz="0" w:space="0" w:color="auto"/>
        <w:left w:val="none" w:sz="0" w:space="0" w:color="auto"/>
        <w:bottom w:val="none" w:sz="0" w:space="0" w:color="auto"/>
        <w:right w:val="none" w:sz="0" w:space="0" w:color="auto"/>
      </w:divBdr>
      <w:divsChild>
        <w:div w:id="2020621886">
          <w:marLeft w:val="720"/>
          <w:marRight w:val="0"/>
          <w:marTop w:val="40"/>
          <w:marBottom w:val="0"/>
          <w:divBdr>
            <w:top w:val="none" w:sz="0" w:space="0" w:color="auto"/>
            <w:left w:val="none" w:sz="0" w:space="0" w:color="auto"/>
            <w:bottom w:val="none" w:sz="0" w:space="0" w:color="auto"/>
            <w:right w:val="none" w:sz="0" w:space="0" w:color="auto"/>
          </w:divBdr>
        </w:div>
        <w:div w:id="2041398701">
          <w:marLeft w:val="720"/>
          <w:marRight w:val="0"/>
          <w:marTop w:val="40"/>
          <w:marBottom w:val="0"/>
          <w:divBdr>
            <w:top w:val="none" w:sz="0" w:space="0" w:color="auto"/>
            <w:left w:val="none" w:sz="0" w:space="0" w:color="auto"/>
            <w:bottom w:val="none" w:sz="0" w:space="0" w:color="auto"/>
            <w:right w:val="none" w:sz="0" w:space="0" w:color="auto"/>
          </w:divBdr>
        </w:div>
      </w:divsChild>
    </w:div>
    <w:div w:id="544024902">
      <w:bodyDiv w:val="1"/>
      <w:marLeft w:val="0"/>
      <w:marRight w:val="0"/>
      <w:marTop w:val="0"/>
      <w:marBottom w:val="0"/>
      <w:divBdr>
        <w:top w:val="none" w:sz="0" w:space="0" w:color="auto"/>
        <w:left w:val="none" w:sz="0" w:space="0" w:color="auto"/>
        <w:bottom w:val="none" w:sz="0" w:space="0" w:color="auto"/>
        <w:right w:val="none" w:sz="0" w:space="0" w:color="auto"/>
      </w:divBdr>
    </w:div>
    <w:div w:id="603074949">
      <w:bodyDiv w:val="1"/>
      <w:marLeft w:val="0"/>
      <w:marRight w:val="0"/>
      <w:marTop w:val="0"/>
      <w:marBottom w:val="0"/>
      <w:divBdr>
        <w:top w:val="none" w:sz="0" w:space="0" w:color="auto"/>
        <w:left w:val="none" w:sz="0" w:space="0" w:color="auto"/>
        <w:bottom w:val="none" w:sz="0" w:space="0" w:color="auto"/>
        <w:right w:val="none" w:sz="0" w:space="0" w:color="auto"/>
      </w:divBdr>
      <w:divsChild>
        <w:div w:id="432746578">
          <w:marLeft w:val="274"/>
          <w:marRight w:val="0"/>
          <w:marTop w:val="48"/>
          <w:marBottom w:val="0"/>
          <w:divBdr>
            <w:top w:val="none" w:sz="0" w:space="0" w:color="auto"/>
            <w:left w:val="none" w:sz="0" w:space="0" w:color="auto"/>
            <w:bottom w:val="none" w:sz="0" w:space="0" w:color="auto"/>
            <w:right w:val="none" w:sz="0" w:space="0" w:color="auto"/>
          </w:divBdr>
        </w:div>
        <w:div w:id="1513567657">
          <w:marLeft w:val="274"/>
          <w:marRight w:val="0"/>
          <w:marTop w:val="48"/>
          <w:marBottom w:val="0"/>
          <w:divBdr>
            <w:top w:val="none" w:sz="0" w:space="0" w:color="auto"/>
            <w:left w:val="none" w:sz="0" w:space="0" w:color="auto"/>
            <w:bottom w:val="none" w:sz="0" w:space="0" w:color="auto"/>
            <w:right w:val="none" w:sz="0" w:space="0" w:color="auto"/>
          </w:divBdr>
        </w:div>
      </w:divsChild>
    </w:div>
    <w:div w:id="613486594">
      <w:bodyDiv w:val="1"/>
      <w:marLeft w:val="0"/>
      <w:marRight w:val="0"/>
      <w:marTop w:val="0"/>
      <w:marBottom w:val="0"/>
      <w:divBdr>
        <w:top w:val="none" w:sz="0" w:space="0" w:color="auto"/>
        <w:left w:val="none" w:sz="0" w:space="0" w:color="auto"/>
        <w:bottom w:val="none" w:sz="0" w:space="0" w:color="auto"/>
        <w:right w:val="none" w:sz="0" w:space="0" w:color="auto"/>
      </w:divBdr>
      <w:divsChild>
        <w:div w:id="1195462369">
          <w:marLeft w:val="446"/>
          <w:marRight w:val="0"/>
          <w:marTop w:val="0"/>
          <w:marBottom w:val="0"/>
          <w:divBdr>
            <w:top w:val="none" w:sz="0" w:space="0" w:color="auto"/>
            <w:left w:val="none" w:sz="0" w:space="0" w:color="auto"/>
            <w:bottom w:val="none" w:sz="0" w:space="0" w:color="auto"/>
            <w:right w:val="none" w:sz="0" w:space="0" w:color="auto"/>
          </w:divBdr>
        </w:div>
        <w:div w:id="1659846751">
          <w:marLeft w:val="446"/>
          <w:marRight w:val="0"/>
          <w:marTop w:val="0"/>
          <w:marBottom w:val="0"/>
          <w:divBdr>
            <w:top w:val="none" w:sz="0" w:space="0" w:color="auto"/>
            <w:left w:val="none" w:sz="0" w:space="0" w:color="auto"/>
            <w:bottom w:val="none" w:sz="0" w:space="0" w:color="auto"/>
            <w:right w:val="none" w:sz="0" w:space="0" w:color="auto"/>
          </w:divBdr>
        </w:div>
        <w:div w:id="1766799309">
          <w:marLeft w:val="446"/>
          <w:marRight w:val="0"/>
          <w:marTop w:val="0"/>
          <w:marBottom w:val="0"/>
          <w:divBdr>
            <w:top w:val="none" w:sz="0" w:space="0" w:color="auto"/>
            <w:left w:val="none" w:sz="0" w:space="0" w:color="auto"/>
            <w:bottom w:val="none" w:sz="0" w:space="0" w:color="auto"/>
            <w:right w:val="none" w:sz="0" w:space="0" w:color="auto"/>
          </w:divBdr>
        </w:div>
        <w:div w:id="1917862785">
          <w:marLeft w:val="446"/>
          <w:marRight w:val="0"/>
          <w:marTop w:val="0"/>
          <w:marBottom w:val="0"/>
          <w:divBdr>
            <w:top w:val="none" w:sz="0" w:space="0" w:color="auto"/>
            <w:left w:val="none" w:sz="0" w:space="0" w:color="auto"/>
            <w:bottom w:val="none" w:sz="0" w:space="0" w:color="auto"/>
            <w:right w:val="none" w:sz="0" w:space="0" w:color="auto"/>
          </w:divBdr>
        </w:div>
      </w:divsChild>
    </w:div>
    <w:div w:id="637224018">
      <w:bodyDiv w:val="1"/>
      <w:marLeft w:val="0"/>
      <w:marRight w:val="0"/>
      <w:marTop w:val="0"/>
      <w:marBottom w:val="0"/>
      <w:divBdr>
        <w:top w:val="none" w:sz="0" w:space="0" w:color="auto"/>
        <w:left w:val="none" w:sz="0" w:space="0" w:color="auto"/>
        <w:bottom w:val="none" w:sz="0" w:space="0" w:color="auto"/>
        <w:right w:val="none" w:sz="0" w:space="0" w:color="auto"/>
      </w:divBdr>
    </w:div>
    <w:div w:id="652368358">
      <w:bodyDiv w:val="1"/>
      <w:marLeft w:val="0"/>
      <w:marRight w:val="0"/>
      <w:marTop w:val="0"/>
      <w:marBottom w:val="0"/>
      <w:divBdr>
        <w:top w:val="none" w:sz="0" w:space="0" w:color="auto"/>
        <w:left w:val="none" w:sz="0" w:space="0" w:color="auto"/>
        <w:bottom w:val="none" w:sz="0" w:space="0" w:color="auto"/>
        <w:right w:val="none" w:sz="0" w:space="0" w:color="auto"/>
      </w:divBdr>
      <w:divsChild>
        <w:div w:id="1222593185">
          <w:marLeft w:val="446"/>
          <w:marRight w:val="0"/>
          <w:marTop w:val="0"/>
          <w:marBottom w:val="0"/>
          <w:divBdr>
            <w:top w:val="none" w:sz="0" w:space="0" w:color="auto"/>
            <w:left w:val="none" w:sz="0" w:space="0" w:color="auto"/>
            <w:bottom w:val="none" w:sz="0" w:space="0" w:color="auto"/>
            <w:right w:val="none" w:sz="0" w:space="0" w:color="auto"/>
          </w:divBdr>
        </w:div>
        <w:div w:id="1277560322">
          <w:marLeft w:val="446"/>
          <w:marRight w:val="0"/>
          <w:marTop w:val="0"/>
          <w:marBottom w:val="0"/>
          <w:divBdr>
            <w:top w:val="none" w:sz="0" w:space="0" w:color="auto"/>
            <w:left w:val="none" w:sz="0" w:space="0" w:color="auto"/>
            <w:bottom w:val="none" w:sz="0" w:space="0" w:color="auto"/>
            <w:right w:val="none" w:sz="0" w:space="0" w:color="auto"/>
          </w:divBdr>
        </w:div>
      </w:divsChild>
    </w:div>
    <w:div w:id="694354542">
      <w:bodyDiv w:val="1"/>
      <w:marLeft w:val="0"/>
      <w:marRight w:val="0"/>
      <w:marTop w:val="0"/>
      <w:marBottom w:val="0"/>
      <w:divBdr>
        <w:top w:val="none" w:sz="0" w:space="0" w:color="auto"/>
        <w:left w:val="none" w:sz="0" w:space="0" w:color="auto"/>
        <w:bottom w:val="none" w:sz="0" w:space="0" w:color="auto"/>
        <w:right w:val="none" w:sz="0" w:space="0" w:color="auto"/>
      </w:divBdr>
    </w:div>
    <w:div w:id="705063649">
      <w:bodyDiv w:val="1"/>
      <w:marLeft w:val="0"/>
      <w:marRight w:val="0"/>
      <w:marTop w:val="0"/>
      <w:marBottom w:val="0"/>
      <w:divBdr>
        <w:top w:val="none" w:sz="0" w:space="0" w:color="auto"/>
        <w:left w:val="none" w:sz="0" w:space="0" w:color="auto"/>
        <w:bottom w:val="none" w:sz="0" w:space="0" w:color="auto"/>
        <w:right w:val="none" w:sz="0" w:space="0" w:color="auto"/>
      </w:divBdr>
      <w:divsChild>
        <w:div w:id="87965230">
          <w:marLeft w:val="274"/>
          <w:marRight w:val="0"/>
          <w:marTop w:val="0"/>
          <w:marBottom w:val="0"/>
          <w:divBdr>
            <w:top w:val="none" w:sz="0" w:space="0" w:color="auto"/>
            <w:left w:val="none" w:sz="0" w:space="0" w:color="auto"/>
            <w:bottom w:val="none" w:sz="0" w:space="0" w:color="auto"/>
            <w:right w:val="none" w:sz="0" w:space="0" w:color="auto"/>
          </w:divBdr>
        </w:div>
        <w:div w:id="102963504">
          <w:marLeft w:val="274"/>
          <w:marRight w:val="0"/>
          <w:marTop w:val="0"/>
          <w:marBottom w:val="0"/>
          <w:divBdr>
            <w:top w:val="none" w:sz="0" w:space="0" w:color="auto"/>
            <w:left w:val="none" w:sz="0" w:space="0" w:color="auto"/>
            <w:bottom w:val="none" w:sz="0" w:space="0" w:color="auto"/>
            <w:right w:val="none" w:sz="0" w:space="0" w:color="auto"/>
          </w:divBdr>
        </w:div>
        <w:div w:id="308019680">
          <w:marLeft w:val="274"/>
          <w:marRight w:val="0"/>
          <w:marTop w:val="0"/>
          <w:marBottom w:val="0"/>
          <w:divBdr>
            <w:top w:val="none" w:sz="0" w:space="0" w:color="auto"/>
            <w:left w:val="none" w:sz="0" w:space="0" w:color="auto"/>
            <w:bottom w:val="none" w:sz="0" w:space="0" w:color="auto"/>
            <w:right w:val="none" w:sz="0" w:space="0" w:color="auto"/>
          </w:divBdr>
        </w:div>
        <w:div w:id="405231341">
          <w:marLeft w:val="274"/>
          <w:marRight w:val="0"/>
          <w:marTop w:val="0"/>
          <w:marBottom w:val="0"/>
          <w:divBdr>
            <w:top w:val="none" w:sz="0" w:space="0" w:color="auto"/>
            <w:left w:val="none" w:sz="0" w:space="0" w:color="auto"/>
            <w:bottom w:val="none" w:sz="0" w:space="0" w:color="auto"/>
            <w:right w:val="none" w:sz="0" w:space="0" w:color="auto"/>
          </w:divBdr>
        </w:div>
        <w:div w:id="442576476">
          <w:marLeft w:val="274"/>
          <w:marRight w:val="0"/>
          <w:marTop w:val="0"/>
          <w:marBottom w:val="0"/>
          <w:divBdr>
            <w:top w:val="none" w:sz="0" w:space="0" w:color="auto"/>
            <w:left w:val="none" w:sz="0" w:space="0" w:color="auto"/>
            <w:bottom w:val="none" w:sz="0" w:space="0" w:color="auto"/>
            <w:right w:val="none" w:sz="0" w:space="0" w:color="auto"/>
          </w:divBdr>
        </w:div>
        <w:div w:id="630942904">
          <w:marLeft w:val="274"/>
          <w:marRight w:val="0"/>
          <w:marTop w:val="0"/>
          <w:marBottom w:val="0"/>
          <w:divBdr>
            <w:top w:val="none" w:sz="0" w:space="0" w:color="auto"/>
            <w:left w:val="none" w:sz="0" w:space="0" w:color="auto"/>
            <w:bottom w:val="none" w:sz="0" w:space="0" w:color="auto"/>
            <w:right w:val="none" w:sz="0" w:space="0" w:color="auto"/>
          </w:divBdr>
        </w:div>
        <w:div w:id="728576884">
          <w:marLeft w:val="274"/>
          <w:marRight w:val="0"/>
          <w:marTop w:val="0"/>
          <w:marBottom w:val="0"/>
          <w:divBdr>
            <w:top w:val="none" w:sz="0" w:space="0" w:color="auto"/>
            <w:left w:val="none" w:sz="0" w:space="0" w:color="auto"/>
            <w:bottom w:val="none" w:sz="0" w:space="0" w:color="auto"/>
            <w:right w:val="none" w:sz="0" w:space="0" w:color="auto"/>
          </w:divBdr>
        </w:div>
        <w:div w:id="852648506">
          <w:marLeft w:val="274"/>
          <w:marRight w:val="0"/>
          <w:marTop w:val="0"/>
          <w:marBottom w:val="0"/>
          <w:divBdr>
            <w:top w:val="none" w:sz="0" w:space="0" w:color="auto"/>
            <w:left w:val="none" w:sz="0" w:space="0" w:color="auto"/>
            <w:bottom w:val="none" w:sz="0" w:space="0" w:color="auto"/>
            <w:right w:val="none" w:sz="0" w:space="0" w:color="auto"/>
          </w:divBdr>
        </w:div>
        <w:div w:id="973484862">
          <w:marLeft w:val="274"/>
          <w:marRight w:val="0"/>
          <w:marTop w:val="0"/>
          <w:marBottom w:val="0"/>
          <w:divBdr>
            <w:top w:val="none" w:sz="0" w:space="0" w:color="auto"/>
            <w:left w:val="none" w:sz="0" w:space="0" w:color="auto"/>
            <w:bottom w:val="none" w:sz="0" w:space="0" w:color="auto"/>
            <w:right w:val="none" w:sz="0" w:space="0" w:color="auto"/>
          </w:divBdr>
        </w:div>
        <w:div w:id="1311593718">
          <w:marLeft w:val="274"/>
          <w:marRight w:val="0"/>
          <w:marTop w:val="0"/>
          <w:marBottom w:val="0"/>
          <w:divBdr>
            <w:top w:val="none" w:sz="0" w:space="0" w:color="auto"/>
            <w:left w:val="none" w:sz="0" w:space="0" w:color="auto"/>
            <w:bottom w:val="none" w:sz="0" w:space="0" w:color="auto"/>
            <w:right w:val="none" w:sz="0" w:space="0" w:color="auto"/>
          </w:divBdr>
        </w:div>
        <w:div w:id="1438672529">
          <w:marLeft w:val="274"/>
          <w:marRight w:val="0"/>
          <w:marTop w:val="0"/>
          <w:marBottom w:val="0"/>
          <w:divBdr>
            <w:top w:val="none" w:sz="0" w:space="0" w:color="auto"/>
            <w:left w:val="none" w:sz="0" w:space="0" w:color="auto"/>
            <w:bottom w:val="none" w:sz="0" w:space="0" w:color="auto"/>
            <w:right w:val="none" w:sz="0" w:space="0" w:color="auto"/>
          </w:divBdr>
        </w:div>
        <w:div w:id="1726444674">
          <w:marLeft w:val="274"/>
          <w:marRight w:val="0"/>
          <w:marTop w:val="0"/>
          <w:marBottom w:val="0"/>
          <w:divBdr>
            <w:top w:val="none" w:sz="0" w:space="0" w:color="auto"/>
            <w:left w:val="none" w:sz="0" w:space="0" w:color="auto"/>
            <w:bottom w:val="none" w:sz="0" w:space="0" w:color="auto"/>
            <w:right w:val="none" w:sz="0" w:space="0" w:color="auto"/>
          </w:divBdr>
        </w:div>
        <w:div w:id="1819301836">
          <w:marLeft w:val="274"/>
          <w:marRight w:val="0"/>
          <w:marTop w:val="0"/>
          <w:marBottom w:val="0"/>
          <w:divBdr>
            <w:top w:val="none" w:sz="0" w:space="0" w:color="auto"/>
            <w:left w:val="none" w:sz="0" w:space="0" w:color="auto"/>
            <w:bottom w:val="none" w:sz="0" w:space="0" w:color="auto"/>
            <w:right w:val="none" w:sz="0" w:space="0" w:color="auto"/>
          </w:divBdr>
        </w:div>
        <w:div w:id="1821267949">
          <w:marLeft w:val="274"/>
          <w:marRight w:val="0"/>
          <w:marTop w:val="0"/>
          <w:marBottom w:val="0"/>
          <w:divBdr>
            <w:top w:val="none" w:sz="0" w:space="0" w:color="auto"/>
            <w:left w:val="none" w:sz="0" w:space="0" w:color="auto"/>
            <w:bottom w:val="none" w:sz="0" w:space="0" w:color="auto"/>
            <w:right w:val="none" w:sz="0" w:space="0" w:color="auto"/>
          </w:divBdr>
        </w:div>
        <w:div w:id="1891719973">
          <w:marLeft w:val="274"/>
          <w:marRight w:val="0"/>
          <w:marTop w:val="0"/>
          <w:marBottom w:val="0"/>
          <w:divBdr>
            <w:top w:val="none" w:sz="0" w:space="0" w:color="auto"/>
            <w:left w:val="none" w:sz="0" w:space="0" w:color="auto"/>
            <w:bottom w:val="none" w:sz="0" w:space="0" w:color="auto"/>
            <w:right w:val="none" w:sz="0" w:space="0" w:color="auto"/>
          </w:divBdr>
        </w:div>
      </w:divsChild>
    </w:div>
    <w:div w:id="794831375">
      <w:bodyDiv w:val="1"/>
      <w:marLeft w:val="0"/>
      <w:marRight w:val="0"/>
      <w:marTop w:val="0"/>
      <w:marBottom w:val="0"/>
      <w:divBdr>
        <w:top w:val="none" w:sz="0" w:space="0" w:color="auto"/>
        <w:left w:val="none" w:sz="0" w:space="0" w:color="auto"/>
        <w:bottom w:val="none" w:sz="0" w:space="0" w:color="auto"/>
        <w:right w:val="none" w:sz="0" w:space="0" w:color="auto"/>
      </w:divBdr>
    </w:div>
    <w:div w:id="839850916">
      <w:bodyDiv w:val="1"/>
      <w:marLeft w:val="0"/>
      <w:marRight w:val="0"/>
      <w:marTop w:val="0"/>
      <w:marBottom w:val="0"/>
      <w:divBdr>
        <w:top w:val="none" w:sz="0" w:space="0" w:color="auto"/>
        <w:left w:val="none" w:sz="0" w:space="0" w:color="auto"/>
        <w:bottom w:val="none" w:sz="0" w:space="0" w:color="auto"/>
        <w:right w:val="none" w:sz="0" w:space="0" w:color="auto"/>
      </w:divBdr>
      <w:divsChild>
        <w:div w:id="138306204">
          <w:marLeft w:val="446"/>
          <w:marRight w:val="0"/>
          <w:marTop w:val="0"/>
          <w:marBottom w:val="0"/>
          <w:divBdr>
            <w:top w:val="none" w:sz="0" w:space="0" w:color="auto"/>
            <w:left w:val="none" w:sz="0" w:space="0" w:color="auto"/>
            <w:bottom w:val="none" w:sz="0" w:space="0" w:color="auto"/>
            <w:right w:val="none" w:sz="0" w:space="0" w:color="auto"/>
          </w:divBdr>
        </w:div>
        <w:div w:id="1556350159">
          <w:marLeft w:val="446"/>
          <w:marRight w:val="0"/>
          <w:marTop w:val="0"/>
          <w:marBottom w:val="0"/>
          <w:divBdr>
            <w:top w:val="none" w:sz="0" w:space="0" w:color="auto"/>
            <w:left w:val="none" w:sz="0" w:space="0" w:color="auto"/>
            <w:bottom w:val="none" w:sz="0" w:space="0" w:color="auto"/>
            <w:right w:val="none" w:sz="0" w:space="0" w:color="auto"/>
          </w:divBdr>
        </w:div>
        <w:div w:id="1566717020">
          <w:marLeft w:val="446"/>
          <w:marRight w:val="0"/>
          <w:marTop w:val="0"/>
          <w:marBottom w:val="0"/>
          <w:divBdr>
            <w:top w:val="none" w:sz="0" w:space="0" w:color="auto"/>
            <w:left w:val="none" w:sz="0" w:space="0" w:color="auto"/>
            <w:bottom w:val="none" w:sz="0" w:space="0" w:color="auto"/>
            <w:right w:val="none" w:sz="0" w:space="0" w:color="auto"/>
          </w:divBdr>
        </w:div>
      </w:divsChild>
    </w:div>
    <w:div w:id="854073768">
      <w:bodyDiv w:val="1"/>
      <w:marLeft w:val="0"/>
      <w:marRight w:val="0"/>
      <w:marTop w:val="0"/>
      <w:marBottom w:val="0"/>
      <w:divBdr>
        <w:top w:val="none" w:sz="0" w:space="0" w:color="auto"/>
        <w:left w:val="none" w:sz="0" w:space="0" w:color="auto"/>
        <w:bottom w:val="none" w:sz="0" w:space="0" w:color="auto"/>
        <w:right w:val="none" w:sz="0" w:space="0" w:color="auto"/>
      </w:divBdr>
      <w:divsChild>
        <w:div w:id="1415207600">
          <w:marLeft w:val="360"/>
          <w:marRight w:val="0"/>
          <w:marTop w:val="0"/>
          <w:marBottom w:val="0"/>
          <w:divBdr>
            <w:top w:val="none" w:sz="0" w:space="0" w:color="auto"/>
            <w:left w:val="none" w:sz="0" w:space="0" w:color="auto"/>
            <w:bottom w:val="none" w:sz="0" w:space="0" w:color="auto"/>
            <w:right w:val="none" w:sz="0" w:space="0" w:color="auto"/>
          </w:divBdr>
        </w:div>
        <w:div w:id="1421951248">
          <w:marLeft w:val="360"/>
          <w:marRight w:val="0"/>
          <w:marTop w:val="0"/>
          <w:marBottom w:val="0"/>
          <w:divBdr>
            <w:top w:val="none" w:sz="0" w:space="0" w:color="auto"/>
            <w:left w:val="none" w:sz="0" w:space="0" w:color="auto"/>
            <w:bottom w:val="none" w:sz="0" w:space="0" w:color="auto"/>
            <w:right w:val="none" w:sz="0" w:space="0" w:color="auto"/>
          </w:divBdr>
        </w:div>
      </w:divsChild>
    </w:div>
    <w:div w:id="872889064">
      <w:bodyDiv w:val="1"/>
      <w:marLeft w:val="0"/>
      <w:marRight w:val="0"/>
      <w:marTop w:val="0"/>
      <w:marBottom w:val="0"/>
      <w:divBdr>
        <w:top w:val="none" w:sz="0" w:space="0" w:color="auto"/>
        <w:left w:val="none" w:sz="0" w:space="0" w:color="auto"/>
        <w:bottom w:val="none" w:sz="0" w:space="0" w:color="auto"/>
        <w:right w:val="none" w:sz="0" w:space="0" w:color="auto"/>
      </w:divBdr>
    </w:div>
    <w:div w:id="886256505">
      <w:bodyDiv w:val="1"/>
      <w:marLeft w:val="0"/>
      <w:marRight w:val="0"/>
      <w:marTop w:val="0"/>
      <w:marBottom w:val="0"/>
      <w:divBdr>
        <w:top w:val="none" w:sz="0" w:space="0" w:color="auto"/>
        <w:left w:val="none" w:sz="0" w:space="0" w:color="auto"/>
        <w:bottom w:val="none" w:sz="0" w:space="0" w:color="auto"/>
        <w:right w:val="none" w:sz="0" w:space="0" w:color="auto"/>
      </w:divBdr>
      <w:divsChild>
        <w:div w:id="286200221">
          <w:marLeft w:val="461"/>
          <w:marRight w:val="0"/>
          <w:marTop w:val="0"/>
          <w:marBottom w:val="0"/>
          <w:divBdr>
            <w:top w:val="none" w:sz="0" w:space="0" w:color="auto"/>
            <w:left w:val="none" w:sz="0" w:space="0" w:color="auto"/>
            <w:bottom w:val="none" w:sz="0" w:space="0" w:color="auto"/>
            <w:right w:val="none" w:sz="0" w:space="0" w:color="auto"/>
          </w:divBdr>
        </w:div>
        <w:div w:id="334386909">
          <w:marLeft w:val="461"/>
          <w:marRight w:val="0"/>
          <w:marTop w:val="0"/>
          <w:marBottom w:val="0"/>
          <w:divBdr>
            <w:top w:val="none" w:sz="0" w:space="0" w:color="auto"/>
            <w:left w:val="none" w:sz="0" w:space="0" w:color="auto"/>
            <w:bottom w:val="none" w:sz="0" w:space="0" w:color="auto"/>
            <w:right w:val="none" w:sz="0" w:space="0" w:color="auto"/>
          </w:divBdr>
        </w:div>
        <w:div w:id="351077046">
          <w:marLeft w:val="461"/>
          <w:marRight w:val="0"/>
          <w:marTop w:val="0"/>
          <w:marBottom w:val="0"/>
          <w:divBdr>
            <w:top w:val="none" w:sz="0" w:space="0" w:color="auto"/>
            <w:left w:val="none" w:sz="0" w:space="0" w:color="auto"/>
            <w:bottom w:val="none" w:sz="0" w:space="0" w:color="auto"/>
            <w:right w:val="none" w:sz="0" w:space="0" w:color="auto"/>
          </w:divBdr>
        </w:div>
        <w:div w:id="492335900">
          <w:marLeft w:val="461"/>
          <w:marRight w:val="0"/>
          <w:marTop w:val="0"/>
          <w:marBottom w:val="0"/>
          <w:divBdr>
            <w:top w:val="none" w:sz="0" w:space="0" w:color="auto"/>
            <w:left w:val="none" w:sz="0" w:space="0" w:color="auto"/>
            <w:bottom w:val="none" w:sz="0" w:space="0" w:color="auto"/>
            <w:right w:val="none" w:sz="0" w:space="0" w:color="auto"/>
          </w:divBdr>
        </w:div>
        <w:div w:id="1147668678">
          <w:marLeft w:val="461"/>
          <w:marRight w:val="0"/>
          <w:marTop w:val="0"/>
          <w:marBottom w:val="0"/>
          <w:divBdr>
            <w:top w:val="none" w:sz="0" w:space="0" w:color="auto"/>
            <w:left w:val="none" w:sz="0" w:space="0" w:color="auto"/>
            <w:bottom w:val="none" w:sz="0" w:space="0" w:color="auto"/>
            <w:right w:val="none" w:sz="0" w:space="0" w:color="auto"/>
          </w:divBdr>
        </w:div>
        <w:div w:id="1919830396">
          <w:marLeft w:val="461"/>
          <w:marRight w:val="0"/>
          <w:marTop w:val="0"/>
          <w:marBottom w:val="0"/>
          <w:divBdr>
            <w:top w:val="none" w:sz="0" w:space="0" w:color="auto"/>
            <w:left w:val="none" w:sz="0" w:space="0" w:color="auto"/>
            <w:bottom w:val="none" w:sz="0" w:space="0" w:color="auto"/>
            <w:right w:val="none" w:sz="0" w:space="0" w:color="auto"/>
          </w:divBdr>
        </w:div>
        <w:div w:id="2006128227">
          <w:marLeft w:val="461"/>
          <w:marRight w:val="0"/>
          <w:marTop w:val="0"/>
          <w:marBottom w:val="0"/>
          <w:divBdr>
            <w:top w:val="none" w:sz="0" w:space="0" w:color="auto"/>
            <w:left w:val="none" w:sz="0" w:space="0" w:color="auto"/>
            <w:bottom w:val="none" w:sz="0" w:space="0" w:color="auto"/>
            <w:right w:val="none" w:sz="0" w:space="0" w:color="auto"/>
          </w:divBdr>
        </w:div>
      </w:divsChild>
    </w:div>
    <w:div w:id="932936134">
      <w:bodyDiv w:val="1"/>
      <w:marLeft w:val="0"/>
      <w:marRight w:val="0"/>
      <w:marTop w:val="0"/>
      <w:marBottom w:val="0"/>
      <w:divBdr>
        <w:top w:val="none" w:sz="0" w:space="0" w:color="auto"/>
        <w:left w:val="none" w:sz="0" w:space="0" w:color="auto"/>
        <w:bottom w:val="none" w:sz="0" w:space="0" w:color="auto"/>
        <w:right w:val="none" w:sz="0" w:space="0" w:color="auto"/>
      </w:divBdr>
    </w:div>
    <w:div w:id="952593254">
      <w:bodyDiv w:val="1"/>
      <w:marLeft w:val="0"/>
      <w:marRight w:val="0"/>
      <w:marTop w:val="0"/>
      <w:marBottom w:val="0"/>
      <w:divBdr>
        <w:top w:val="none" w:sz="0" w:space="0" w:color="auto"/>
        <w:left w:val="none" w:sz="0" w:space="0" w:color="auto"/>
        <w:bottom w:val="none" w:sz="0" w:space="0" w:color="auto"/>
        <w:right w:val="none" w:sz="0" w:space="0" w:color="auto"/>
      </w:divBdr>
      <w:divsChild>
        <w:div w:id="568345705">
          <w:marLeft w:val="720"/>
          <w:marRight w:val="0"/>
          <w:marTop w:val="58"/>
          <w:marBottom w:val="0"/>
          <w:divBdr>
            <w:top w:val="none" w:sz="0" w:space="0" w:color="auto"/>
            <w:left w:val="none" w:sz="0" w:space="0" w:color="auto"/>
            <w:bottom w:val="none" w:sz="0" w:space="0" w:color="auto"/>
            <w:right w:val="none" w:sz="0" w:space="0" w:color="auto"/>
          </w:divBdr>
        </w:div>
        <w:div w:id="574435910">
          <w:marLeft w:val="720"/>
          <w:marRight w:val="0"/>
          <w:marTop w:val="58"/>
          <w:marBottom w:val="0"/>
          <w:divBdr>
            <w:top w:val="none" w:sz="0" w:space="0" w:color="auto"/>
            <w:left w:val="none" w:sz="0" w:space="0" w:color="auto"/>
            <w:bottom w:val="none" w:sz="0" w:space="0" w:color="auto"/>
            <w:right w:val="none" w:sz="0" w:space="0" w:color="auto"/>
          </w:divBdr>
        </w:div>
        <w:div w:id="787699727">
          <w:marLeft w:val="720"/>
          <w:marRight w:val="0"/>
          <w:marTop w:val="58"/>
          <w:marBottom w:val="0"/>
          <w:divBdr>
            <w:top w:val="none" w:sz="0" w:space="0" w:color="auto"/>
            <w:left w:val="none" w:sz="0" w:space="0" w:color="auto"/>
            <w:bottom w:val="none" w:sz="0" w:space="0" w:color="auto"/>
            <w:right w:val="none" w:sz="0" w:space="0" w:color="auto"/>
          </w:divBdr>
        </w:div>
        <w:div w:id="899098508">
          <w:marLeft w:val="720"/>
          <w:marRight w:val="0"/>
          <w:marTop w:val="58"/>
          <w:marBottom w:val="0"/>
          <w:divBdr>
            <w:top w:val="none" w:sz="0" w:space="0" w:color="auto"/>
            <w:left w:val="none" w:sz="0" w:space="0" w:color="auto"/>
            <w:bottom w:val="none" w:sz="0" w:space="0" w:color="auto"/>
            <w:right w:val="none" w:sz="0" w:space="0" w:color="auto"/>
          </w:divBdr>
        </w:div>
        <w:div w:id="1643463673">
          <w:marLeft w:val="720"/>
          <w:marRight w:val="0"/>
          <w:marTop w:val="58"/>
          <w:marBottom w:val="0"/>
          <w:divBdr>
            <w:top w:val="none" w:sz="0" w:space="0" w:color="auto"/>
            <w:left w:val="none" w:sz="0" w:space="0" w:color="auto"/>
            <w:bottom w:val="none" w:sz="0" w:space="0" w:color="auto"/>
            <w:right w:val="none" w:sz="0" w:space="0" w:color="auto"/>
          </w:divBdr>
        </w:div>
        <w:div w:id="1781484315">
          <w:marLeft w:val="720"/>
          <w:marRight w:val="0"/>
          <w:marTop w:val="58"/>
          <w:marBottom w:val="0"/>
          <w:divBdr>
            <w:top w:val="none" w:sz="0" w:space="0" w:color="auto"/>
            <w:left w:val="none" w:sz="0" w:space="0" w:color="auto"/>
            <w:bottom w:val="none" w:sz="0" w:space="0" w:color="auto"/>
            <w:right w:val="none" w:sz="0" w:space="0" w:color="auto"/>
          </w:divBdr>
        </w:div>
        <w:div w:id="1804150761">
          <w:marLeft w:val="720"/>
          <w:marRight w:val="0"/>
          <w:marTop w:val="58"/>
          <w:marBottom w:val="0"/>
          <w:divBdr>
            <w:top w:val="none" w:sz="0" w:space="0" w:color="auto"/>
            <w:left w:val="none" w:sz="0" w:space="0" w:color="auto"/>
            <w:bottom w:val="none" w:sz="0" w:space="0" w:color="auto"/>
            <w:right w:val="none" w:sz="0" w:space="0" w:color="auto"/>
          </w:divBdr>
        </w:div>
      </w:divsChild>
    </w:div>
    <w:div w:id="985862142">
      <w:bodyDiv w:val="1"/>
      <w:marLeft w:val="0"/>
      <w:marRight w:val="0"/>
      <w:marTop w:val="0"/>
      <w:marBottom w:val="0"/>
      <w:divBdr>
        <w:top w:val="none" w:sz="0" w:space="0" w:color="auto"/>
        <w:left w:val="none" w:sz="0" w:space="0" w:color="auto"/>
        <w:bottom w:val="none" w:sz="0" w:space="0" w:color="auto"/>
        <w:right w:val="none" w:sz="0" w:space="0" w:color="auto"/>
      </w:divBdr>
      <w:divsChild>
        <w:div w:id="96025178">
          <w:marLeft w:val="274"/>
          <w:marRight w:val="0"/>
          <w:marTop w:val="0"/>
          <w:marBottom w:val="0"/>
          <w:divBdr>
            <w:top w:val="none" w:sz="0" w:space="0" w:color="auto"/>
            <w:left w:val="none" w:sz="0" w:space="0" w:color="auto"/>
            <w:bottom w:val="none" w:sz="0" w:space="0" w:color="auto"/>
            <w:right w:val="none" w:sz="0" w:space="0" w:color="auto"/>
          </w:divBdr>
        </w:div>
      </w:divsChild>
    </w:div>
    <w:div w:id="1022589372">
      <w:bodyDiv w:val="1"/>
      <w:marLeft w:val="0"/>
      <w:marRight w:val="0"/>
      <w:marTop w:val="0"/>
      <w:marBottom w:val="0"/>
      <w:divBdr>
        <w:top w:val="none" w:sz="0" w:space="0" w:color="auto"/>
        <w:left w:val="none" w:sz="0" w:space="0" w:color="auto"/>
        <w:bottom w:val="none" w:sz="0" w:space="0" w:color="auto"/>
        <w:right w:val="none" w:sz="0" w:space="0" w:color="auto"/>
      </w:divBdr>
    </w:div>
    <w:div w:id="1037202606">
      <w:bodyDiv w:val="1"/>
      <w:marLeft w:val="0"/>
      <w:marRight w:val="0"/>
      <w:marTop w:val="0"/>
      <w:marBottom w:val="0"/>
      <w:divBdr>
        <w:top w:val="none" w:sz="0" w:space="0" w:color="auto"/>
        <w:left w:val="none" w:sz="0" w:space="0" w:color="auto"/>
        <w:bottom w:val="none" w:sz="0" w:space="0" w:color="auto"/>
        <w:right w:val="none" w:sz="0" w:space="0" w:color="auto"/>
      </w:divBdr>
    </w:div>
    <w:div w:id="1130972588">
      <w:bodyDiv w:val="1"/>
      <w:marLeft w:val="0"/>
      <w:marRight w:val="0"/>
      <w:marTop w:val="0"/>
      <w:marBottom w:val="0"/>
      <w:divBdr>
        <w:top w:val="none" w:sz="0" w:space="0" w:color="auto"/>
        <w:left w:val="none" w:sz="0" w:space="0" w:color="auto"/>
        <w:bottom w:val="none" w:sz="0" w:space="0" w:color="auto"/>
        <w:right w:val="none" w:sz="0" w:space="0" w:color="auto"/>
      </w:divBdr>
      <w:divsChild>
        <w:div w:id="641157025">
          <w:marLeft w:val="720"/>
          <w:marRight w:val="0"/>
          <w:marTop w:val="67"/>
          <w:marBottom w:val="0"/>
          <w:divBdr>
            <w:top w:val="none" w:sz="0" w:space="0" w:color="auto"/>
            <w:left w:val="none" w:sz="0" w:space="0" w:color="auto"/>
            <w:bottom w:val="none" w:sz="0" w:space="0" w:color="auto"/>
            <w:right w:val="none" w:sz="0" w:space="0" w:color="auto"/>
          </w:divBdr>
        </w:div>
        <w:div w:id="1386684381">
          <w:marLeft w:val="720"/>
          <w:marRight w:val="0"/>
          <w:marTop w:val="67"/>
          <w:marBottom w:val="0"/>
          <w:divBdr>
            <w:top w:val="none" w:sz="0" w:space="0" w:color="auto"/>
            <w:left w:val="none" w:sz="0" w:space="0" w:color="auto"/>
            <w:bottom w:val="none" w:sz="0" w:space="0" w:color="auto"/>
            <w:right w:val="none" w:sz="0" w:space="0" w:color="auto"/>
          </w:divBdr>
        </w:div>
        <w:div w:id="1422604070">
          <w:marLeft w:val="720"/>
          <w:marRight w:val="0"/>
          <w:marTop w:val="67"/>
          <w:marBottom w:val="0"/>
          <w:divBdr>
            <w:top w:val="none" w:sz="0" w:space="0" w:color="auto"/>
            <w:left w:val="none" w:sz="0" w:space="0" w:color="auto"/>
            <w:bottom w:val="none" w:sz="0" w:space="0" w:color="auto"/>
            <w:right w:val="none" w:sz="0" w:space="0" w:color="auto"/>
          </w:divBdr>
        </w:div>
        <w:div w:id="1910769495">
          <w:marLeft w:val="720"/>
          <w:marRight w:val="0"/>
          <w:marTop w:val="67"/>
          <w:marBottom w:val="0"/>
          <w:divBdr>
            <w:top w:val="none" w:sz="0" w:space="0" w:color="auto"/>
            <w:left w:val="none" w:sz="0" w:space="0" w:color="auto"/>
            <w:bottom w:val="none" w:sz="0" w:space="0" w:color="auto"/>
            <w:right w:val="none" w:sz="0" w:space="0" w:color="auto"/>
          </w:divBdr>
        </w:div>
      </w:divsChild>
    </w:div>
    <w:div w:id="1150050771">
      <w:bodyDiv w:val="1"/>
      <w:marLeft w:val="0"/>
      <w:marRight w:val="0"/>
      <w:marTop w:val="0"/>
      <w:marBottom w:val="0"/>
      <w:divBdr>
        <w:top w:val="none" w:sz="0" w:space="0" w:color="auto"/>
        <w:left w:val="none" w:sz="0" w:space="0" w:color="auto"/>
        <w:bottom w:val="none" w:sz="0" w:space="0" w:color="auto"/>
        <w:right w:val="none" w:sz="0" w:space="0" w:color="auto"/>
      </w:divBdr>
    </w:div>
    <w:div w:id="1154028885">
      <w:bodyDiv w:val="1"/>
      <w:marLeft w:val="0"/>
      <w:marRight w:val="0"/>
      <w:marTop w:val="0"/>
      <w:marBottom w:val="0"/>
      <w:divBdr>
        <w:top w:val="none" w:sz="0" w:space="0" w:color="auto"/>
        <w:left w:val="none" w:sz="0" w:space="0" w:color="auto"/>
        <w:bottom w:val="none" w:sz="0" w:space="0" w:color="auto"/>
        <w:right w:val="none" w:sz="0" w:space="0" w:color="auto"/>
      </w:divBdr>
      <w:divsChild>
        <w:div w:id="1122386457">
          <w:marLeft w:val="446"/>
          <w:marRight w:val="0"/>
          <w:marTop w:val="72"/>
          <w:marBottom w:val="0"/>
          <w:divBdr>
            <w:top w:val="none" w:sz="0" w:space="0" w:color="auto"/>
            <w:left w:val="none" w:sz="0" w:space="0" w:color="auto"/>
            <w:bottom w:val="none" w:sz="0" w:space="0" w:color="auto"/>
            <w:right w:val="none" w:sz="0" w:space="0" w:color="auto"/>
          </w:divBdr>
        </w:div>
      </w:divsChild>
    </w:div>
    <w:div w:id="1211768091">
      <w:bodyDiv w:val="1"/>
      <w:marLeft w:val="0"/>
      <w:marRight w:val="0"/>
      <w:marTop w:val="0"/>
      <w:marBottom w:val="0"/>
      <w:divBdr>
        <w:top w:val="none" w:sz="0" w:space="0" w:color="auto"/>
        <w:left w:val="none" w:sz="0" w:space="0" w:color="auto"/>
        <w:bottom w:val="none" w:sz="0" w:space="0" w:color="auto"/>
        <w:right w:val="none" w:sz="0" w:space="0" w:color="auto"/>
      </w:divBdr>
      <w:divsChild>
        <w:div w:id="138881752">
          <w:marLeft w:val="1080"/>
          <w:marRight w:val="0"/>
          <w:marTop w:val="120"/>
          <w:marBottom w:val="0"/>
          <w:divBdr>
            <w:top w:val="none" w:sz="0" w:space="0" w:color="auto"/>
            <w:left w:val="none" w:sz="0" w:space="0" w:color="auto"/>
            <w:bottom w:val="none" w:sz="0" w:space="0" w:color="auto"/>
            <w:right w:val="none" w:sz="0" w:space="0" w:color="auto"/>
          </w:divBdr>
        </w:div>
        <w:div w:id="482163920">
          <w:marLeft w:val="1080"/>
          <w:marRight w:val="0"/>
          <w:marTop w:val="120"/>
          <w:marBottom w:val="0"/>
          <w:divBdr>
            <w:top w:val="none" w:sz="0" w:space="0" w:color="auto"/>
            <w:left w:val="none" w:sz="0" w:space="0" w:color="auto"/>
            <w:bottom w:val="none" w:sz="0" w:space="0" w:color="auto"/>
            <w:right w:val="none" w:sz="0" w:space="0" w:color="auto"/>
          </w:divBdr>
        </w:div>
        <w:div w:id="1226456395">
          <w:marLeft w:val="547"/>
          <w:marRight w:val="0"/>
          <w:marTop w:val="400"/>
          <w:marBottom w:val="0"/>
          <w:divBdr>
            <w:top w:val="none" w:sz="0" w:space="0" w:color="auto"/>
            <w:left w:val="none" w:sz="0" w:space="0" w:color="auto"/>
            <w:bottom w:val="none" w:sz="0" w:space="0" w:color="auto"/>
            <w:right w:val="none" w:sz="0" w:space="0" w:color="auto"/>
          </w:divBdr>
        </w:div>
        <w:div w:id="1536692774">
          <w:marLeft w:val="1080"/>
          <w:marRight w:val="0"/>
          <w:marTop w:val="120"/>
          <w:marBottom w:val="0"/>
          <w:divBdr>
            <w:top w:val="none" w:sz="0" w:space="0" w:color="auto"/>
            <w:left w:val="none" w:sz="0" w:space="0" w:color="auto"/>
            <w:bottom w:val="none" w:sz="0" w:space="0" w:color="auto"/>
            <w:right w:val="none" w:sz="0" w:space="0" w:color="auto"/>
          </w:divBdr>
        </w:div>
        <w:div w:id="1626544151">
          <w:marLeft w:val="1080"/>
          <w:marRight w:val="0"/>
          <w:marTop w:val="120"/>
          <w:marBottom w:val="0"/>
          <w:divBdr>
            <w:top w:val="none" w:sz="0" w:space="0" w:color="auto"/>
            <w:left w:val="none" w:sz="0" w:space="0" w:color="auto"/>
            <w:bottom w:val="none" w:sz="0" w:space="0" w:color="auto"/>
            <w:right w:val="none" w:sz="0" w:space="0" w:color="auto"/>
          </w:divBdr>
        </w:div>
      </w:divsChild>
    </w:div>
    <w:div w:id="1254507260">
      <w:bodyDiv w:val="1"/>
      <w:marLeft w:val="0"/>
      <w:marRight w:val="0"/>
      <w:marTop w:val="0"/>
      <w:marBottom w:val="0"/>
      <w:divBdr>
        <w:top w:val="none" w:sz="0" w:space="0" w:color="auto"/>
        <w:left w:val="none" w:sz="0" w:space="0" w:color="auto"/>
        <w:bottom w:val="none" w:sz="0" w:space="0" w:color="auto"/>
        <w:right w:val="none" w:sz="0" w:space="0" w:color="auto"/>
      </w:divBdr>
    </w:div>
    <w:div w:id="1254971313">
      <w:bodyDiv w:val="1"/>
      <w:marLeft w:val="0"/>
      <w:marRight w:val="0"/>
      <w:marTop w:val="0"/>
      <w:marBottom w:val="0"/>
      <w:divBdr>
        <w:top w:val="none" w:sz="0" w:space="0" w:color="auto"/>
        <w:left w:val="none" w:sz="0" w:space="0" w:color="auto"/>
        <w:bottom w:val="none" w:sz="0" w:space="0" w:color="auto"/>
        <w:right w:val="none" w:sz="0" w:space="0" w:color="auto"/>
      </w:divBdr>
    </w:div>
    <w:div w:id="1286157878">
      <w:bodyDiv w:val="1"/>
      <w:marLeft w:val="0"/>
      <w:marRight w:val="0"/>
      <w:marTop w:val="0"/>
      <w:marBottom w:val="0"/>
      <w:divBdr>
        <w:top w:val="none" w:sz="0" w:space="0" w:color="auto"/>
        <w:left w:val="none" w:sz="0" w:space="0" w:color="auto"/>
        <w:bottom w:val="none" w:sz="0" w:space="0" w:color="auto"/>
        <w:right w:val="none" w:sz="0" w:space="0" w:color="auto"/>
      </w:divBdr>
      <w:divsChild>
        <w:div w:id="371852973">
          <w:marLeft w:val="720"/>
          <w:marRight w:val="0"/>
          <w:marTop w:val="58"/>
          <w:marBottom w:val="0"/>
          <w:divBdr>
            <w:top w:val="none" w:sz="0" w:space="0" w:color="auto"/>
            <w:left w:val="none" w:sz="0" w:space="0" w:color="auto"/>
            <w:bottom w:val="none" w:sz="0" w:space="0" w:color="auto"/>
            <w:right w:val="none" w:sz="0" w:space="0" w:color="auto"/>
          </w:divBdr>
        </w:div>
        <w:div w:id="393240318">
          <w:marLeft w:val="720"/>
          <w:marRight w:val="0"/>
          <w:marTop w:val="58"/>
          <w:marBottom w:val="0"/>
          <w:divBdr>
            <w:top w:val="none" w:sz="0" w:space="0" w:color="auto"/>
            <w:left w:val="none" w:sz="0" w:space="0" w:color="auto"/>
            <w:bottom w:val="none" w:sz="0" w:space="0" w:color="auto"/>
            <w:right w:val="none" w:sz="0" w:space="0" w:color="auto"/>
          </w:divBdr>
        </w:div>
        <w:div w:id="640498959">
          <w:marLeft w:val="720"/>
          <w:marRight w:val="0"/>
          <w:marTop w:val="58"/>
          <w:marBottom w:val="0"/>
          <w:divBdr>
            <w:top w:val="none" w:sz="0" w:space="0" w:color="auto"/>
            <w:left w:val="none" w:sz="0" w:space="0" w:color="auto"/>
            <w:bottom w:val="none" w:sz="0" w:space="0" w:color="auto"/>
            <w:right w:val="none" w:sz="0" w:space="0" w:color="auto"/>
          </w:divBdr>
        </w:div>
        <w:div w:id="969941313">
          <w:marLeft w:val="720"/>
          <w:marRight w:val="0"/>
          <w:marTop w:val="58"/>
          <w:marBottom w:val="0"/>
          <w:divBdr>
            <w:top w:val="none" w:sz="0" w:space="0" w:color="auto"/>
            <w:left w:val="none" w:sz="0" w:space="0" w:color="auto"/>
            <w:bottom w:val="none" w:sz="0" w:space="0" w:color="auto"/>
            <w:right w:val="none" w:sz="0" w:space="0" w:color="auto"/>
          </w:divBdr>
        </w:div>
        <w:div w:id="1377042815">
          <w:marLeft w:val="720"/>
          <w:marRight w:val="0"/>
          <w:marTop w:val="58"/>
          <w:marBottom w:val="0"/>
          <w:divBdr>
            <w:top w:val="none" w:sz="0" w:space="0" w:color="auto"/>
            <w:left w:val="none" w:sz="0" w:space="0" w:color="auto"/>
            <w:bottom w:val="none" w:sz="0" w:space="0" w:color="auto"/>
            <w:right w:val="none" w:sz="0" w:space="0" w:color="auto"/>
          </w:divBdr>
        </w:div>
        <w:div w:id="1713915686">
          <w:marLeft w:val="720"/>
          <w:marRight w:val="0"/>
          <w:marTop w:val="58"/>
          <w:marBottom w:val="0"/>
          <w:divBdr>
            <w:top w:val="none" w:sz="0" w:space="0" w:color="auto"/>
            <w:left w:val="none" w:sz="0" w:space="0" w:color="auto"/>
            <w:bottom w:val="none" w:sz="0" w:space="0" w:color="auto"/>
            <w:right w:val="none" w:sz="0" w:space="0" w:color="auto"/>
          </w:divBdr>
        </w:div>
        <w:div w:id="2141026284">
          <w:marLeft w:val="720"/>
          <w:marRight w:val="0"/>
          <w:marTop w:val="58"/>
          <w:marBottom w:val="0"/>
          <w:divBdr>
            <w:top w:val="none" w:sz="0" w:space="0" w:color="auto"/>
            <w:left w:val="none" w:sz="0" w:space="0" w:color="auto"/>
            <w:bottom w:val="none" w:sz="0" w:space="0" w:color="auto"/>
            <w:right w:val="none" w:sz="0" w:space="0" w:color="auto"/>
          </w:divBdr>
        </w:div>
      </w:divsChild>
    </w:div>
    <w:div w:id="1301839866">
      <w:bodyDiv w:val="1"/>
      <w:marLeft w:val="0"/>
      <w:marRight w:val="0"/>
      <w:marTop w:val="0"/>
      <w:marBottom w:val="0"/>
      <w:divBdr>
        <w:top w:val="none" w:sz="0" w:space="0" w:color="auto"/>
        <w:left w:val="none" w:sz="0" w:space="0" w:color="auto"/>
        <w:bottom w:val="none" w:sz="0" w:space="0" w:color="auto"/>
        <w:right w:val="none" w:sz="0" w:space="0" w:color="auto"/>
      </w:divBdr>
    </w:div>
    <w:div w:id="1355691882">
      <w:bodyDiv w:val="1"/>
      <w:marLeft w:val="0"/>
      <w:marRight w:val="0"/>
      <w:marTop w:val="0"/>
      <w:marBottom w:val="0"/>
      <w:divBdr>
        <w:top w:val="none" w:sz="0" w:space="0" w:color="auto"/>
        <w:left w:val="none" w:sz="0" w:space="0" w:color="auto"/>
        <w:bottom w:val="none" w:sz="0" w:space="0" w:color="auto"/>
        <w:right w:val="none" w:sz="0" w:space="0" w:color="auto"/>
      </w:divBdr>
      <w:divsChild>
        <w:div w:id="811408635">
          <w:marLeft w:val="274"/>
          <w:marRight w:val="0"/>
          <w:marTop w:val="0"/>
          <w:marBottom w:val="0"/>
          <w:divBdr>
            <w:top w:val="none" w:sz="0" w:space="0" w:color="auto"/>
            <w:left w:val="none" w:sz="0" w:space="0" w:color="auto"/>
            <w:bottom w:val="none" w:sz="0" w:space="0" w:color="auto"/>
            <w:right w:val="none" w:sz="0" w:space="0" w:color="auto"/>
          </w:divBdr>
        </w:div>
        <w:div w:id="820582147">
          <w:marLeft w:val="274"/>
          <w:marRight w:val="0"/>
          <w:marTop w:val="0"/>
          <w:marBottom w:val="0"/>
          <w:divBdr>
            <w:top w:val="none" w:sz="0" w:space="0" w:color="auto"/>
            <w:left w:val="none" w:sz="0" w:space="0" w:color="auto"/>
            <w:bottom w:val="none" w:sz="0" w:space="0" w:color="auto"/>
            <w:right w:val="none" w:sz="0" w:space="0" w:color="auto"/>
          </w:divBdr>
        </w:div>
        <w:div w:id="1383212442">
          <w:marLeft w:val="274"/>
          <w:marRight w:val="0"/>
          <w:marTop w:val="0"/>
          <w:marBottom w:val="0"/>
          <w:divBdr>
            <w:top w:val="none" w:sz="0" w:space="0" w:color="auto"/>
            <w:left w:val="none" w:sz="0" w:space="0" w:color="auto"/>
            <w:bottom w:val="none" w:sz="0" w:space="0" w:color="auto"/>
            <w:right w:val="none" w:sz="0" w:space="0" w:color="auto"/>
          </w:divBdr>
        </w:div>
        <w:div w:id="1608005798">
          <w:marLeft w:val="274"/>
          <w:marRight w:val="0"/>
          <w:marTop w:val="0"/>
          <w:marBottom w:val="0"/>
          <w:divBdr>
            <w:top w:val="none" w:sz="0" w:space="0" w:color="auto"/>
            <w:left w:val="none" w:sz="0" w:space="0" w:color="auto"/>
            <w:bottom w:val="none" w:sz="0" w:space="0" w:color="auto"/>
            <w:right w:val="none" w:sz="0" w:space="0" w:color="auto"/>
          </w:divBdr>
        </w:div>
        <w:div w:id="1906449856">
          <w:marLeft w:val="274"/>
          <w:marRight w:val="0"/>
          <w:marTop w:val="0"/>
          <w:marBottom w:val="0"/>
          <w:divBdr>
            <w:top w:val="none" w:sz="0" w:space="0" w:color="auto"/>
            <w:left w:val="none" w:sz="0" w:space="0" w:color="auto"/>
            <w:bottom w:val="none" w:sz="0" w:space="0" w:color="auto"/>
            <w:right w:val="none" w:sz="0" w:space="0" w:color="auto"/>
          </w:divBdr>
        </w:div>
      </w:divsChild>
    </w:div>
    <w:div w:id="1400177541">
      <w:bodyDiv w:val="1"/>
      <w:marLeft w:val="0"/>
      <w:marRight w:val="0"/>
      <w:marTop w:val="0"/>
      <w:marBottom w:val="0"/>
      <w:divBdr>
        <w:top w:val="none" w:sz="0" w:space="0" w:color="auto"/>
        <w:left w:val="none" w:sz="0" w:space="0" w:color="auto"/>
        <w:bottom w:val="none" w:sz="0" w:space="0" w:color="auto"/>
        <w:right w:val="none" w:sz="0" w:space="0" w:color="auto"/>
      </w:divBdr>
    </w:div>
    <w:div w:id="1402487242">
      <w:bodyDiv w:val="1"/>
      <w:marLeft w:val="0"/>
      <w:marRight w:val="0"/>
      <w:marTop w:val="0"/>
      <w:marBottom w:val="0"/>
      <w:divBdr>
        <w:top w:val="none" w:sz="0" w:space="0" w:color="auto"/>
        <w:left w:val="none" w:sz="0" w:space="0" w:color="auto"/>
        <w:bottom w:val="none" w:sz="0" w:space="0" w:color="auto"/>
        <w:right w:val="none" w:sz="0" w:space="0" w:color="auto"/>
      </w:divBdr>
    </w:div>
    <w:div w:id="1403215367">
      <w:bodyDiv w:val="1"/>
      <w:marLeft w:val="0"/>
      <w:marRight w:val="0"/>
      <w:marTop w:val="0"/>
      <w:marBottom w:val="0"/>
      <w:divBdr>
        <w:top w:val="none" w:sz="0" w:space="0" w:color="auto"/>
        <w:left w:val="none" w:sz="0" w:space="0" w:color="auto"/>
        <w:bottom w:val="none" w:sz="0" w:space="0" w:color="auto"/>
        <w:right w:val="none" w:sz="0" w:space="0" w:color="auto"/>
      </w:divBdr>
      <w:divsChild>
        <w:div w:id="21907055">
          <w:marLeft w:val="274"/>
          <w:marRight w:val="0"/>
          <w:marTop w:val="0"/>
          <w:marBottom w:val="0"/>
          <w:divBdr>
            <w:top w:val="none" w:sz="0" w:space="0" w:color="auto"/>
            <w:left w:val="none" w:sz="0" w:space="0" w:color="auto"/>
            <w:bottom w:val="none" w:sz="0" w:space="0" w:color="auto"/>
            <w:right w:val="none" w:sz="0" w:space="0" w:color="auto"/>
          </w:divBdr>
        </w:div>
        <w:div w:id="117261123">
          <w:marLeft w:val="274"/>
          <w:marRight w:val="0"/>
          <w:marTop w:val="0"/>
          <w:marBottom w:val="0"/>
          <w:divBdr>
            <w:top w:val="none" w:sz="0" w:space="0" w:color="auto"/>
            <w:left w:val="none" w:sz="0" w:space="0" w:color="auto"/>
            <w:bottom w:val="none" w:sz="0" w:space="0" w:color="auto"/>
            <w:right w:val="none" w:sz="0" w:space="0" w:color="auto"/>
          </w:divBdr>
        </w:div>
        <w:div w:id="941381443">
          <w:marLeft w:val="274"/>
          <w:marRight w:val="0"/>
          <w:marTop w:val="0"/>
          <w:marBottom w:val="0"/>
          <w:divBdr>
            <w:top w:val="none" w:sz="0" w:space="0" w:color="auto"/>
            <w:left w:val="none" w:sz="0" w:space="0" w:color="auto"/>
            <w:bottom w:val="none" w:sz="0" w:space="0" w:color="auto"/>
            <w:right w:val="none" w:sz="0" w:space="0" w:color="auto"/>
          </w:divBdr>
        </w:div>
        <w:div w:id="1596867287">
          <w:marLeft w:val="274"/>
          <w:marRight w:val="0"/>
          <w:marTop w:val="0"/>
          <w:marBottom w:val="0"/>
          <w:divBdr>
            <w:top w:val="none" w:sz="0" w:space="0" w:color="auto"/>
            <w:left w:val="none" w:sz="0" w:space="0" w:color="auto"/>
            <w:bottom w:val="none" w:sz="0" w:space="0" w:color="auto"/>
            <w:right w:val="none" w:sz="0" w:space="0" w:color="auto"/>
          </w:divBdr>
        </w:div>
      </w:divsChild>
    </w:div>
    <w:div w:id="1414938802">
      <w:bodyDiv w:val="1"/>
      <w:marLeft w:val="0"/>
      <w:marRight w:val="0"/>
      <w:marTop w:val="0"/>
      <w:marBottom w:val="0"/>
      <w:divBdr>
        <w:top w:val="none" w:sz="0" w:space="0" w:color="auto"/>
        <w:left w:val="none" w:sz="0" w:space="0" w:color="auto"/>
        <w:bottom w:val="none" w:sz="0" w:space="0" w:color="auto"/>
        <w:right w:val="none" w:sz="0" w:space="0" w:color="auto"/>
      </w:divBdr>
    </w:div>
    <w:div w:id="1437557882">
      <w:bodyDiv w:val="1"/>
      <w:marLeft w:val="0"/>
      <w:marRight w:val="0"/>
      <w:marTop w:val="0"/>
      <w:marBottom w:val="0"/>
      <w:divBdr>
        <w:top w:val="none" w:sz="0" w:space="0" w:color="auto"/>
        <w:left w:val="none" w:sz="0" w:space="0" w:color="auto"/>
        <w:bottom w:val="none" w:sz="0" w:space="0" w:color="auto"/>
        <w:right w:val="none" w:sz="0" w:space="0" w:color="auto"/>
      </w:divBdr>
      <w:divsChild>
        <w:div w:id="854072289">
          <w:marLeft w:val="360"/>
          <w:marRight w:val="0"/>
          <w:marTop w:val="0"/>
          <w:marBottom w:val="0"/>
          <w:divBdr>
            <w:top w:val="none" w:sz="0" w:space="0" w:color="auto"/>
            <w:left w:val="none" w:sz="0" w:space="0" w:color="auto"/>
            <w:bottom w:val="none" w:sz="0" w:space="0" w:color="auto"/>
            <w:right w:val="none" w:sz="0" w:space="0" w:color="auto"/>
          </w:divBdr>
        </w:div>
        <w:div w:id="1937781842">
          <w:marLeft w:val="360"/>
          <w:marRight w:val="0"/>
          <w:marTop w:val="0"/>
          <w:marBottom w:val="0"/>
          <w:divBdr>
            <w:top w:val="none" w:sz="0" w:space="0" w:color="auto"/>
            <w:left w:val="none" w:sz="0" w:space="0" w:color="auto"/>
            <w:bottom w:val="none" w:sz="0" w:space="0" w:color="auto"/>
            <w:right w:val="none" w:sz="0" w:space="0" w:color="auto"/>
          </w:divBdr>
        </w:div>
      </w:divsChild>
    </w:div>
    <w:div w:id="1446344251">
      <w:bodyDiv w:val="1"/>
      <w:marLeft w:val="0"/>
      <w:marRight w:val="0"/>
      <w:marTop w:val="0"/>
      <w:marBottom w:val="0"/>
      <w:divBdr>
        <w:top w:val="none" w:sz="0" w:space="0" w:color="auto"/>
        <w:left w:val="none" w:sz="0" w:space="0" w:color="auto"/>
        <w:bottom w:val="none" w:sz="0" w:space="0" w:color="auto"/>
        <w:right w:val="none" w:sz="0" w:space="0" w:color="auto"/>
      </w:divBdr>
      <w:divsChild>
        <w:div w:id="531655661">
          <w:marLeft w:val="446"/>
          <w:marRight w:val="0"/>
          <w:marTop w:val="0"/>
          <w:marBottom w:val="0"/>
          <w:divBdr>
            <w:top w:val="none" w:sz="0" w:space="0" w:color="auto"/>
            <w:left w:val="none" w:sz="0" w:space="0" w:color="auto"/>
            <w:bottom w:val="none" w:sz="0" w:space="0" w:color="auto"/>
            <w:right w:val="none" w:sz="0" w:space="0" w:color="auto"/>
          </w:divBdr>
        </w:div>
        <w:div w:id="634021687">
          <w:marLeft w:val="446"/>
          <w:marRight w:val="0"/>
          <w:marTop w:val="0"/>
          <w:marBottom w:val="0"/>
          <w:divBdr>
            <w:top w:val="none" w:sz="0" w:space="0" w:color="auto"/>
            <w:left w:val="none" w:sz="0" w:space="0" w:color="auto"/>
            <w:bottom w:val="none" w:sz="0" w:space="0" w:color="auto"/>
            <w:right w:val="none" w:sz="0" w:space="0" w:color="auto"/>
          </w:divBdr>
        </w:div>
        <w:div w:id="883902853">
          <w:marLeft w:val="446"/>
          <w:marRight w:val="0"/>
          <w:marTop w:val="0"/>
          <w:marBottom w:val="0"/>
          <w:divBdr>
            <w:top w:val="none" w:sz="0" w:space="0" w:color="auto"/>
            <w:left w:val="none" w:sz="0" w:space="0" w:color="auto"/>
            <w:bottom w:val="none" w:sz="0" w:space="0" w:color="auto"/>
            <w:right w:val="none" w:sz="0" w:space="0" w:color="auto"/>
          </w:divBdr>
        </w:div>
      </w:divsChild>
    </w:div>
    <w:div w:id="1450665491">
      <w:bodyDiv w:val="1"/>
      <w:marLeft w:val="0"/>
      <w:marRight w:val="0"/>
      <w:marTop w:val="0"/>
      <w:marBottom w:val="0"/>
      <w:divBdr>
        <w:top w:val="none" w:sz="0" w:space="0" w:color="auto"/>
        <w:left w:val="none" w:sz="0" w:space="0" w:color="auto"/>
        <w:bottom w:val="none" w:sz="0" w:space="0" w:color="auto"/>
        <w:right w:val="none" w:sz="0" w:space="0" w:color="auto"/>
      </w:divBdr>
    </w:div>
    <w:div w:id="1499226404">
      <w:bodyDiv w:val="1"/>
      <w:marLeft w:val="0"/>
      <w:marRight w:val="0"/>
      <w:marTop w:val="0"/>
      <w:marBottom w:val="0"/>
      <w:divBdr>
        <w:top w:val="none" w:sz="0" w:space="0" w:color="auto"/>
        <w:left w:val="none" w:sz="0" w:space="0" w:color="auto"/>
        <w:bottom w:val="none" w:sz="0" w:space="0" w:color="auto"/>
        <w:right w:val="none" w:sz="0" w:space="0" w:color="auto"/>
      </w:divBdr>
      <w:divsChild>
        <w:div w:id="230509686">
          <w:marLeft w:val="547"/>
          <w:marRight w:val="0"/>
          <w:marTop w:val="400"/>
          <w:marBottom w:val="0"/>
          <w:divBdr>
            <w:top w:val="none" w:sz="0" w:space="0" w:color="auto"/>
            <w:left w:val="none" w:sz="0" w:space="0" w:color="auto"/>
            <w:bottom w:val="none" w:sz="0" w:space="0" w:color="auto"/>
            <w:right w:val="none" w:sz="0" w:space="0" w:color="auto"/>
          </w:divBdr>
        </w:div>
        <w:div w:id="474570708">
          <w:marLeft w:val="547"/>
          <w:marRight w:val="0"/>
          <w:marTop w:val="400"/>
          <w:marBottom w:val="0"/>
          <w:divBdr>
            <w:top w:val="none" w:sz="0" w:space="0" w:color="auto"/>
            <w:left w:val="none" w:sz="0" w:space="0" w:color="auto"/>
            <w:bottom w:val="none" w:sz="0" w:space="0" w:color="auto"/>
            <w:right w:val="none" w:sz="0" w:space="0" w:color="auto"/>
          </w:divBdr>
        </w:div>
        <w:div w:id="537669962">
          <w:marLeft w:val="547"/>
          <w:marRight w:val="0"/>
          <w:marTop w:val="400"/>
          <w:marBottom w:val="0"/>
          <w:divBdr>
            <w:top w:val="none" w:sz="0" w:space="0" w:color="auto"/>
            <w:left w:val="none" w:sz="0" w:space="0" w:color="auto"/>
            <w:bottom w:val="none" w:sz="0" w:space="0" w:color="auto"/>
            <w:right w:val="none" w:sz="0" w:space="0" w:color="auto"/>
          </w:divBdr>
        </w:div>
      </w:divsChild>
    </w:div>
    <w:div w:id="1508590810">
      <w:bodyDiv w:val="1"/>
      <w:marLeft w:val="0"/>
      <w:marRight w:val="0"/>
      <w:marTop w:val="0"/>
      <w:marBottom w:val="0"/>
      <w:divBdr>
        <w:top w:val="none" w:sz="0" w:space="0" w:color="auto"/>
        <w:left w:val="none" w:sz="0" w:space="0" w:color="auto"/>
        <w:bottom w:val="none" w:sz="0" w:space="0" w:color="auto"/>
        <w:right w:val="none" w:sz="0" w:space="0" w:color="auto"/>
      </w:divBdr>
      <w:divsChild>
        <w:div w:id="34428073">
          <w:marLeft w:val="274"/>
          <w:marRight w:val="0"/>
          <w:marTop w:val="0"/>
          <w:marBottom w:val="0"/>
          <w:divBdr>
            <w:top w:val="none" w:sz="0" w:space="0" w:color="auto"/>
            <w:left w:val="none" w:sz="0" w:space="0" w:color="auto"/>
            <w:bottom w:val="none" w:sz="0" w:space="0" w:color="auto"/>
            <w:right w:val="none" w:sz="0" w:space="0" w:color="auto"/>
          </w:divBdr>
        </w:div>
        <w:div w:id="146171053">
          <w:marLeft w:val="274"/>
          <w:marRight w:val="0"/>
          <w:marTop w:val="0"/>
          <w:marBottom w:val="0"/>
          <w:divBdr>
            <w:top w:val="none" w:sz="0" w:space="0" w:color="auto"/>
            <w:left w:val="none" w:sz="0" w:space="0" w:color="auto"/>
            <w:bottom w:val="none" w:sz="0" w:space="0" w:color="auto"/>
            <w:right w:val="none" w:sz="0" w:space="0" w:color="auto"/>
          </w:divBdr>
        </w:div>
        <w:div w:id="589119317">
          <w:marLeft w:val="274"/>
          <w:marRight w:val="0"/>
          <w:marTop w:val="0"/>
          <w:marBottom w:val="0"/>
          <w:divBdr>
            <w:top w:val="none" w:sz="0" w:space="0" w:color="auto"/>
            <w:left w:val="none" w:sz="0" w:space="0" w:color="auto"/>
            <w:bottom w:val="none" w:sz="0" w:space="0" w:color="auto"/>
            <w:right w:val="none" w:sz="0" w:space="0" w:color="auto"/>
          </w:divBdr>
        </w:div>
        <w:div w:id="713971556">
          <w:marLeft w:val="274"/>
          <w:marRight w:val="0"/>
          <w:marTop w:val="0"/>
          <w:marBottom w:val="0"/>
          <w:divBdr>
            <w:top w:val="none" w:sz="0" w:space="0" w:color="auto"/>
            <w:left w:val="none" w:sz="0" w:space="0" w:color="auto"/>
            <w:bottom w:val="none" w:sz="0" w:space="0" w:color="auto"/>
            <w:right w:val="none" w:sz="0" w:space="0" w:color="auto"/>
          </w:divBdr>
        </w:div>
        <w:div w:id="791679947">
          <w:marLeft w:val="274"/>
          <w:marRight w:val="0"/>
          <w:marTop w:val="0"/>
          <w:marBottom w:val="0"/>
          <w:divBdr>
            <w:top w:val="none" w:sz="0" w:space="0" w:color="auto"/>
            <w:left w:val="none" w:sz="0" w:space="0" w:color="auto"/>
            <w:bottom w:val="none" w:sz="0" w:space="0" w:color="auto"/>
            <w:right w:val="none" w:sz="0" w:space="0" w:color="auto"/>
          </w:divBdr>
        </w:div>
        <w:div w:id="1285427296">
          <w:marLeft w:val="274"/>
          <w:marRight w:val="0"/>
          <w:marTop w:val="0"/>
          <w:marBottom w:val="0"/>
          <w:divBdr>
            <w:top w:val="none" w:sz="0" w:space="0" w:color="auto"/>
            <w:left w:val="none" w:sz="0" w:space="0" w:color="auto"/>
            <w:bottom w:val="none" w:sz="0" w:space="0" w:color="auto"/>
            <w:right w:val="none" w:sz="0" w:space="0" w:color="auto"/>
          </w:divBdr>
        </w:div>
        <w:div w:id="1313756276">
          <w:marLeft w:val="274"/>
          <w:marRight w:val="0"/>
          <w:marTop w:val="0"/>
          <w:marBottom w:val="0"/>
          <w:divBdr>
            <w:top w:val="none" w:sz="0" w:space="0" w:color="auto"/>
            <w:left w:val="none" w:sz="0" w:space="0" w:color="auto"/>
            <w:bottom w:val="none" w:sz="0" w:space="0" w:color="auto"/>
            <w:right w:val="none" w:sz="0" w:space="0" w:color="auto"/>
          </w:divBdr>
        </w:div>
        <w:div w:id="1331912950">
          <w:marLeft w:val="274"/>
          <w:marRight w:val="0"/>
          <w:marTop w:val="0"/>
          <w:marBottom w:val="0"/>
          <w:divBdr>
            <w:top w:val="none" w:sz="0" w:space="0" w:color="auto"/>
            <w:left w:val="none" w:sz="0" w:space="0" w:color="auto"/>
            <w:bottom w:val="none" w:sz="0" w:space="0" w:color="auto"/>
            <w:right w:val="none" w:sz="0" w:space="0" w:color="auto"/>
          </w:divBdr>
        </w:div>
        <w:div w:id="1493986376">
          <w:marLeft w:val="274"/>
          <w:marRight w:val="0"/>
          <w:marTop w:val="0"/>
          <w:marBottom w:val="0"/>
          <w:divBdr>
            <w:top w:val="none" w:sz="0" w:space="0" w:color="auto"/>
            <w:left w:val="none" w:sz="0" w:space="0" w:color="auto"/>
            <w:bottom w:val="none" w:sz="0" w:space="0" w:color="auto"/>
            <w:right w:val="none" w:sz="0" w:space="0" w:color="auto"/>
          </w:divBdr>
        </w:div>
        <w:div w:id="1734232754">
          <w:marLeft w:val="274"/>
          <w:marRight w:val="0"/>
          <w:marTop w:val="0"/>
          <w:marBottom w:val="0"/>
          <w:divBdr>
            <w:top w:val="none" w:sz="0" w:space="0" w:color="auto"/>
            <w:left w:val="none" w:sz="0" w:space="0" w:color="auto"/>
            <w:bottom w:val="none" w:sz="0" w:space="0" w:color="auto"/>
            <w:right w:val="none" w:sz="0" w:space="0" w:color="auto"/>
          </w:divBdr>
        </w:div>
        <w:div w:id="2049526748">
          <w:marLeft w:val="274"/>
          <w:marRight w:val="0"/>
          <w:marTop w:val="0"/>
          <w:marBottom w:val="0"/>
          <w:divBdr>
            <w:top w:val="none" w:sz="0" w:space="0" w:color="auto"/>
            <w:left w:val="none" w:sz="0" w:space="0" w:color="auto"/>
            <w:bottom w:val="none" w:sz="0" w:space="0" w:color="auto"/>
            <w:right w:val="none" w:sz="0" w:space="0" w:color="auto"/>
          </w:divBdr>
        </w:div>
      </w:divsChild>
    </w:div>
    <w:div w:id="1556039965">
      <w:bodyDiv w:val="1"/>
      <w:marLeft w:val="0"/>
      <w:marRight w:val="0"/>
      <w:marTop w:val="0"/>
      <w:marBottom w:val="0"/>
      <w:divBdr>
        <w:top w:val="none" w:sz="0" w:space="0" w:color="auto"/>
        <w:left w:val="none" w:sz="0" w:space="0" w:color="auto"/>
        <w:bottom w:val="none" w:sz="0" w:space="0" w:color="auto"/>
        <w:right w:val="none" w:sz="0" w:space="0" w:color="auto"/>
      </w:divBdr>
      <w:divsChild>
        <w:div w:id="131942758">
          <w:marLeft w:val="562"/>
          <w:marRight w:val="0"/>
          <w:marTop w:val="0"/>
          <w:marBottom w:val="0"/>
          <w:divBdr>
            <w:top w:val="none" w:sz="0" w:space="0" w:color="auto"/>
            <w:left w:val="none" w:sz="0" w:space="0" w:color="auto"/>
            <w:bottom w:val="none" w:sz="0" w:space="0" w:color="auto"/>
            <w:right w:val="none" w:sz="0" w:space="0" w:color="auto"/>
          </w:divBdr>
        </w:div>
      </w:divsChild>
    </w:div>
    <w:div w:id="1577399673">
      <w:bodyDiv w:val="1"/>
      <w:marLeft w:val="0"/>
      <w:marRight w:val="0"/>
      <w:marTop w:val="0"/>
      <w:marBottom w:val="0"/>
      <w:divBdr>
        <w:top w:val="none" w:sz="0" w:space="0" w:color="auto"/>
        <w:left w:val="none" w:sz="0" w:space="0" w:color="auto"/>
        <w:bottom w:val="none" w:sz="0" w:space="0" w:color="auto"/>
        <w:right w:val="none" w:sz="0" w:space="0" w:color="auto"/>
      </w:divBdr>
    </w:div>
    <w:div w:id="1601334436">
      <w:bodyDiv w:val="1"/>
      <w:marLeft w:val="0"/>
      <w:marRight w:val="0"/>
      <w:marTop w:val="0"/>
      <w:marBottom w:val="0"/>
      <w:divBdr>
        <w:top w:val="none" w:sz="0" w:space="0" w:color="auto"/>
        <w:left w:val="none" w:sz="0" w:space="0" w:color="auto"/>
        <w:bottom w:val="none" w:sz="0" w:space="0" w:color="auto"/>
        <w:right w:val="none" w:sz="0" w:space="0" w:color="auto"/>
      </w:divBdr>
    </w:div>
    <w:div w:id="1637024185">
      <w:bodyDiv w:val="1"/>
      <w:marLeft w:val="0"/>
      <w:marRight w:val="0"/>
      <w:marTop w:val="0"/>
      <w:marBottom w:val="0"/>
      <w:divBdr>
        <w:top w:val="none" w:sz="0" w:space="0" w:color="auto"/>
        <w:left w:val="none" w:sz="0" w:space="0" w:color="auto"/>
        <w:bottom w:val="none" w:sz="0" w:space="0" w:color="auto"/>
        <w:right w:val="none" w:sz="0" w:space="0" w:color="auto"/>
      </w:divBdr>
    </w:div>
    <w:div w:id="1663311881">
      <w:bodyDiv w:val="1"/>
      <w:marLeft w:val="0"/>
      <w:marRight w:val="0"/>
      <w:marTop w:val="0"/>
      <w:marBottom w:val="0"/>
      <w:divBdr>
        <w:top w:val="none" w:sz="0" w:space="0" w:color="auto"/>
        <w:left w:val="none" w:sz="0" w:space="0" w:color="auto"/>
        <w:bottom w:val="none" w:sz="0" w:space="0" w:color="auto"/>
        <w:right w:val="none" w:sz="0" w:space="0" w:color="auto"/>
      </w:divBdr>
      <w:divsChild>
        <w:div w:id="109670621">
          <w:marLeft w:val="274"/>
          <w:marRight w:val="0"/>
          <w:marTop w:val="0"/>
          <w:marBottom w:val="0"/>
          <w:divBdr>
            <w:top w:val="none" w:sz="0" w:space="0" w:color="auto"/>
            <w:left w:val="none" w:sz="0" w:space="0" w:color="auto"/>
            <w:bottom w:val="none" w:sz="0" w:space="0" w:color="auto"/>
            <w:right w:val="none" w:sz="0" w:space="0" w:color="auto"/>
          </w:divBdr>
        </w:div>
        <w:div w:id="113257719">
          <w:marLeft w:val="274"/>
          <w:marRight w:val="0"/>
          <w:marTop w:val="0"/>
          <w:marBottom w:val="0"/>
          <w:divBdr>
            <w:top w:val="none" w:sz="0" w:space="0" w:color="auto"/>
            <w:left w:val="none" w:sz="0" w:space="0" w:color="auto"/>
            <w:bottom w:val="none" w:sz="0" w:space="0" w:color="auto"/>
            <w:right w:val="none" w:sz="0" w:space="0" w:color="auto"/>
          </w:divBdr>
        </w:div>
        <w:div w:id="126508010">
          <w:marLeft w:val="274"/>
          <w:marRight w:val="0"/>
          <w:marTop w:val="0"/>
          <w:marBottom w:val="0"/>
          <w:divBdr>
            <w:top w:val="none" w:sz="0" w:space="0" w:color="auto"/>
            <w:left w:val="none" w:sz="0" w:space="0" w:color="auto"/>
            <w:bottom w:val="none" w:sz="0" w:space="0" w:color="auto"/>
            <w:right w:val="none" w:sz="0" w:space="0" w:color="auto"/>
          </w:divBdr>
        </w:div>
        <w:div w:id="607005183">
          <w:marLeft w:val="274"/>
          <w:marRight w:val="0"/>
          <w:marTop w:val="0"/>
          <w:marBottom w:val="0"/>
          <w:divBdr>
            <w:top w:val="none" w:sz="0" w:space="0" w:color="auto"/>
            <w:left w:val="none" w:sz="0" w:space="0" w:color="auto"/>
            <w:bottom w:val="none" w:sz="0" w:space="0" w:color="auto"/>
            <w:right w:val="none" w:sz="0" w:space="0" w:color="auto"/>
          </w:divBdr>
        </w:div>
        <w:div w:id="748384158">
          <w:marLeft w:val="274"/>
          <w:marRight w:val="0"/>
          <w:marTop w:val="0"/>
          <w:marBottom w:val="0"/>
          <w:divBdr>
            <w:top w:val="none" w:sz="0" w:space="0" w:color="auto"/>
            <w:left w:val="none" w:sz="0" w:space="0" w:color="auto"/>
            <w:bottom w:val="none" w:sz="0" w:space="0" w:color="auto"/>
            <w:right w:val="none" w:sz="0" w:space="0" w:color="auto"/>
          </w:divBdr>
        </w:div>
        <w:div w:id="943339363">
          <w:marLeft w:val="274"/>
          <w:marRight w:val="0"/>
          <w:marTop w:val="0"/>
          <w:marBottom w:val="0"/>
          <w:divBdr>
            <w:top w:val="none" w:sz="0" w:space="0" w:color="auto"/>
            <w:left w:val="none" w:sz="0" w:space="0" w:color="auto"/>
            <w:bottom w:val="none" w:sz="0" w:space="0" w:color="auto"/>
            <w:right w:val="none" w:sz="0" w:space="0" w:color="auto"/>
          </w:divBdr>
        </w:div>
        <w:div w:id="1804886625">
          <w:marLeft w:val="274"/>
          <w:marRight w:val="0"/>
          <w:marTop w:val="0"/>
          <w:marBottom w:val="0"/>
          <w:divBdr>
            <w:top w:val="none" w:sz="0" w:space="0" w:color="auto"/>
            <w:left w:val="none" w:sz="0" w:space="0" w:color="auto"/>
            <w:bottom w:val="none" w:sz="0" w:space="0" w:color="auto"/>
            <w:right w:val="none" w:sz="0" w:space="0" w:color="auto"/>
          </w:divBdr>
        </w:div>
        <w:div w:id="1989893791">
          <w:marLeft w:val="274"/>
          <w:marRight w:val="0"/>
          <w:marTop w:val="0"/>
          <w:marBottom w:val="0"/>
          <w:divBdr>
            <w:top w:val="none" w:sz="0" w:space="0" w:color="auto"/>
            <w:left w:val="none" w:sz="0" w:space="0" w:color="auto"/>
            <w:bottom w:val="none" w:sz="0" w:space="0" w:color="auto"/>
            <w:right w:val="none" w:sz="0" w:space="0" w:color="auto"/>
          </w:divBdr>
        </w:div>
        <w:div w:id="1996882966">
          <w:marLeft w:val="274"/>
          <w:marRight w:val="0"/>
          <w:marTop w:val="0"/>
          <w:marBottom w:val="0"/>
          <w:divBdr>
            <w:top w:val="none" w:sz="0" w:space="0" w:color="auto"/>
            <w:left w:val="none" w:sz="0" w:space="0" w:color="auto"/>
            <w:bottom w:val="none" w:sz="0" w:space="0" w:color="auto"/>
            <w:right w:val="none" w:sz="0" w:space="0" w:color="auto"/>
          </w:divBdr>
        </w:div>
      </w:divsChild>
    </w:div>
    <w:div w:id="1691566321">
      <w:bodyDiv w:val="1"/>
      <w:marLeft w:val="0"/>
      <w:marRight w:val="0"/>
      <w:marTop w:val="0"/>
      <w:marBottom w:val="0"/>
      <w:divBdr>
        <w:top w:val="none" w:sz="0" w:space="0" w:color="auto"/>
        <w:left w:val="none" w:sz="0" w:space="0" w:color="auto"/>
        <w:bottom w:val="none" w:sz="0" w:space="0" w:color="auto"/>
        <w:right w:val="none" w:sz="0" w:space="0" w:color="auto"/>
      </w:divBdr>
    </w:div>
    <w:div w:id="1703936640">
      <w:bodyDiv w:val="1"/>
      <w:marLeft w:val="0"/>
      <w:marRight w:val="0"/>
      <w:marTop w:val="0"/>
      <w:marBottom w:val="0"/>
      <w:divBdr>
        <w:top w:val="none" w:sz="0" w:space="0" w:color="auto"/>
        <w:left w:val="none" w:sz="0" w:space="0" w:color="auto"/>
        <w:bottom w:val="none" w:sz="0" w:space="0" w:color="auto"/>
        <w:right w:val="none" w:sz="0" w:space="0" w:color="auto"/>
      </w:divBdr>
    </w:div>
    <w:div w:id="1724981096">
      <w:bodyDiv w:val="1"/>
      <w:marLeft w:val="0"/>
      <w:marRight w:val="0"/>
      <w:marTop w:val="0"/>
      <w:marBottom w:val="0"/>
      <w:divBdr>
        <w:top w:val="none" w:sz="0" w:space="0" w:color="auto"/>
        <w:left w:val="none" w:sz="0" w:space="0" w:color="auto"/>
        <w:bottom w:val="none" w:sz="0" w:space="0" w:color="auto"/>
        <w:right w:val="none" w:sz="0" w:space="0" w:color="auto"/>
      </w:divBdr>
    </w:div>
    <w:div w:id="1736274984">
      <w:bodyDiv w:val="1"/>
      <w:marLeft w:val="0"/>
      <w:marRight w:val="0"/>
      <w:marTop w:val="0"/>
      <w:marBottom w:val="0"/>
      <w:divBdr>
        <w:top w:val="none" w:sz="0" w:space="0" w:color="auto"/>
        <w:left w:val="none" w:sz="0" w:space="0" w:color="auto"/>
        <w:bottom w:val="none" w:sz="0" w:space="0" w:color="auto"/>
        <w:right w:val="none" w:sz="0" w:space="0" w:color="auto"/>
      </w:divBdr>
      <w:divsChild>
        <w:div w:id="243615735">
          <w:marLeft w:val="720"/>
          <w:marRight w:val="0"/>
          <w:marTop w:val="40"/>
          <w:marBottom w:val="0"/>
          <w:divBdr>
            <w:top w:val="none" w:sz="0" w:space="0" w:color="auto"/>
            <w:left w:val="none" w:sz="0" w:space="0" w:color="auto"/>
            <w:bottom w:val="none" w:sz="0" w:space="0" w:color="auto"/>
            <w:right w:val="none" w:sz="0" w:space="0" w:color="auto"/>
          </w:divBdr>
        </w:div>
        <w:div w:id="1149325059">
          <w:marLeft w:val="720"/>
          <w:marRight w:val="0"/>
          <w:marTop w:val="40"/>
          <w:marBottom w:val="0"/>
          <w:divBdr>
            <w:top w:val="none" w:sz="0" w:space="0" w:color="auto"/>
            <w:left w:val="none" w:sz="0" w:space="0" w:color="auto"/>
            <w:bottom w:val="none" w:sz="0" w:space="0" w:color="auto"/>
            <w:right w:val="none" w:sz="0" w:space="0" w:color="auto"/>
          </w:divBdr>
        </w:div>
        <w:div w:id="1264680229">
          <w:marLeft w:val="720"/>
          <w:marRight w:val="0"/>
          <w:marTop w:val="40"/>
          <w:marBottom w:val="0"/>
          <w:divBdr>
            <w:top w:val="none" w:sz="0" w:space="0" w:color="auto"/>
            <w:left w:val="none" w:sz="0" w:space="0" w:color="auto"/>
            <w:bottom w:val="none" w:sz="0" w:space="0" w:color="auto"/>
            <w:right w:val="none" w:sz="0" w:space="0" w:color="auto"/>
          </w:divBdr>
        </w:div>
        <w:div w:id="1704669288">
          <w:marLeft w:val="720"/>
          <w:marRight w:val="0"/>
          <w:marTop w:val="40"/>
          <w:marBottom w:val="0"/>
          <w:divBdr>
            <w:top w:val="none" w:sz="0" w:space="0" w:color="auto"/>
            <w:left w:val="none" w:sz="0" w:space="0" w:color="auto"/>
            <w:bottom w:val="none" w:sz="0" w:space="0" w:color="auto"/>
            <w:right w:val="none" w:sz="0" w:space="0" w:color="auto"/>
          </w:divBdr>
        </w:div>
        <w:div w:id="1857188547">
          <w:marLeft w:val="720"/>
          <w:marRight w:val="0"/>
          <w:marTop w:val="40"/>
          <w:marBottom w:val="0"/>
          <w:divBdr>
            <w:top w:val="none" w:sz="0" w:space="0" w:color="auto"/>
            <w:left w:val="none" w:sz="0" w:space="0" w:color="auto"/>
            <w:bottom w:val="none" w:sz="0" w:space="0" w:color="auto"/>
            <w:right w:val="none" w:sz="0" w:space="0" w:color="auto"/>
          </w:divBdr>
        </w:div>
      </w:divsChild>
    </w:div>
    <w:div w:id="1753432818">
      <w:bodyDiv w:val="1"/>
      <w:marLeft w:val="0"/>
      <w:marRight w:val="0"/>
      <w:marTop w:val="0"/>
      <w:marBottom w:val="0"/>
      <w:divBdr>
        <w:top w:val="none" w:sz="0" w:space="0" w:color="auto"/>
        <w:left w:val="none" w:sz="0" w:space="0" w:color="auto"/>
        <w:bottom w:val="none" w:sz="0" w:space="0" w:color="auto"/>
        <w:right w:val="none" w:sz="0" w:space="0" w:color="auto"/>
      </w:divBdr>
    </w:div>
    <w:div w:id="1762406385">
      <w:bodyDiv w:val="1"/>
      <w:marLeft w:val="0"/>
      <w:marRight w:val="0"/>
      <w:marTop w:val="0"/>
      <w:marBottom w:val="0"/>
      <w:divBdr>
        <w:top w:val="none" w:sz="0" w:space="0" w:color="auto"/>
        <w:left w:val="none" w:sz="0" w:space="0" w:color="auto"/>
        <w:bottom w:val="none" w:sz="0" w:space="0" w:color="auto"/>
        <w:right w:val="none" w:sz="0" w:space="0" w:color="auto"/>
      </w:divBdr>
    </w:div>
    <w:div w:id="1819228860">
      <w:bodyDiv w:val="1"/>
      <w:marLeft w:val="0"/>
      <w:marRight w:val="0"/>
      <w:marTop w:val="0"/>
      <w:marBottom w:val="0"/>
      <w:divBdr>
        <w:top w:val="none" w:sz="0" w:space="0" w:color="auto"/>
        <w:left w:val="none" w:sz="0" w:space="0" w:color="auto"/>
        <w:bottom w:val="none" w:sz="0" w:space="0" w:color="auto"/>
        <w:right w:val="none" w:sz="0" w:space="0" w:color="auto"/>
      </w:divBdr>
    </w:div>
    <w:div w:id="1825244041">
      <w:bodyDiv w:val="1"/>
      <w:marLeft w:val="0"/>
      <w:marRight w:val="0"/>
      <w:marTop w:val="0"/>
      <w:marBottom w:val="0"/>
      <w:divBdr>
        <w:top w:val="none" w:sz="0" w:space="0" w:color="auto"/>
        <w:left w:val="none" w:sz="0" w:space="0" w:color="auto"/>
        <w:bottom w:val="none" w:sz="0" w:space="0" w:color="auto"/>
        <w:right w:val="none" w:sz="0" w:space="0" w:color="auto"/>
      </w:divBdr>
    </w:div>
    <w:div w:id="1837378307">
      <w:bodyDiv w:val="1"/>
      <w:marLeft w:val="0"/>
      <w:marRight w:val="0"/>
      <w:marTop w:val="0"/>
      <w:marBottom w:val="0"/>
      <w:divBdr>
        <w:top w:val="none" w:sz="0" w:space="0" w:color="auto"/>
        <w:left w:val="none" w:sz="0" w:space="0" w:color="auto"/>
        <w:bottom w:val="none" w:sz="0" w:space="0" w:color="auto"/>
        <w:right w:val="none" w:sz="0" w:space="0" w:color="auto"/>
      </w:divBdr>
    </w:div>
    <w:div w:id="1857112947">
      <w:bodyDiv w:val="1"/>
      <w:marLeft w:val="0"/>
      <w:marRight w:val="0"/>
      <w:marTop w:val="0"/>
      <w:marBottom w:val="0"/>
      <w:divBdr>
        <w:top w:val="none" w:sz="0" w:space="0" w:color="auto"/>
        <w:left w:val="none" w:sz="0" w:space="0" w:color="auto"/>
        <w:bottom w:val="none" w:sz="0" w:space="0" w:color="auto"/>
        <w:right w:val="none" w:sz="0" w:space="0" w:color="auto"/>
      </w:divBdr>
    </w:div>
    <w:div w:id="1858884676">
      <w:bodyDiv w:val="1"/>
      <w:marLeft w:val="0"/>
      <w:marRight w:val="0"/>
      <w:marTop w:val="0"/>
      <w:marBottom w:val="0"/>
      <w:divBdr>
        <w:top w:val="none" w:sz="0" w:space="0" w:color="auto"/>
        <w:left w:val="none" w:sz="0" w:space="0" w:color="auto"/>
        <w:bottom w:val="none" w:sz="0" w:space="0" w:color="auto"/>
        <w:right w:val="none" w:sz="0" w:space="0" w:color="auto"/>
      </w:divBdr>
      <w:divsChild>
        <w:div w:id="67582187">
          <w:marLeft w:val="274"/>
          <w:marRight w:val="0"/>
          <w:marTop w:val="0"/>
          <w:marBottom w:val="0"/>
          <w:divBdr>
            <w:top w:val="none" w:sz="0" w:space="0" w:color="auto"/>
            <w:left w:val="none" w:sz="0" w:space="0" w:color="auto"/>
            <w:bottom w:val="none" w:sz="0" w:space="0" w:color="auto"/>
            <w:right w:val="none" w:sz="0" w:space="0" w:color="auto"/>
          </w:divBdr>
        </w:div>
        <w:div w:id="419909606">
          <w:marLeft w:val="274"/>
          <w:marRight w:val="0"/>
          <w:marTop w:val="0"/>
          <w:marBottom w:val="0"/>
          <w:divBdr>
            <w:top w:val="none" w:sz="0" w:space="0" w:color="auto"/>
            <w:left w:val="none" w:sz="0" w:space="0" w:color="auto"/>
            <w:bottom w:val="none" w:sz="0" w:space="0" w:color="auto"/>
            <w:right w:val="none" w:sz="0" w:space="0" w:color="auto"/>
          </w:divBdr>
        </w:div>
        <w:div w:id="644702479">
          <w:marLeft w:val="274"/>
          <w:marRight w:val="0"/>
          <w:marTop w:val="0"/>
          <w:marBottom w:val="0"/>
          <w:divBdr>
            <w:top w:val="none" w:sz="0" w:space="0" w:color="auto"/>
            <w:left w:val="none" w:sz="0" w:space="0" w:color="auto"/>
            <w:bottom w:val="none" w:sz="0" w:space="0" w:color="auto"/>
            <w:right w:val="none" w:sz="0" w:space="0" w:color="auto"/>
          </w:divBdr>
        </w:div>
        <w:div w:id="698507723">
          <w:marLeft w:val="274"/>
          <w:marRight w:val="0"/>
          <w:marTop w:val="0"/>
          <w:marBottom w:val="0"/>
          <w:divBdr>
            <w:top w:val="none" w:sz="0" w:space="0" w:color="auto"/>
            <w:left w:val="none" w:sz="0" w:space="0" w:color="auto"/>
            <w:bottom w:val="none" w:sz="0" w:space="0" w:color="auto"/>
            <w:right w:val="none" w:sz="0" w:space="0" w:color="auto"/>
          </w:divBdr>
        </w:div>
        <w:div w:id="803231208">
          <w:marLeft w:val="274"/>
          <w:marRight w:val="0"/>
          <w:marTop w:val="0"/>
          <w:marBottom w:val="0"/>
          <w:divBdr>
            <w:top w:val="none" w:sz="0" w:space="0" w:color="auto"/>
            <w:left w:val="none" w:sz="0" w:space="0" w:color="auto"/>
            <w:bottom w:val="none" w:sz="0" w:space="0" w:color="auto"/>
            <w:right w:val="none" w:sz="0" w:space="0" w:color="auto"/>
          </w:divBdr>
        </w:div>
        <w:div w:id="827404748">
          <w:marLeft w:val="274"/>
          <w:marRight w:val="0"/>
          <w:marTop w:val="0"/>
          <w:marBottom w:val="0"/>
          <w:divBdr>
            <w:top w:val="none" w:sz="0" w:space="0" w:color="auto"/>
            <w:left w:val="none" w:sz="0" w:space="0" w:color="auto"/>
            <w:bottom w:val="none" w:sz="0" w:space="0" w:color="auto"/>
            <w:right w:val="none" w:sz="0" w:space="0" w:color="auto"/>
          </w:divBdr>
        </w:div>
        <w:div w:id="832767006">
          <w:marLeft w:val="274"/>
          <w:marRight w:val="0"/>
          <w:marTop w:val="0"/>
          <w:marBottom w:val="0"/>
          <w:divBdr>
            <w:top w:val="none" w:sz="0" w:space="0" w:color="auto"/>
            <w:left w:val="none" w:sz="0" w:space="0" w:color="auto"/>
            <w:bottom w:val="none" w:sz="0" w:space="0" w:color="auto"/>
            <w:right w:val="none" w:sz="0" w:space="0" w:color="auto"/>
          </w:divBdr>
        </w:div>
        <w:div w:id="1163550527">
          <w:marLeft w:val="274"/>
          <w:marRight w:val="0"/>
          <w:marTop w:val="0"/>
          <w:marBottom w:val="0"/>
          <w:divBdr>
            <w:top w:val="none" w:sz="0" w:space="0" w:color="auto"/>
            <w:left w:val="none" w:sz="0" w:space="0" w:color="auto"/>
            <w:bottom w:val="none" w:sz="0" w:space="0" w:color="auto"/>
            <w:right w:val="none" w:sz="0" w:space="0" w:color="auto"/>
          </w:divBdr>
        </w:div>
        <w:div w:id="1432093973">
          <w:marLeft w:val="274"/>
          <w:marRight w:val="0"/>
          <w:marTop w:val="0"/>
          <w:marBottom w:val="0"/>
          <w:divBdr>
            <w:top w:val="none" w:sz="0" w:space="0" w:color="auto"/>
            <w:left w:val="none" w:sz="0" w:space="0" w:color="auto"/>
            <w:bottom w:val="none" w:sz="0" w:space="0" w:color="auto"/>
            <w:right w:val="none" w:sz="0" w:space="0" w:color="auto"/>
          </w:divBdr>
        </w:div>
        <w:div w:id="1442841123">
          <w:marLeft w:val="274"/>
          <w:marRight w:val="0"/>
          <w:marTop w:val="0"/>
          <w:marBottom w:val="0"/>
          <w:divBdr>
            <w:top w:val="none" w:sz="0" w:space="0" w:color="auto"/>
            <w:left w:val="none" w:sz="0" w:space="0" w:color="auto"/>
            <w:bottom w:val="none" w:sz="0" w:space="0" w:color="auto"/>
            <w:right w:val="none" w:sz="0" w:space="0" w:color="auto"/>
          </w:divBdr>
        </w:div>
        <w:div w:id="1538548381">
          <w:marLeft w:val="274"/>
          <w:marRight w:val="0"/>
          <w:marTop w:val="0"/>
          <w:marBottom w:val="0"/>
          <w:divBdr>
            <w:top w:val="none" w:sz="0" w:space="0" w:color="auto"/>
            <w:left w:val="none" w:sz="0" w:space="0" w:color="auto"/>
            <w:bottom w:val="none" w:sz="0" w:space="0" w:color="auto"/>
            <w:right w:val="none" w:sz="0" w:space="0" w:color="auto"/>
          </w:divBdr>
        </w:div>
        <w:div w:id="1839690201">
          <w:marLeft w:val="274"/>
          <w:marRight w:val="0"/>
          <w:marTop w:val="0"/>
          <w:marBottom w:val="0"/>
          <w:divBdr>
            <w:top w:val="none" w:sz="0" w:space="0" w:color="auto"/>
            <w:left w:val="none" w:sz="0" w:space="0" w:color="auto"/>
            <w:bottom w:val="none" w:sz="0" w:space="0" w:color="auto"/>
            <w:right w:val="none" w:sz="0" w:space="0" w:color="auto"/>
          </w:divBdr>
        </w:div>
        <w:div w:id="1859780689">
          <w:marLeft w:val="274"/>
          <w:marRight w:val="0"/>
          <w:marTop w:val="0"/>
          <w:marBottom w:val="0"/>
          <w:divBdr>
            <w:top w:val="none" w:sz="0" w:space="0" w:color="auto"/>
            <w:left w:val="none" w:sz="0" w:space="0" w:color="auto"/>
            <w:bottom w:val="none" w:sz="0" w:space="0" w:color="auto"/>
            <w:right w:val="none" w:sz="0" w:space="0" w:color="auto"/>
          </w:divBdr>
        </w:div>
        <w:div w:id="1917276208">
          <w:marLeft w:val="274"/>
          <w:marRight w:val="0"/>
          <w:marTop w:val="0"/>
          <w:marBottom w:val="0"/>
          <w:divBdr>
            <w:top w:val="none" w:sz="0" w:space="0" w:color="auto"/>
            <w:left w:val="none" w:sz="0" w:space="0" w:color="auto"/>
            <w:bottom w:val="none" w:sz="0" w:space="0" w:color="auto"/>
            <w:right w:val="none" w:sz="0" w:space="0" w:color="auto"/>
          </w:divBdr>
        </w:div>
        <w:div w:id="1949311162">
          <w:marLeft w:val="274"/>
          <w:marRight w:val="0"/>
          <w:marTop w:val="0"/>
          <w:marBottom w:val="0"/>
          <w:divBdr>
            <w:top w:val="none" w:sz="0" w:space="0" w:color="auto"/>
            <w:left w:val="none" w:sz="0" w:space="0" w:color="auto"/>
            <w:bottom w:val="none" w:sz="0" w:space="0" w:color="auto"/>
            <w:right w:val="none" w:sz="0" w:space="0" w:color="auto"/>
          </w:divBdr>
        </w:div>
      </w:divsChild>
    </w:div>
    <w:div w:id="1874922871">
      <w:bodyDiv w:val="1"/>
      <w:marLeft w:val="0"/>
      <w:marRight w:val="0"/>
      <w:marTop w:val="0"/>
      <w:marBottom w:val="0"/>
      <w:divBdr>
        <w:top w:val="none" w:sz="0" w:space="0" w:color="auto"/>
        <w:left w:val="none" w:sz="0" w:space="0" w:color="auto"/>
        <w:bottom w:val="none" w:sz="0" w:space="0" w:color="auto"/>
        <w:right w:val="none" w:sz="0" w:space="0" w:color="auto"/>
      </w:divBdr>
      <w:divsChild>
        <w:div w:id="1719744275">
          <w:marLeft w:val="274"/>
          <w:marRight w:val="0"/>
          <w:marTop w:val="0"/>
          <w:marBottom w:val="0"/>
          <w:divBdr>
            <w:top w:val="none" w:sz="0" w:space="0" w:color="auto"/>
            <w:left w:val="none" w:sz="0" w:space="0" w:color="auto"/>
            <w:bottom w:val="none" w:sz="0" w:space="0" w:color="auto"/>
            <w:right w:val="none" w:sz="0" w:space="0" w:color="auto"/>
          </w:divBdr>
        </w:div>
      </w:divsChild>
    </w:div>
    <w:div w:id="1891723723">
      <w:bodyDiv w:val="1"/>
      <w:marLeft w:val="0"/>
      <w:marRight w:val="0"/>
      <w:marTop w:val="0"/>
      <w:marBottom w:val="0"/>
      <w:divBdr>
        <w:top w:val="none" w:sz="0" w:space="0" w:color="auto"/>
        <w:left w:val="none" w:sz="0" w:space="0" w:color="auto"/>
        <w:bottom w:val="none" w:sz="0" w:space="0" w:color="auto"/>
        <w:right w:val="none" w:sz="0" w:space="0" w:color="auto"/>
      </w:divBdr>
      <w:divsChild>
        <w:div w:id="89393434">
          <w:marLeft w:val="274"/>
          <w:marRight w:val="0"/>
          <w:marTop w:val="0"/>
          <w:marBottom w:val="0"/>
          <w:divBdr>
            <w:top w:val="none" w:sz="0" w:space="0" w:color="auto"/>
            <w:left w:val="none" w:sz="0" w:space="0" w:color="auto"/>
            <w:bottom w:val="none" w:sz="0" w:space="0" w:color="auto"/>
            <w:right w:val="none" w:sz="0" w:space="0" w:color="auto"/>
          </w:divBdr>
        </w:div>
        <w:div w:id="89393853">
          <w:marLeft w:val="274"/>
          <w:marRight w:val="0"/>
          <w:marTop w:val="0"/>
          <w:marBottom w:val="0"/>
          <w:divBdr>
            <w:top w:val="none" w:sz="0" w:space="0" w:color="auto"/>
            <w:left w:val="none" w:sz="0" w:space="0" w:color="auto"/>
            <w:bottom w:val="none" w:sz="0" w:space="0" w:color="auto"/>
            <w:right w:val="none" w:sz="0" w:space="0" w:color="auto"/>
          </w:divBdr>
        </w:div>
        <w:div w:id="402143650">
          <w:marLeft w:val="274"/>
          <w:marRight w:val="0"/>
          <w:marTop w:val="0"/>
          <w:marBottom w:val="0"/>
          <w:divBdr>
            <w:top w:val="none" w:sz="0" w:space="0" w:color="auto"/>
            <w:left w:val="none" w:sz="0" w:space="0" w:color="auto"/>
            <w:bottom w:val="none" w:sz="0" w:space="0" w:color="auto"/>
            <w:right w:val="none" w:sz="0" w:space="0" w:color="auto"/>
          </w:divBdr>
        </w:div>
        <w:div w:id="553201730">
          <w:marLeft w:val="274"/>
          <w:marRight w:val="0"/>
          <w:marTop w:val="0"/>
          <w:marBottom w:val="0"/>
          <w:divBdr>
            <w:top w:val="none" w:sz="0" w:space="0" w:color="auto"/>
            <w:left w:val="none" w:sz="0" w:space="0" w:color="auto"/>
            <w:bottom w:val="none" w:sz="0" w:space="0" w:color="auto"/>
            <w:right w:val="none" w:sz="0" w:space="0" w:color="auto"/>
          </w:divBdr>
        </w:div>
        <w:div w:id="939139981">
          <w:marLeft w:val="274"/>
          <w:marRight w:val="0"/>
          <w:marTop w:val="0"/>
          <w:marBottom w:val="0"/>
          <w:divBdr>
            <w:top w:val="none" w:sz="0" w:space="0" w:color="auto"/>
            <w:left w:val="none" w:sz="0" w:space="0" w:color="auto"/>
            <w:bottom w:val="none" w:sz="0" w:space="0" w:color="auto"/>
            <w:right w:val="none" w:sz="0" w:space="0" w:color="auto"/>
          </w:divBdr>
        </w:div>
        <w:div w:id="1113744440">
          <w:marLeft w:val="274"/>
          <w:marRight w:val="0"/>
          <w:marTop w:val="0"/>
          <w:marBottom w:val="0"/>
          <w:divBdr>
            <w:top w:val="none" w:sz="0" w:space="0" w:color="auto"/>
            <w:left w:val="none" w:sz="0" w:space="0" w:color="auto"/>
            <w:bottom w:val="none" w:sz="0" w:space="0" w:color="auto"/>
            <w:right w:val="none" w:sz="0" w:space="0" w:color="auto"/>
          </w:divBdr>
        </w:div>
        <w:div w:id="1375036807">
          <w:marLeft w:val="274"/>
          <w:marRight w:val="0"/>
          <w:marTop w:val="0"/>
          <w:marBottom w:val="0"/>
          <w:divBdr>
            <w:top w:val="none" w:sz="0" w:space="0" w:color="auto"/>
            <w:left w:val="none" w:sz="0" w:space="0" w:color="auto"/>
            <w:bottom w:val="none" w:sz="0" w:space="0" w:color="auto"/>
            <w:right w:val="none" w:sz="0" w:space="0" w:color="auto"/>
          </w:divBdr>
        </w:div>
        <w:div w:id="1468551785">
          <w:marLeft w:val="274"/>
          <w:marRight w:val="0"/>
          <w:marTop w:val="0"/>
          <w:marBottom w:val="0"/>
          <w:divBdr>
            <w:top w:val="none" w:sz="0" w:space="0" w:color="auto"/>
            <w:left w:val="none" w:sz="0" w:space="0" w:color="auto"/>
            <w:bottom w:val="none" w:sz="0" w:space="0" w:color="auto"/>
            <w:right w:val="none" w:sz="0" w:space="0" w:color="auto"/>
          </w:divBdr>
        </w:div>
        <w:div w:id="1746799595">
          <w:marLeft w:val="274"/>
          <w:marRight w:val="0"/>
          <w:marTop w:val="0"/>
          <w:marBottom w:val="0"/>
          <w:divBdr>
            <w:top w:val="none" w:sz="0" w:space="0" w:color="auto"/>
            <w:left w:val="none" w:sz="0" w:space="0" w:color="auto"/>
            <w:bottom w:val="none" w:sz="0" w:space="0" w:color="auto"/>
            <w:right w:val="none" w:sz="0" w:space="0" w:color="auto"/>
          </w:divBdr>
        </w:div>
        <w:div w:id="1801075251">
          <w:marLeft w:val="274"/>
          <w:marRight w:val="0"/>
          <w:marTop w:val="0"/>
          <w:marBottom w:val="0"/>
          <w:divBdr>
            <w:top w:val="none" w:sz="0" w:space="0" w:color="auto"/>
            <w:left w:val="none" w:sz="0" w:space="0" w:color="auto"/>
            <w:bottom w:val="none" w:sz="0" w:space="0" w:color="auto"/>
            <w:right w:val="none" w:sz="0" w:space="0" w:color="auto"/>
          </w:divBdr>
        </w:div>
        <w:div w:id="1805073366">
          <w:marLeft w:val="274"/>
          <w:marRight w:val="0"/>
          <w:marTop w:val="0"/>
          <w:marBottom w:val="0"/>
          <w:divBdr>
            <w:top w:val="none" w:sz="0" w:space="0" w:color="auto"/>
            <w:left w:val="none" w:sz="0" w:space="0" w:color="auto"/>
            <w:bottom w:val="none" w:sz="0" w:space="0" w:color="auto"/>
            <w:right w:val="none" w:sz="0" w:space="0" w:color="auto"/>
          </w:divBdr>
        </w:div>
        <w:div w:id="1925216802">
          <w:marLeft w:val="274"/>
          <w:marRight w:val="0"/>
          <w:marTop w:val="0"/>
          <w:marBottom w:val="0"/>
          <w:divBdr>
            <w:top w:val="none" w:sz="0" w:space="0" w:color="auto"/>
            <w:left w:val="none" w:sz="0" w:space="0" w:color="auto"/>
            <w:bottom w:val="none" w:sz="0" w:space="0" w:color="auto"/>
            <w:right w:val="none" w:sz="0" w:space="0" w:color="auto"/>
          </w:divBdr>
        </w:div>
        <w:div w:id="1977834968">
          <w:marLeft w:val="274"/>
          <w:marRight w:val="0"/>
          <w:marTop w:val="0"/>
          <w:marBottom w:val="0"/>
          <w:divBdr>
            <w:top w:val="none" w:sz="0" w:space="0" w:color="auto"/>
            <w:left w:val="none" w:sz="0" w:space="0" w:color="auto"/>
            <w:bottom w:val="none" w:sz="0" w:space="0" w:color="auto"/>
            <w:right w:val="none" w:sz="0" w:space="0" w:color="auto"/>
          </w:divBdr>
        </w:div>
        <w:div w:id="2122187534">
          <w:marLeft w:val="274"/>
          <w:marRight w:val="0"/>
          <w:marTop w:val="0"/>
          <w:marBottom w:val="0"/>
          <w:divBdr>
            <w:top w:val="none" w:sz="0" w:space="0" w:color="auto"/>
            <w:left w:val="none" w:sz="0" w:space="0" w:color="auto"/>
            <w:bottom w:val="none" w:sz="0" w:space="0" w:color="auto"/>
            <w:right w:val="none" w:sz="0" w:space="0" w:color="auto"/>
          </w:divBdr>
        </w:div>
        <w:div w:id="2135051586">
          <w:marLeft w:val="274"/>
          <w:marRight w:val="0"/>
          <w:marTop w:val="0"/>
          <w:marBottom w:val="0"/>
          <w:divBdr>
            <w:top w:val="none" w:sz="0" w:space="0" w:color="auto"/>
            <w:left w:val="none" w:sz="0" w:space="0" w:color="auto"/>
            <w:bottom w:val="none" w:sz="0" w:space="0" w:color="auto"/>
            <w:right w:val="none" w:sz="0" w:space="0" w:color="auto"/>
          </w:divBdr>
        </w:div>
      </w:divsChild>
    </w:div>
    <w:div w:id="1897275059">
      <w:bodyDiv w:val="1"/>
      <w:marLeft w:val="0"/>
      <w:marRight w:val="0"/>
      <w:marTop w:val="0"/>
      <w:marBottom w:val="0"/>
      <w:divBdr>
        <w:top w:val="none" w:sz="0" w:space="0" w:color="auto"/>
        <w:left w:val="none" w:sz="0" w:space="0" w:color="auto"/>
        <w:bottom w:val="none" w:sz="0" w:space="0" w:color="auto"/>
        <w:right w:val="none" w:sz="0" w:space="0" w:color="auto"/>
      </w:divBdr>
    </w:div>
    <w:div w:id="1931304621">
      <w:bodyDiv w:val="1"/>
      <w:marLeft w:val="0"/>
      <w:marRight w:val="0"/>
      <w:marTop w:val="0"/>
      <w:marBottom w:val="0"/>
      <w:divBdr>
        <w:top w:val="none" w:sz="0" w:space="0" w:color="auto"/>
        <w:left w:val="none" w:sz="0" w:space="0" w:color="auto"/>
        <w:bottom w:val="none" w:sz="0" w:space="0" w:color="auto"/>
        <w:right w:val="none" w:sz="0" w:space="0" w:color="auto"/>
      </w:divBdr>
    </w:div>
    <w:div w:id="1956214217">
      <w:bodyDiv w:val="1"/>
      <w:marLeft w:val="0"/>
      <w:marRight w:val="0"/>
      <w:marTop w:val="0"/>
      <w:marBottom w:val="0"/>
      <w:divBdr>
        <w:top w:val="none" w:sz="0" w:space="0" w:color="auto"/>
        <w:left w:val="none" w:sz="0" w:space="0" w:color="auto"/>
        <w:bottom w:val="none" w:sz="0" w:space="0" w:color="auto"/>
        <w:right w:val="none" w:sz="0" w:space="0" w:color="auto"/>
      </w:divBdr>
    </w:div>
    <w:div w:id="1959293596">
      <w:bodyDiv w:val="1"/>
      <w:marLeft w:val="0"/>
      <w:marRight w:val="0"/>
      <w:marTop w:val="0"/>
      <w:marBottom w:val="0"/>
      <w:divBdr>
        <w:top w:val="none" w:sz="0" w:space="0" w:color="auto"/>
        <w:left w:val="none" w:sz="0" w:space="0" w:color="auto"/>
        <w:bottom w:val="none" w:sz="0" w:space="0" w:color="auto"/>
        <w:right w:val="none" w:sz="0" w:space="0" w:color="auto"/>
      </w:divBdr>
    </w:div>
    <w:div w:id="1964729383">
      <w:bodyDiv w:val="1"/>
      <w:marLeft w:val="0"/>
      <w:marRight w:val="0"/>
      <w:marTop w:val="0"/>
      <w:marBottom w:val="0"/>
      <w:divBdr>
        <w:top w:val="none" w:sz="0" w:space="0" w:color="auto"/>
        <w:left w:val="none" w:sz="0" w:space="0" w:color="auto"/>
        <w:bottom w:val="none" w:sz="0" w:space="0" w:color="auto"/>
        <w:right w:val="none" w:sz="0" w:space="0" w:color="auto"/>
      </w:divBdr>
      <w:divsChild>
        <w:div w:id="295450607">
          <w:marLeft w:val="720"/>
          <w:marRight w:val="0"/>
          <w:marTop w:val="40"/>
          <w:marBottom w:val="0"/>
          <w:divBdr>
            <w:top w:val="none" w:sz="0" w:space="0" w:color="auto"/>
            <w:left w:val="none" w:sz="0" w:space="0" w:color="auto"/>
            <w:bottom w:val="none" w:sz="0" w:space="0" w:color="auto"/>
            <w:right w:val="none" w:sz="0" w:space="0" w:color="auto"/>
          </w:divBdr>
        </w:div>
        <w:div w:id="425662028">
          <w:marLeft w:val="720"/>
          <w:marRight w:val="0"/>
          <w:marTop w:val="40"/>
          <w:marBottom w:val="0"/>
          <w:divBdr>
            <w:top w:val="none" w:sz="0" w:space="0" w:color="auto"/>
            <w:left w:val="none" w:sz="0" w:space="0" w:color="auto"/>
            <w:bottom w:val="none" w:sz="0" w:space="0" w:color="auto"/>
            <w:right w:val="none" w:sz="0" w:space="0" w:color="auto"/>
          </w:divBdr>
        </w:div>
      </w:divsChild>
    </w:div>
    <w:div w:id="2002079368">
      <w:bodyDiv w:val="1"/>
      <w:marLeft w:val="0"/>
      <w:marRight w:val="0"/>
      <w:marTop w:val="0"/>
      <w:marBottom w:val="0"/>
      <w:divBdr>
        <w:top w:val="none" w:sz="0" w:space="0" w:color="auto"/>
        <w:left w:val="none" w:sz="0" w:space="0" w:color="auto"/>
        <w:bottom w:val="none" w:sz="0" w:space="0" w:color="auto"/>
        <w:right w:val="none" w:sz="0" w:space="0" w:color="auto"/>
      </w:divBdr>
      <w:divsChild>
        <w:div w:id="353650746">
          <w:marLeft w:val="274"/>
          <w:marRight w:val="0"/>
          <w:marTop w:val="0"/>
          <w:marBottom w:val="0"/>
          <w:divBdr>
            <w:top w:val="none" w:sz="0" w:space="0" w:color="auto"/>
            <w:left w:val="none" w:sz="0" w:space="0" w:color="auto"/>
            <w:bottom w:val="none" w:sz="0" w:space="0" w:color="auto"/>
            <w:right w:val="none" w:sz="0" w:space="0" w:color="auto"/>
          </w:divBdr>
        </w:div>
      </w:divsChild>
    </w:div>
    <w:div w:id="2003241348">
      <w:bodyDiv w:val="1"/>
      <w:marLeft w:val="0"/>
      <w:marRight w:val="0"/>
      <w:marTop w:val="0"/>
      <w:marBottom w:val="0"/>
      <w:divBdr>
        <w:top w:val="none" w:sz="0" w:space="0" w:color="auto"/>
        <w:left w:val="none" w:sz="0" w:space="0" w:color="auto"/>
        <w:bottom w:val="none" w:sz="0" w:space="0" w:color="auto"/>
        <w:right w:val="none" w:sz="0" w:space="0" w:color="auto"/>
      </w:divBdr>
      <w:divsChild>
        <w:div w:id="251469812">
          <w:marLeft w:val="446"/>
          <w:marRight w:val="0"/>
          <w:marTop w:val="72"/>
          <w:marBottom w:val="0"/>
          <w:divBdr>
            <w:top w:val="none" w:sz="0" w:space="0" w:color="auto"/>
            <w:left w:val="none" w:sz="0" w:space="0" w:color="auto"/>
            <w:bottom w:val="none" w:sz="0" w:space="0" w:color="auto"/>
            <w:right w:val="none" w:sz="0" w:space="0" w:color="auto"/>
          </w:divBdr>
        </w:div>
        <w:div w:id="492838876">
          <w:marLeft w:val="446"/>
          <w:marRight w:val="0"/>
          <w:marTop w:val="72"/>
          <w:marBottom w:val="0"/>
          <w:divBdr>
            <w:top w:val="none" w:sz="0" w:space="0" w:color="auto"/>
            <w:left w:val="none" w:sz="0" w:space="0" w:color="auto"/>
            <w:bottom w:val="none" w:sz="0" w:space="0" w:color="auto"/>
            <w:right w:val="none" w:sz="0" w:space="0" w:color="auto"/>
          </w:divBdr>
        </w:div>
      </w:divsChild>
    </w:div>
    <w:div w:id="2003970743">
      <w:bodyDiv w:val="1"/>
      <w:marLeft w:val="0"/>
      <w:marRight w:val="0"/>
      <w:marTop w:val="0"/>
      <w:marBottom w:val="0"/>
      <w:divBdr>
        <w:top w:val="none" w:sz="0" w:space="0" w:color="auto"/>
        <w:left w:val="none" w:sz="0" w:space="0" w:color="auto"/>
        <w:bottom w:val="none" w:sz="0" w:space="0" w:color="auto"/>
        <w:right w:val="none" w:sz="0" w:space="0" w:color="auto"/>
      </w:divBdr>
    </w:div>
    <w:div w:id="2012636649">
      <w:bodyDiv w:val="1"/>
      <w:marLeft w:val="0"/>
      <w:marRight w:val="0"/>
      <w:marTop w:val="0"/>
      <w:marBottom w:val="0"/>
      <w:divBdr>
        <w:top w:val="none" w:sz="0" w:space="0" w:color="auto"/>
        <w:left w:val="none" w:sz="0" w:space="0" w:color="auto"/>
        <w:bottom w:val="none" w:sz="0" w:space="0" w:color="auto"/>
        <w:right w:val="none" w:sz="0" w:space="0" w:color="auto"/>
      </w:divBdr>
    </w:div>
    <w:div w:id="2031029404">
      <w:bodyDiv w:val="1"/>
      <w:marLeft w:val="0"/>
      <w:marRight w:val="0"/>
      <w:marTop w:val="0"/>
      <w:marBottom w:val="0"/>
      <w:divBdr>
        <w:top w:val="none" w:sz="0" w:space="0" w:color="auto"/>
        <w:left w:val="none" w:sz="0" w:space="0" w:color="auto"/>
        <w:bottom w:val="none" w:sz="0" w:space="0" w:color="auto"/>
        <w:right w:val="none" w:sz="0" w:space="0" w:color="auto"/>
      </w:divBdr>
    </w:div>
    <w:div w:id="2057044096">
      <w:bodyDiv w:val="1"/>
      <w:marLeft w:val="0"/>
      <w:marRight w:val="0"/>
      <w:marTop w:val="0"/>
      <w:marBottom w:val="0"/>
      <w:divBdr>
        <w:top w:val="none" w:sz="0" w:space="0" w:color="auto"/>
        <w:left w:val="none" w:sz="0" w:space="0" w:color="auto"/>
        <w:bottom w:val="none" w:sz="0" w:space="0" w:color="auto"/>
        <w:right w:val="none" w:sz="0" w:space="0" w:color="auto"/>
      </w:divBdr>
    </w:div>
    <w:div w:id="2061635915">
      <w:bodyDiv w:val="1"/>
      <w:marLeft w:val="0"/>
      <w:marRight w:val="0"/>
      <w:marTop w:val="0"/>
      <w:marBottom w:val="0"/>
      <w:divBdr>
        <w:top w:val="none" w:sz="0" w:space="0" w:color="auto"/>
        <w:left w:val="none" w:sz="0" w:space="0" w:color="auto"/>
        <w:bottom w:val="none" w:sz="0" w:space="0" w:color="auto"/>
        <w:right w:val="none" w:sz="0" w:space="0" w:color="auto"/>
      </w:divBdr>
      <w:divsChild>
        <w:div w:id="225266376">
          <w:marLeft w:val="274"/>
          <w:marRight w:val="0"/>
          <w:marTop w:val="0"/>
          <w:marBottom w:val="0"/>
          <w:divBdr>
            <w:top w:val="none" w:sz="0" w:space="0" w:color="auto"/>
            <w:left w:val="none" w:sz="0" w:space="0" w:color="auto"/>
            <w:bottom w:val="none" w:sz="0" w:space="0" w:color="auto"/>
            <w:right w:val="none" w:sz="0" w:space="0" w:color="auto"/>
          </w:divBdr>
        </w:div>
        <w:div w:id="563683954">
          <w:marLeft w:val="274"/>
          <w:marRight w:val="0"/>
          <w:marTop w:val="0"/>
          <w:marBottom w:val="0"/>
          <w:divBdr>
            <w:top w:val="none" w:sz="0" w:space="0" w:color="auto"/>
            <w:left w:val="none" w:sz="0" w:space="0" w:color="auto"/>
            <w:bottom w:val="none" w:sz="0" w:space="0" w:color="auto"/>
            <w:right w:val="none" w:sz="0" w:space="0" w:color="auto"/>
          </w:divBdr>
        </w:div>
        <w:div w:id="1054428079">
          <w:marLeft w:val="446"/>
          <w:marRight w:val="0"/>
          <w:marTop w:val="0"/>
          <w:marBottom w:val="0"/>
          <w:divBdr>
            <w:top w:val="none" w:sz="0" w:space="0" w:color="auto"/>
            <w:left w:val="none" w:sz="0" w:space="0" w:color="auto"/>
            <w:bottom w:val="none" w:sz="0" w:space="0" w:color="auto"/>
            <w:right w:val="none" w:sz="0" w:space="0" w:color="auto"/>
          </w:divBdr>
        </w:div>
        <w:div w:id="1268536840">
          <w:marLeft w:val="274"/>
          <w:marRight w:val="0"/>
          <w:marTop w:val="0"/>
          <w:marBottom w:val="0"/>
          <w:divBdr>
            <w:top w:val="none" w:sz="0" w:space="0" w:color="auto"/>
            <w:left w:val="none" w:sz="0" w:space="0" w:color="auto"/>
            <w:bottom w:val="none" w:sz="0" w:space="0" w:color="auto"/>
            <w:right w:val="none" w:sz="0" w:space="0" w:color="auto"/>
          </w:divBdr>
        </w:div>
        <w:div w:id="1712457536">
          <w:marLeft w:val="446"/>
          <w:marRight w:val="0"/>
          <w:marTop w:val="0"/>
          <w:marBottom w:val="0"/>
          <w:divBdr>
            <w:top w:val="none" w:sz="0" w:space="0" w:color="auto"/>
            <w:left w:val="none" w:sz="0" w:space="0" w:color="auto"/>
            <w:bottom w:val="none" w:sz="0" w:space="0" w:color="auto"/>
            <w:right w:val="none" w:sz="0" w:space="0" w:color="auto"/>
          </w:divBdr>
        </w:div>
        <w:div w:id="1854757511">
          <w:marLeft w:val="274"/>
          <w:marRight w:val="0"/>
          <w:marTop w:val="0"/>
          <w:marBottom w:val="0"/>
          <w:divBdr>
            <w:top w:val="none" w:sz="0" w:space="0" w:color="auto"/>
            <w:left w:val="none" w:sz="0" w:space="0" w:color="auto"/>
            <w:bottom w:val="none" w:sz="0" w:space="0" w:color="auto"/>
            <w:right w:val="none" w:sz="0" w:space="0" w:color="auto"/>
          </w:divBdr>
        </w:div>
        <w:div w:id="2039817565">
          <w:marLeft w:val="274"/>
          <w:marRight w:val="0"/>
          <w:marTop w:val="0"/>
          <w:marBottom w:val="0"/>
          <w:divBdr>
            <w:top w:val="none" w:sz="0" w:space="0" w:color="auto"/>
            <w:left w:val="none" w:sz="0" w:space="0" w:color="auto"/>
            <w:bottom w:val="none" w:sz="0" w:space="0" w:color="auto"/>
            <w:right w:val="none" w:sz="0" w:space="0" w:color="auto"/>
          </w:divBdr>
        </w:div>
      </w:divsChild>
    </w:div>
    <w:div w:id="2145612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8.em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dis.gov.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e.steel@uq.edu.au" TargetMode="External"/><Relationship Id="rId1" Type="http://schemas.openxmlformats.org/officeDocument/2006/relationships/hyperlink" Target="http://www.ndis.gov.au/document/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9568B6739F44D041AEECCB5A7CB11576" ma:contentTypeVersion="" ma:contentTypeDescription="PDMS Documentation Content Type" ma:contentTypeScope="" ma:versionID="363bd1ca1083742d3c4db66b61ae07c5">
  <xsd:schema xmlns:xsd="http://www.w3.org/2001/XMLSchema" xmlns:xs="http://www.w3.org/2001/XMLSchema" xmlns:p="http://schemas.microsoft.com/office/2006/metadata/properties" xmlns:ns2="534E154A-9543-4F85-BF78-F8FC98F83A59" targetNamespace="http://schemas.microsoft.com/office/2006/metadata/properties" ma:root="true" ma:fieldsID="1b8d8efc7f295e1e8a905e659aced584" ns2:_="">
    <xsd:import namespace="534E154A-9543-4F85-BF78-F8FC98F83A59"/>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E154A-9543-4F85-BF78-F8FC98F83A5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AttachedBy xmlns="534E154A-9543-4F85-BF78-F8FC98F83A59" xsi:nil="true"/>
    <pdms_Reason xmlns="534E154A-9543-4F85-BF78-F8FC98F83A59" xsi:nil="true"/>
    <pdms_DocumentType xmlns="534E154A-9543-4F85-BF78-F8FC98F83A59" xsi:nil="true"/>
    <pdms_SecurityClassification xmlns="534E154A-9543-4F85-BF78-F8FC98F83A59" xsi:nil="true"/>
    <SecurityClassification xmlns="534E154A-9543-4F85-BF78-F8FC98F83A5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A0DAE-1804-41BD-94C9-F2D6718D6FA6}">
  <ds:schemaRefs>
    <ds:schemaRef ds:uri="http://schemas.microsoft.com/sharepoint/v3/contenttype/forms"/>
  </ds:schemaRefs>
</ds:datastoreItem>
</file>

<file path=customXml/itemProps2.xml><?xml version="1.0" encoding="utf-8"?>
<ds:datastoreItem xmlns:ds="http://schemas.openxmlformats.org/officeDocument/2006/customXml" ds:itemID="{A3FB8D0B-4A59-4FC2-ACB7-25A7DC93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E154A-9543-4F85-BF78-F8FC98F83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09E1E-A1D4-451F-9705-70F2DFA253A9}">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34E154A-9543-4F85-BF78-F8FC98F83A59"/>
    <ds:schemaRef ds:uri="http://schemas.microsoft.com/office/2006/metadata/properties"/>
  </ds:schemaRefs>
</ds:datastoreItem>
</file>

<file path=customXml/itemProps4.xml><?xml version="1.0" encoding="utf-8"?>
<ds:datastoreItem xmlns:ds="http://schemas.openxmlformats.org/officeDocument/2006/customXml" ds:itemID="{2F6EFACF-23B3-46B6-BE88-EABD93FE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13467</Words>
  <Characters>70300</Characters>
  <Application>Microsoft Office Word</Application>
  <DocSecurity>0</DocSecurity>
  <Lines>8787</Lines>
  <Paragraphs>3642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Browning</dc:creator>
  <cp:lastModifiedBy>MASSY-WESTROPP, Matthew</cp:lastModifiedBy>
  <cp:revision>2</cp:revision>
  <cp:lastPrinted>2015-10-13T03:28:00Z</cp:lastPrinted>
  <dcterms:created xsi:type="dcterms:W3CDTF">2015-10-20T03:33:00Z</dcterms:created>
  <dcterms:modified xsi:type="dcterms:W3CDTF">2015-10-20T03:33:00Z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0x010100266966F133664895A6EE3632470D45F501009568B6739F44D041AEECCB5A7CB11576</vt:lpwstr>
  </property>
</Properties>
</file>