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bookmarkStart w:id="0" w:name="_GoBack"/>
      <w:r>
        <w:rPr>
          <w:rFonts w:ascii="Arial" w:eastAsia="Times New Roman" w:hAnsi="Arial" w:cs="Arial"/>
          <w:color w:val="030303"/>
          <w:sz w:val="28"/>
          <w:szCs w:val="28"/>
          <w:lang w:eastAsia="en-AU"/>
        </w:rPr>
        <w:t>Transcript: My plan is about to end</w:t>
      </w:r>
    </w:p>
    <w:bookmarkEnd w:id="0"/>
    <w:p w:rsid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We are making some changes to the plan review process in response to the coronavirus COVID-19 pandemic. </w:t>
      </w: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606060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To ensure NDIS plans </w:t>
      </w:r>
      <w:proofErr w:type="gramStart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>don't</w:t>
      </w:r>
      <w:proofErr w:type="gramEnd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 reach their end date, on the day your plan is due to expire, it will automatically be extended by 12 months to make sure you have the funding you need. </w:t>
      </w: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606060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If your plan is due to expire soon, you do not need to do anything. </w:t>
      </w: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606060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All plans </w:t>
      </w:r>
      <w:proofErr w:type="gramStart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>will be automatically extended</w:t>
      </w:r>
      <w:proofErr w:type="gramEnd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 by 12 months. </w:t>
      </w: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606060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Your extended plan will have the same core and capacity building budget as your current plan. </w:t>
      </w: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606060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If </w:t>
      </w:r>
      <w:proofErr w:type="gramStart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>your</w:t>
      </w:r>
      <w:proofErr w:type="gramEnd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 current plan is not a 12-month plan, your extended plan will be calculated on a pro-rata basis. </w:t>
      </w: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606060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You will not receive a copy of this plan in the mail but you can access the information about your budget and the dates of your plan in the participant portal. </w:t>
      </w: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606060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Scheduled plan reviews are still occurring, and we will call you to organise a planning meeting at a time that suits you. </w:t>
      </w: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606060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proofErr w:type="gramStart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>Your</w:t>
      </w:r>
      <w:proofErr w:type="gramEnd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 planning or plan review meeting will be held over the phone or email. </w:t>
      </w: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606060"/>
          <w:sz w:val="28"/>
          <w:szCs w:val="28"/>
          <w:lang w:eastAsia="en-AU"/>
        </w:rPr>
      </w:pPr>
    </w:p>
    <w:p w:rsidR="00F30E14" w:rsidRPr="00F30E14" w:rsidRDefault="00F30E14" w:rsidP="00F30E14">
      <w:pPr>
        <w:spacing w:after="0" w:line="240" w:lineRule="auto"/>
        <w:rPr>
          <w:rFonts w:ascii="Arial" w:eastAsia="Times New Roman" w:hAnsi="Arial" w:cs="Arial"/>
          <w:color w:val="030303"/>
          <w:sz w:val="28"/>
          <w:szCs w:val="28"/>
          <w:lang w:eastAsia="en-AU"/>
        </w:rPr>
      </w:pPr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As part of this plan review process, </w:t>
      </w:r>
      <w:proofErr w:type="gramStart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>we'll</w:t>
      </w:r>
      <w:proofErr w:type="gramEnd"/>
      <w:r w:rsidRPr="00F30E14">
        <w:rPr>
          <w:rFonts w:ascii="Arial" w:eastAsia="Times New Roman" w:hAnsi="Arial" w:cs="Arial"/>
          <w:color w:val="030303"/>
          <w:sz w:val="28"/>
          <w:szCs w:val="28"/>
          <w:lang w:eastAsia="en-AU"/>
        </w:rPr>
        <w:t xml:space="preserve"> discuss with you the option of having a plan in place for up to 24 months. </w:t>
      </w:r>
    </w:p>
    <w:p w:rsidR="00AF214D" w:rsidRDefault="00AF214D"/>
    <w:sectPr w:rsidR="00AF2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14"/>
    <w:rsid w:val="00AF214D"/>
    <w:rsid w:val="00F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D161"/>
  <w15:chartTrackingRefBased/>
  <w15:docId w15:val="{27212C49-C2E4-4C98-BC22-A62344F8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6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669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191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5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27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9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08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65FD4"/>
            <w:bottom w:val="none" w:sz="0" w:space="0" w:color="auto"/>
            <w:right w:val="none" w:sz="0" w:space="0" w:color="auto"/>
          </w:divBdr>
          <w:divsChild>
            <w:div w:id="430123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76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6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417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78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678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0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688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5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684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4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3204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7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700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42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2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1514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23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5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72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730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3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389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9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134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7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783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613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2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</dc:creator>
  <cp:keywords/>
  <dc:description/>
  <cp:lastModifiedBy>Romain, Bel</cp:lastModifiedBy>
  <cp:revision>1</cp:revision>
  <dcterms:created xsi:type="dcterms:W3CDTF">2020-04-03T06:39:00Z</dcterms:created>
  <dcterms:modified xsi:type="dcterms:W3CDTF">2020-04-03T06:43:00Z</dcterms:modified>
</cp:coreProperties>
</file>