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21A" w:rsidRPr="00CA1271" w:rsidRDefault="00A7321A" w:rsidP="002A437A">
      <w:pPr>
        <w:spacing w:before="1000" w:after="800"/>
        <w:jc w:val="center"/>
        <w:rPr>
          <w:b/>
          <w:noProof/>
          <w:color w:val="FFFFFF" w:themeColor="background1"/>
          <w:sz w:val="48"/>
          <w:szCs w:val="48"/>
          <w:lang w:eastAsia="en-AU"/>
        </w:rPr>
      </w:pPr>
      <w:r w:rsidRPr="00CA1271">
        <w:rPr>
          <w:b/>
          <w:noProof/>
          <w:color w:val="FFFFFF" w:themeColor="background1"/>
          <w:sz w:val="48"/>
          <w:szCs w:val="48"/>
          <w:lang w:eastAsia="en-AU"/>
        </w:rPr>
        <w:drawing>
          <wp:anchor distT="0" distB="0" distL="114300" distR="114300" simplePos="0" relativeHeight="251659264" behindDoc="1" locked="0" layoutInCell="1" allowOverlap="1" wp14:anchorId="5FE99B73" wp14:editId="1FFD65D1">
            <wp:simplePos x="0" y="0"/>
            <wp:positionH relativeFrom="margin">
              <wp:posOffset>-360045</wp:posOffset>
            </wp:positionH>
            <wp:positionV relativeFrom="margin">
              <wp:align>top</wp:align>
            </wp:positionV>
            <wp:extent cx="6480000" cy="8100000"/>
            <wp:effectExtent l="0" t="0" r="0" b="0"/>
            <wp:wrapNone/>
            <wp:docPr id="9" name="Picture 9" title="Purpl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6480000" cy="8100000"/>
                    </a:xfrm>
                    <a:prstGeom prst="rect">
                      <a:avLst/>
                    </a:prstGeom>
                  </pic:spPr>
                </pic:pic>
              </a:graphicData>
            </a:graphic>
            <wp14:sizeRelH relativeFrom="margin">
              <wp14:pctWidth>0</wp14:pctWidth>
            </wp14:sizeRelH>
            <wp14:sizeRelV relativeFrom="margin">
              <wp14:pctHeight>0</wp14:pctHeight>
            </wp14:sizeRelV>
          </wp:anchor>
        </w:drawing>
      </w:r>
    </w:p>
    <w:p w:rsidR="008554DC" w:rsidRPr="00CA1271" w:rsidRDefault="009D28CB" w:rsidP="002A437A">
      <w:pPr>
        <w:spacing w:before="1000" w:after="800"/>
        <w:jc w:val="center"/>
        <w:rPr>
          <w:rFonts w:cs="Arial"/>
          <w:b/>
          <w:color w:val="FFFFFF" w:themeColor="background1"/>
          <w:sz w:val="48"/>
          <w:szCs w:val="48"/>
        </w:rPr>
      </w:pPr>
      <w:bookmarkStart w:id="0" w:name="_Hlk536206679"/>
      <w:bookmarkEnd w:id="0"/>
      <w:r w:rsidRPr="00CA1271">
        <w:rPr>
          <w:rFonts w:cs="Arial"/>
          <w:b/>
          <w:color w:val="FFFFFF" w:themeColor="background1"/>
          <w:sz w:val="48"/>
          <w:szCs w:val="48"/>
        </w:rPr>
        <w:t>National Disabilit</w:t>
      </w:r>
      <w:bookmarkStart w:id="1" w:name="_GoBack"/>
      <w:bookmarkEnd w:id="1"/>
      <w:r w:rsidRPr="00CA1271">
        <w:rPr>
          <w:rFonts w:cs="Arial"/>
          <w:b/>
          <w:color w:val="FFFFFF" w:themeColor="background1"/>
          <w:sz w:val="48"/>
          <w:szCs w:val="48"/>
        </w:rPr>
        <w:t>y Insurance Scheme</w:t>
      </w:r>
    </w:p>
    <w:p w:rsidR="00A405AB" w:rsidRPr="00CA1271" w:rsidRDefault="00A405AB" w:rsidP="002A437A">
      <w:pPr>
        <w:spacing w:before="1000" w:after="800"/>
        <w:jc w:val="center"/>
        <w:rPr>
          <w:b/>
          <w:color w:val="FFFFFF" w:themeColor="background1"/>
          <w:sz w:val="48"/>
          <w:szCs w:val="48"/>
        </w:rPr>
      </w:pPr>
    </w:p>
    <w:p w:rsidR="00A7321A" w:rsidRPr="00CA1271" w:rsidRDefault="0000645A" w:rsidP="002A437A">
      <w:pPr>
        <w:spacing w:before="1000" w:after="800"/>
        <w:jc w:val="center"/>
        <w:rPr>
          <w:rFonts w:cs="Arial"/>
          <w:color w:val="FFFFFF" w:themeColor="background1"/>
          <w:sz w:val="48"/>
          <w:szCs w:val="48"/>
        </w:rPr>
      </w:pPr>
      <w:bookmarkStart w:id="2" w:name="_Toc514784994"/>
      <w:bookmarkStart w:id="3" w:name="_Toc514853676"/>
      <w:r w:rsidRPr="00CA1271">
        <w:rPr>
          <w:rFonts w:cs="Arial"/>
          <w:color w:val="FFFFFF" w:themeColor="background1"/>
          <w:sz w:val="48"/>
          <w:szCs w:val="48"/>
        </w:rPr>
        <w:t>Annual Pricing Review</w:t>
      </w:r>
      <w:r w:rsidR="00520EA3" w:rsidRPr="00CA1271">
        <w:rPr>
          <w:rFonts w:cs="Arial"/>
          <w:color w:val="FFFFFF" w:themeColor="background1"/>
          <w:sz w:val="48"/>
          <w:szCs w:val="48"/>
        </w:rPr>
        <w:t xml:space="preserve"> 2020-21</w:t>
      </w:r>
    </w:p>
    <w:p w:rsidR="003A255F" w:rsidRPr="00CA1271" w:rsidRDefault="00970947" w:rsidP="002A437A">
      <w:pPr>
        <w:spacing w:before="1000" w:after="800"/>
        <w:jc w:val="center"/>
        <w:rPr>
          <w:rFonts w:cs="Arial"/>
          <w:color w:val="FFFFFF" w:themeColor="background1"/>
          <w:sz w:val="48"/>
          <w:szCs w:val="48"/>
        </w:rPr>
      </w:pPr>
      <w:r w:rsidRPr="00CA1271">
        <w:rPr>
          <w:rFonts w:cs="Arial"/>
          <w:color w:val="FFFFFF" w:themeColor="background1"/>
          <w:sz w:val="48"/>
          <w:szCs w:val="48"/>
        </w:rPr>
        <w:t>Final Report</w:t>
      </w:r>
    </w:p>
    <w:p w:rsidR="00A7321A" w:rsidRPr="00CA1271" w:rsidRDefault="00A7321A" w:rsidP="002A437A">
      <w:pPr>
        <w:spacing w:before="1000" w:after="800"/>
        <w:jc w:val="center"/>
        <w:rPr>
          <w:rFonts w:cs="Arial"/>
          <w:color w:val="FFFFFF" w:themeColor="background1"/>
          <w:sz w:val="48"/>
          <w:szCs w:val="48"/>
        </w:rPr>
      </w:pPr>
    </w:p>
    <w:p w:rsidR="00A405AB" w:rsidRPr="00CA1271" w:rsidRDefault="00A405AB" w:rsidP="002A437A">
      <w:pPr>
        <w:jc w:val="center"/>
        <w:rPr>
          <w:lang w:eastAsia="en-AU"/>
        </w:rPr>
      </w:pPr>
    </w:p>
    <w:p w:rsidR="00A405AB" w:rsidRPr="00CA1271" w:rsidRDefault="00A405AB" w:rsidP="002A437A">
      <w:pPr>
        <w:jc w:val="center"/>
        <w:rPr>
          <w:lang w:eastAsia="en-AU"/>
        </w:rPr>
      </w:pPr>
    </w:p>
    <w:bookmarkEnd w:id="2"/>
    <w:bookmarkEnd w:id="3"/>
    <w:p w:rsidR="00A405AB" w:rsidRPr="00CA1271" w:rsidRDefault="0052152B" w:rsidP="002A437A">
      <w:pPr>
        <w:jc w:val="center"/>
        <w:rPr>
          <w:color w:val="FFFFFF" w:themeColor="background1"/>
          <w:sz w:val="16"/>
          <w:szCs w:val="16"/>
        </w:rPr>
      </w:pPr>
      <w:r w:rsidRPr="00CA1271">
        <w:rPr>
          <w:b/>
          <w:color w:val="FFFFFF" w:themeColor="background1"/>
          <w:sz w:val="40"/>
          <w:szCs w:val="40"/>
        </w:rPr>
        <w:t xml:space="preserve">May </w:t>
      </w:r>
      <w:r w:rsidR="00FD5A84" w:rsidRPr="00CA1271">
        <w:rPr>
          <w:b/>
          <w:color w:val="FFFFFF" w:themeColor="background1"/>
          <w:sz w:val="40"/>
          <w:szCs w:val="40"/>
        </w:rPr>
        <w:t>2020</w:t>
      </w:r>
    </w:p>
    <w:p w:rsidR="005515B4" w:rsidRPr="00CA1271" w:rsidRDefault="005515B4" w:rsidP="002A437A">
      <w:pPr>
        <w:autoSpaceDE w:val="0"/>
        <w:autoSpaceDN w:val="0"/>
        <w:spacing w:before="240" w:after="40"/>
        <w:rPr>
          <w:sz w:val="16"/>
          <w:szCs w:val="16"/>
        </w:rPr>
      </w:pPr>
      <w:r w:rsidRPr="00CA1271">
        <w:rPr>
          <w:b/>
          <w:sz w:val="44"/>
          <w:szCs w:val="44"/>
          <w:lang w:eastAsia="ja-JP"/>
        </w:rPr>
        <w:br w:type="page"/>
      </w:r>
    </w:p>
    <w:p w:rsidR="00E87FA3" w:rsidRPr="00CA1271" w:rsidRDefault="00E87FA3" w:rsidP="002A437A">
      <w:pPr>
        <w:rPr>
          <w:b/>
          <w:szCs w:val="22"/>
        </w:rPr>
      </w:pPr>
      <w:r w:rsidRPr="00CA1271">
        <w:rPr>
          <w:szCs w:val="22"/>
        </w:rPr>
        <w:lastRenderedPageBreak/>
        <w:t>© Natio</w:t>
      </w:r>
      <w:r w:rsidR="00EB0074" w:rsidRPr="00CA1271">
        <w:rPr>
          <w:szCs w:val="22"/>
        </w:rPr>
        <w:t xml:space="preserve">nal Disability Insurance Agency </w:t>
      </w:r>
      <w:r w:rsidR="00FD5A84" w:rsidRPr="00CA1271">
        <w:rPr>
          <w:szCs w:val="22"/>
        </w:rPr>
        <w:t>2020</w:t>
      </w:r>
    </w:p>
    <w:p w:rsidR="00E87FA3" w:rsidRPr="00CA1271" w:rsidRDefault="00E87FA3" w:rsidP="002A437A">
      <w:pPr>
        <w:rPr>
          <w:szCs w:val="22"/>
        </w:rPr>
      </w:pPr>
      <w:r w:rsidRPr="00CA1271">
        <w:rPr>
          <w:szCs w:val="22"/>
        </w:rPr>
        <w:t xml:space="preserve">With the exception of any material protected by a trademark, and when otherwise noted, this work is licensed under a Creative Commons Attribution 4.0 International licence CC BY 4.0 (https://creativecommons.org/licenses/by/4.0/). </w:t>
      </w:r>
    </w:p>
    <w:p w:rsidR="00E87FA3" w:rsidRPr="00CA1271" w:rsidRDefault="00E87FA3" w:rsidP="002A437A">
      <w:pPr>
        <w:rPr>
          <w:szCs w:val="22"/>
        </w:rPr>
      </w:pPr>
      <w:r w:rsidRPr="00CA1271">
        <w:rPr>
          <w:szCs w:val="22"/>
        </w:rPr>
        <w:t xml:space="preserve">The details of the relevant licence conditions are available on the Creative Commons website (accessible using the link provided) as is the full legal code for the CC BY 4.0 International licence. </w:t>
      </w:r>
    </w:p>
    <w:p w:rsidR="00E87FA3" w:rsidRPr="00CA1271" w:rsidRDefault="00E87FA3" w:rsidP="002A437A">
      <w:pPr>
        <w:rPr>
          <w:szCs w:val="22"/>
        </w:rPr>
      </w:pPr>
      <w:r w:rsidRPr="00CA1271">
        <w:rPr>
          <w:szCs w:val="22"/>
        </w:rPr>
        <w:t>Content from t</w:t>
      </w:r>
      <w:r w:rsidR="00B03610" w:rsidRPr="00CA1271">
        <w:rPr>
          <w:szCs w:val="22"/>
        </w:rPr>
        <w:t>his work should be attributed to</w:t>
      </w:r>
      <w:r w:rsidRPr="00CA1271">
        <w:rPr>
          <w:szCs w:val="22"/>
        </w:rPr>
        <w:t xml:space="preserve"> the National Disability Insurance Agency.</w:t>
      </w:r>
    </w:p>
    <w:p w:rsidR="00F64B52" w:rsidRPr="00CA1271" w:rsidRDefault="00F64B52" w:rsidP="002A437A">
      <w:pPr>
        <w:rPr>
          <w:szCs w:val="22"/>
        </w:rPr>
      </w:pPr>
    </w:p>
    <w:p w:rsidR="00F64B52" w:rsidRPr="00CA1271" w:rsidRDefault="00F64B52" w:rsidP="002A437A">
      <w:pPr>
        <w:rPr>
          <w:b/>
        </w:rPr>
      </w:pPr>
      <w:r w:rsidRPr="00CA1271">
        <w:rPr>
          <w:b/>
        </w:rPr>
        <w:t>Suggested Citation</w:t>
      </w:r>
    </w:p>
    <w:p w:rsidR="00F64B52" w:rsidRPr="00CA1271" w:rsidRDefault="00F64B52" w:rsidP="002A437A">
      <w:pPr>
        <w:spacing w:line="259" w:lineRule="auto"/>
        <w:rPr>
          <w:rFonts w:ascii="Times New Roman" w:hAnsi="Times New Roman"/>
        </w:rPr>
      </w:pPr>
      <w:r w:rsidRPr="00CA1271">
        <w:rPr>
          <w:rFonts w:ascii="Times New Roman" w:hAnsi="Times New Roman"/>
        </w:rPr>
        <w:t xml:space="preserve">National Disability Insurance Agency. (2020). </w:t>
      </w:r>
      <w:r w:rsidRPr="00CA1271">
        <w:rPr>
          <w:rFonts w:ascii="Times New Roman" w:hAnsi="Times New Roman"/>
          <w:i/>
        </w:rPr>
        <w:t xml:space="preserve">Report of Annual Pricing Review 2020-21. </w:t>
      </w:r>
      <w:hyperlink r:id="rId9" w:history="1">
        <w:r w:rsidRPr="00CA1271">
          <w:rPr>
            <w:rStyle w:val="Hyperlink"/>
            <w:rFonts w:ascii="Times New Roman" w:hAnsi="Times New Roman"/>
          </w:rPr>
          <w:t>www.ndis.gov.au</w:t>
        </w:r>
      </w:hyperlink>
      <w:r w:rsidRPr="00CA1271">
        <w:rPr>
          <w:rFonts w:ascii="Times New Roman" w:hAnsi="Times New Roman"/>
        </w:rPr>
        <w:t xml:space="preserve"> </w:t>
      </w:r>
    </w:p>
    <w:p w:rsidR="00F64B52" w:rsidRPr="00CA1271" w:rsidRDefault="00F64B52" w:rsidP="002A437A">
      <w:pPr>
        <w:rPr>
          <w:b/>
        </w:rPr>
      </w:pPr>
      <w:r w:rsidRPr="00CA1271">
        <w:rPr>
          <w:b/>
        </w:rPr>
        <w:t>Publication Date</w:t>
      </w:r>
    </w:p>
    <w:p w:rsidR="00F64B52" w:rsidRPr="00CA1271" w:rsidRDefault="00F64B52" w:rsidP="002A437A">
      <w:pPr>
        <w:spacing w:line="259" w:lineRule="auto"/>
        <w:rPr>
          <w:rFonts w:ascii="Times New Roman" w:hAnsi="Times New Roman"/>
        </w:rPr>
      </w:pPr>
      <w:r w:rsidRPr="00CA1271">
        <w:rPr>
          <w:rFonts w:ascii="Times New Roman" w:hAnsi="Times New Roman"/>
        </w:rPr>
        <w:t>31 May 2020</w:t>
      </w:r>
    </w:p>
    <w:p w:rsidR="00F64B52" w:rsidRPr="00CA1271" w:rsidRDefault="00F64B52" w:rsidP="002A437A">
      <w:pPr>
        <w:spacing w:line="259" w:lineRule="auto"/>
        <w:rPr>
          <w:rFonts w:ascii="Times New Roman" w:hAnsi="Times New Roman"/>
        </w:rPr>
      </w:pPr>
    </w:p>
    <w:p w:rsidR="00F64B52" w:rsidRPr="00CA1271" w:rsidRDefault="00F64B52" w:rsidP="002A437A">
      <w:pPr>
        <w:rPr>
          <w:b/>
        </w:rPr>
      </w:pPr>
      <w:r w:rsidRPr="00CA1271">
        <w:rPr>
          <w:b/>
        </w:rPr>
        <w:t>Terms that we use:</w:t>
      </w:r>
    </w:p>
    <w:tbl>
      <w:tblPr>
        <w:tblW w:w="5000" w:type="pct"/>
        <w:tblLook w:val="04A0" w:firstRow="1" w:lastRow="0" w:firstColumn="1" w:lastColumn="0" w:noHBand="0" w:noVBand="1"/>
      </w:tblPr>
      <w:tblGrid>
        <w:gridCol w:w="1996"/>
        <w:gridCol w:w="7075"/>
      </w:tblGrid>
      <w:tr w:rsidR="00F64B52" w:rsidRPr="00CA1271" w:rsidTr="00F64B52">
        <w:tc>
          <w:tcPr>
            <w:tcW w:w="1100" w:type="pct"/>
            <w:hideMark/>
          </w:tcPr>
          <w:p w:rsidR="00F64B52" w:rsidRPr="00CA1271" w:rsidRDefault="00F64B52" w:rsidP="002A437A">
            <w:pPr>
              <w:spacing w:before="120" w:after="120" w:line="240" w:lineRule="atLeast"/>
              <w:rPr>
                <w:rFonts w:cstheme="minorHAnsi"/>
                <w:b/>
                <w:sz w:val="20"/>
                <w:szCs w:val="20"/>
              </w:rPr>
            </w:pPr>
            <w:r w:rsidRPr="00CA1271">
              <w:rPr>
                <w:rFonts w:cstheme="minorHAnsi"/>
                <w:b/>
                <w:sz w:val="20"/>
                <w:szCs w:val="20"/>
              </w:rPr>
              <w:t>Acronym</w:t>
            </w:r>
          </w:p>
        </w:tc>
        <w:tc>
          <w:tcPr>
            <w:tcW w:w="3900" w:type="pct"/>
            <w:hideMark/>
          </w:tcPr>
          <w:p w:rsidR="00F64B52" w:rsidRPr="00CA1271" w:rsidRDefault="00F64B52" w:rsidP="002A437A">
            <w:pPr>
              <w:spacing w:before="120" w:after="120" w:line="240" w:lineRule="atLeast"/>
              <w:rPr>
                <w:rFonts w:cstheme="minorHAnsi"/>
                <w:b/>
                <w:sz w:val="20"/>
                <w:szCs w:val="20"/>
              </w:rPr>
            </w:pPr>
            <w:r w:rsidRPr="00CA1271">
              <w:rPr>
                <w:rFonts w:cstheme="minorHAnsi"/>
                <w:b/>
                <w:sz w:val="20"/>
                <w:szCs w:val="20"/>
              </w:rPr>
              <w:t>Full name</w:t>
            </w:r>
          </w:p>
        </w:tc>
      </w:tr>
      <w:tr w:rsidR="003406C9" w:rsidRPr="00CA1271" w:rsidTr="00F64B52">
        <w:tc>
          <w:tcPr>
            <w:tcW w:w="1100" w:type="pct"/>
          </w:tcPr>
          <w:p w:rsidR="003406C9" w:rsidRPr="00CA1271" w:rsidRDefault="003406C9" w:rsidP="002A437A">
            <w:pPr>
              <w:spacing w:before="120" w:after="120" w:line="240" w:lineRule="atLeast"/>
              <w:rPr>
                <w:rFonts w:cstheme="minorHAnsi"/>
                <w:sz w:val="20"/>
                <w:szCs w:val="20"/>
              </w:rPr>
            </w:pPr>
            <w:r w:rsidRPr="00CA1271">
              <w:rPr>
                <w:rFonts w:cstheme="minorHAnsi"/>
                <w:sz w:val="20"/>
                <w:szCs w:val="20"/>
              </w:rPr>
              <w:t>ABS</w:t>
            </w:r>
          </w:p>
        </w:tc>
        <w:tc>
          <w:tcPr>
            <w:tcW w:w="3900" w:type="pct"/>
          </w:tcPr>
          <w:p w:rsidR="003406C9" w:rsidRPr="00CA1271" w:rsidRDefault="003406C9" w:rsidP="002A437A">
            <w:pPr>
              <w:spacing w:before="120" w:after="120" w:line="240" w:lineRule="atLeast"/>
              <w:rPr>
                <w:rFonts w:cstheme="minorHAnsi"/>
                <w:sz w:val="20"/>
                <w:szCs w:val="20"/>
              </w:rPr>
            </w:pPr>
            <w:r w:rsidRPr="00CA1271">
              <w:rPr>
                <w:rFonts w:cstheme="minorHAnsi"/>
                <w:sz w:val="20"/>
                <w:szCs w:val="20"/>
              </w:rPr>
              <w:t>Australian Bureau of Statistics</w:t>
            </w:r>
          </w:p>
        </w:tc>
      </w:tr>
      <w:tr w:rsidR="00E0007F" w:rsidRPr="00CA1271" w:rsidTr="00F64B52">
        <w:tc>
          <w:tcPr>
            <w:tcW w:w="1100" w:type="pct"/>
          </w:tcPr>
          <w:p w:rsidR="00E0007F" w:rsidRPr="00CA1271" w:rsidRDefault="00E0007F" w:rsidP="002A437A">
            <w:pPr>
              <w:spacing w:before="120" w:after="120" w:line="240" w:lineRule="atLeast"/>
              <w:rPr>
                <w:rFonts w:cstheme="minorHAnsi"/>
                <w:sz w:val="20"/>
                <w:szCs w:val="20"/>
              </w:rPr>
            </w:pPr>
            <w:r w:rsidRPr="00CA1271">
              <w:rPr>
                <w:rFonts w:cstheme="minorHAnsi"/>
                <w:sz w:val="20"/>
                <w:szCs w:val="20"/>
              </w:rPr>
              <w:t>CPI</w:t>
            </w:r>
          </w:p>
        </w:tc>
        <w:tc>
          <w:tcPr>
            <w:tcW w:w="3900" w:type="pct"/>
          </w:tcPr>
          <w:p w:rsidR="00E0007F" w:rsidRPr="00CA1271" w:rsidRDefault="003406C9" w:rsidP="002A437A">
            <w:pPr>
              <w:spacing w:before="120" w:after="120" w:line="240" w:lineRule="atLeast"/>
              <w:rPr>
                <w:rFonts w:cstheme="minorHAnsi"/>
                <w:sz w:val="20"/>
                <w:szCs w:val="20"/>
              </w:rPr>
            </w:pPr>
            <w:r w:rsidRPr="00CA1271">
              <w:rPr>
                <w:rFonts w:cstheme="minorHAnsi"/>
                <w:sz w:val="20"/>
                <w:szCs w:val="20"/>
              </w:rPr>
              <w:t xml:space="preserve">ABS </w:t>
            </w:r>
            <w:r w:rsidR="00E0007F" w:rsidRPr="00CA1271">
              <w:rPr>
                <w:rFonts w:cstheme="minorHAnsi"/>
                <w:sz w:val="20"/>
                <w:szCs w:val="20"/>
              </w:rPr>
              <w:t>Consumer Price Index</w:t>
            </w:r>
          </w:p>
        </w:tc>
      </w:tr>
      <w:tr w:rsidR="00F64B52" w:rsidRPr="00CA1271" w:rsidTr="00F64B52">
        <w:tc>
          <w:tcPr>
            <w:tcW w:w="1100" w:type="pct"/>
          </w:tcPr>
          <w:p w:rsidR="00F64B52" w:rsidRPr="00CA1271" w:rsidRDefault="00F64B52" w:rsidP="002A437A">
            <w:pPr>
              <w:spacing w:before="120" w:after="120" w:line="240" w:lineRule="atLeast"/>
              <w:rPr>
                <w:rFonts w:cstheme="minorHAnsi"/>
                <w:sz w:val="20"/>
                <w:szCs w:val="20"/>
              </w:rPr>
            </w:pPr>
            <w:r w:rsidRPr="00CA1271">
              <w:rPr>
                <w:rFonts w:cstheme="minorHAnsi"/>
                <w:sz w:val="20"/>
                <w:szCs w:val="20"/>
              </w:rPr>
              <w:t>DSW</w:t>
            </w:r>
          </w:p>
        </w:tc>
        <w:tc>
          <w:tcPr>
            <w:tcW w:w="3900" w:type="pct"/>
          </w:tcPr>
          <w:p w:rsidR="00F64B52" w:rsidRPr="00CA1271" w:rsidRDefault="00F64B52" w:rsidP="002A437A">
            <w:pPr>
              <w:spacing w:before="120" w:after="120" w:line="240" w:lineRule="atLeast"/>
              <w:rPr>
                <w:rFonts w:cstheme="minorHAnsi"/>
                <w:sz w:val="20"/>
                <w:szCs w:val="20"/>
              </w:rPr>
            </w:pPr>
            <w:r w:rsidRPr="00CA1271">
              <w:rPr>
                <w:rFonts w:cstheme="minorHAnsi"/>
                <w:sz w:val="20"/>
                <w:szCs w:val="20"/>
              </w:rPr>
              <w:t>Disability Support Worker</w:t>
            </w:r>
          </w:p>
        </w:tc>
      </w:tr>
      <w:tr w:rsidR="00F64B52" w:rsidRPr="00CA1271" w:rsidTr="00F64B52">
        <w:tc>
          <w:tcPr>
            <w:tcW w:w="1100" w:type="pct"/>
          </w:tcPr>
          <w:p w:rsidR="00F64B52" w:rsidRPr="00CA1271" w:rsidRDefault="00F64B52" w:rsidP="002A437A">
            <w:pPr>
              <w:spacing w:before="120" w:after="120" w:line="240" w:lineRule="atLeast"/>
              <w:rPr>
                <w:rFonts w:cstheme="minorHAnsi"/>
                <w:sz w:val="20"/>
                <w:szCs w:val="20"/>
              </w:rPr>
            </w:pPr>
            <w:r w:rsidRPr="00CA1271">
              <w:rPr>
                <w:rFonts w:cstheme="minorHAnsi"/>
                <w:sz w:val="20"/>
                <w:szCs w:val="20"/>
              </w:rPr>
              <w:t>MMM</w:t>
            </w:r>
          </w:p>
        </w:tc>
        <w:tc>
          <w:tcPr>
            <w:tcW w:w="3900" w:type="pct"/>
          </w:tcPr>
          <w:p w:rsidR="00F64B52" w:rsidRPr="00CA1271" w:rsidRDefault="00F64B52" w:rsidP="002A437A">
            <w:pPr>
              <w:spacing w:before="120" w:after="120" w:line="240" w:lineRule="atLeast"/>
              <w:rPr>
                <w:rFonts w:cstheme="minorHAnsi"/>
                <w:sz w:val="20"/>
                <w:szCs w:val="20"/>
              </w:rPr>
            </w:pPr>
            <w:r w:rsidRPr="00CA1271">
              <w:rPr>
                <w:rFonts w:cstheme="minorHAnsi"/>
                <w:sz w:val="20"/>
                <w:szCs w:val="20"/>
              </w:rPr>
              <w:t>Modified Monash Model</w:t>
            </w:r>
          </w:p>
        </w:tc>
      </w:tr>
      <w:tr w:rsidR="00F64B52" w:rsidRPr="00CA1271" w:rsidTr="00F64B52">
        <w:tc>
          <w:tcPr>
            <w:tcW w:w="1100" w:type="pct"/>
          </w:tcPr>
          <w:p w:rsidR="00F64B52" w:rsidRPr="00CA1271" w:rsidRDefault="00F64B52" w:rsidP="002A437A">
            <w:pPr>
              <w:spacing w:before="120" w:after="120" w:line="240" w:lineRule="atLeast"/>
              <w:rPr>
                <w:rFonts w:cstheme="minorHAnsi"/>
                <w:sz w:val="20"/>
                <w:szCs w:val="20"/>
              </w:rPr>
            </w:pPr>
            <w:r w:rsidRPr="00CA1271">
              <w:rPr>
                <w:rFonts w:cstheme="minorHAnsi"/>
                <w:sz w:val="20"/>
                <w:szCs w:val="20"/>
              </w:rPr>
              <w:t>NDIA/Agency</w:t>
            </w:r>
          </w:p>
        </w:tc>
        <w:tc>
          <w:tcPr>
            <w:tcW w:w="3900" w:type="pct"/>
          </w:tcPr>
          <w:p w:rsidR="00F64B52" w:rsidRPr="00CA1271" w:rsidRDefault="00F64B52" w:rsidP="002A437A">
            <w:pPr>
              <w:spacing w:before="120" w:after="120" w:line="240" w:lineRule="atLeast"/>
              <w:rPr>
                <w:rFonts w:cstheme="minorHAnsi"/>
                <w:sz w:val="20"/>
                <w:szCs w:val="20"/>
              </w:rPr>
            </w:pPr>
            <w:r w:rsidRPr="00CA1271">
              <w:rPr>
                <w:rFonts w:cstheme="minorHAnsi"/>
                <w:sz w:val="20"/>
                <w:szCs w:val="20"/>
              </w:rPr>
              <w:t>National Disability Insurance Agency</w:t>
            </w:r>
          </w:p>
        </w:tc>
      </w:tr>
      <w:tr w:rsidR="00F64B52" w:rsidRPr="00CA1271" w:rsidTr="00F64B52">
        <w:tc>
          <w:tcPr>
            <w:tcW w:w="1100" w:type="pct"/>
          </w:tcPr>
          <w:p w:rsidR="00F64B52" w:rsidRPr="00CA1271" w:rsidRDefault="00F64B52" w:rsidP="002A437A">
            <w:pPr>
              <w:spacing w:before="120" w:after="120" w:line="240" w:lineRule="atLeast"/>
              <w:rPr>
                <w:rFonts w:cstheme="minorHAnsi"/>
                <w:sz w:val="20"/>
                <w:szCs w:val="20"/>
              </w:rPr>
            </w:pPr>
            <w:r w:rsidRPr="00CA1271">
              <w:rPr>
                <w:rFonts w:cstheme="minorHAnsi"/>
                <w:sz w:val="20"/>
                <w:szCs w:val="20"/>
              </w:rPr>
              <w:t>NDIS/Scheme</w:t>
            </w:r>
          </w:p>
        </w:tc>
        <w:tc>
          <w:tcPr>
            <w:tcW w:w="3900" w:type="pct"/>
          </w:tcPr>
          <w:p w:rsidR="00F64B52" w:rsidRPr="00CA1271" w:rsidRDefault="00F64B52" w:rsidP="002A437A">
            <w:pPr>
              <w:spacing w:before="120" w:after="120" w:line="240" w:lineRule="atLeast"/>
              <w:rPr>
                <w:rFonts w:cstheme="minorHAnsi"/>
                <w:sz w:val="20"/>
                <w:szCs w:val="20"/>
              </w:rPr>
            </w:pPr>
            <w:r w:rsidRPr="00CA1271">
              <w:rPr>
                <w:rFonts w:cstheme="minorHAnsi"/>
                <w:sz w:val="20"/>
                <w:szCs w:val="20"/>
              </w:rPr>
              <w:t>National Disability Insurance Scheme</w:t>
            </w:r>
          </w:p>
        </w:tc>
      </w:tr>
      <w:tr w:rsidR="0026454C" w:rsidRPr="00CA1271" w:rsidTr="00285ADA">
        <w:tc>
          <w:tcPr>
            <w:tcW w:w="1100" w:type="pct"/>
          </w:tcPr>
          <w:p w:rsidR="0026454C" w:rsidRPr="00CA1271" w:rsidRDefault="0026454C" w:rsidP="00285ADA">
            <w:pPr>
              <w:spacing w:before="120" w:after="120" w:line="240" w:lineRule="atLeast"/>
              <w:rPr>
                <w:rFonts w:cstheme="minorHAnsi"/>
                <w:sz w:val="20"/>
                <w:szCs w:val="20"/>
              </w:rPr>
            </w:pPr>
            <w:r w:rsidRPr="00CA1271">
              <w:rPr>
                <w:rFonts w:cstheme="minorHAnsi"/>
                <w:sz w:val="20"/>
                <w:szCs w:val="20"/>
              </w:rPr>
              <w:t>Review</w:t>
            </w:r>
          </w:p>
        </w:tc>
        <w:tc>
          <w:tcPr>
            <w:tcW w:w="3900" w:type="pct"/>
          </w:tcPr>
          <w:p w:rsidR="0026454C" w:rsidRPr="00CA1271" w:rsidRDefault="0026454C" w:rsidP="00285ADA">
            <w:pPr>
              <w:spacing w:before="120" w:after="120" w:line="240" w:lineRule="atLeast"/>
              <w:rPr>
                <w:rFonts w:cstheme="minorHAnsi"/>
                <w:sz w:val="20"/>
                <w:szCs w:val="20"/>
              </w:rPr>
            </w:pPr>
            <w:r w:rsidRPr="00CA1271">
              <w:rPr>
                <w:rFonts w:cstheme="minorHAnsi"/>
                <w:sz w:val="20"/>
                <w:szCs w:val="20"/>
              </w:rPr>
              <w:t>Annual Pricing Review</w:t>
            </w:r>
          </w:p>
        </w:tc>
      </w:tr>
      <w:tr w:rsidR="00F64B52" w:rsidRPr="00CA1271" w:rsidTr="00F64B52">
        <w:tc>
          <w:tcPr>
            <w:tcW w:w="1100" w:type="pct"/>
            <w:hideMark/>
          </w:tcPr>
          <w:p w:rsidR="00F64B52" w:rsidRPr="00CA1271" w:rsidRDefault="00F64B52" w:rsidP="002A437A">
            <w:pPr>
              <w:spacing w:before="120" w:after="120" w:line="240" w:lineRule="atLeast"/>
              <w:rPr>
                <w:rFonts w:cstheme="minorHAnsi"/>
                <w:sz w:val="20"/>
                <w:szCs w:val="20"/>
              </w:rPr>
            </w:pPr>
            <w:r w:rsidRPr="00CA1271">
              <w:rPr>
                <w:rFonts w:cstheme="minorHAnsi"/>
                <w:sz w:val="20"/>
                <w:szCs w:val="20"/>
              </w:rPr>
              <w:t>SCHADS Award</w:t>
            </w:r>
          </w:p>
        </w:tc>
        <w:tc>
          <w:tcPr>
            <w:tcW w:w="3900" w:type="pct"/>
            <w:hideMark/>
          </w:tcPr>
          <w:p w:rsidR="00F64B52" w:rsidRPr="00CA1271" w:rsidRDefault="00F64B52" w:rsidP="002A437A">
            <w:pPr>
              <w:spacing w:before="120" w:after="120" w:line="240" w:lineRule="atLeast"/>
              <w:rPr>
                <w:rFonts w:cstheme="minorHAnsi"/>
                <w:sz w:val="20"/>
                <w:szCs w:val="20"/>
              </w:rPr>
            </w:pPr>
            <w:r w:rsidRPr="00CA1271">
              <w:rPr>
                <w:rFonts w:cstheme="minorHAnsi"/>
                <w:sz w:val="20"/>
                <w:szCs w:val="20"/>
              </w:rPr>
              <w:t>Social, Community, Home care And Disability Services Industry Award 2010</w:t>
            </w:r>
          </w:p>
        </w:tc>
      </w:tr>
      <w:tr w:rsidR="009D5732" w:rsidRPr="00CA1271" w:rsidTr="00F64B52">
        <w:tc>
          <w:tcPr>
            <w:tcW w:w="1100" w:type="pct"/>
          </w:tcPr>
          <w:p w:rsidR="009D5732" w:rsidRPr="00CA1271" w:rsidRDefault="009D5732" w:rsidP="002A437A">
            <w:pPr>
              <w:spacing w:before="120" w:after="120" w:line="240" w:lineRule="atLeast"/>
              <w:rPr>
                <w:rFonts w:cstheme="minorHAnsi"/>
                <w:sz w:val="20"/>
                <w:szCs w:val="20"/>
              </w:rPr>
            </w:pPr>
            <w:r w:rsidRPr="00CA1271">
              <w:rPr>
                <w:rFonts w:cstheme="minorHAnsi"/>
                <w:sz w:val="20"/>
                <w:szCs w:val="20"/>
              </w:rPr>
              <w:t>TTP</w:t>
            </w:r>
          </w:p>
        </w:tc>
        <w:tc>
          <w:tcPr>
            <w:tcW w:w="3900" w:type="pct"/>
          </w:tcPr>
          <w:p w:rsidR="009D5732" w:rsidRPr="00CA1271" w:rsidRDefault="009D5732" w:rsidP="002A437A">
            <w:pPr>
              <w:spacing w:before="120" w:after="120" w:line="240" w:lineRule="atLeast"/>
              <w:rPr>
                <w:rFonts w:cstheme="minorHAnsi"/>
                <w:sz w:val="20"/>
                <w:szCs w:val="20"/>
              </w:rPr>
            </w:pPr>
            <w:r w:rsidRPr="00CA1271">
              <w:rPr>
                <w:rFonts w:cstheme="minorHAnsi"/>
                <w:sz w:val="20"/>
                <w:szCs w:val="20"/>
              </w:rPr>
              <w:t>Temporary Transformation Payment</w:t>
            </w:r>
          </w:p>
        </w:tc>
      </w:tr>
      <w:tr w:rsidR="00E0007F" w:rsidRPr="00CA1271" w:rsidTr="00F64B52">
        <w:tc>
          <w:tcPr>
            <w:tcW w:w="1100" w:type="pct"/>
          </w:tcPr>
          <w:p w:rsidR="00E0007F" w:rsidRPr="00CA1271" w:rsidRDefault="00E0007F" w:rsidP="002A437A">
            <w:pPr>
              <w:spacing w:before="120" w:after="120" w:line="240" w:lineRule="atLeast"/>
              <w:rPr>
                <w:rFonts w:cstheme="minorHAnsi"/>
                <w:sz w:val="20"/>
                <w:szCs w:val="20"/>
              </w:rPr>
            </w:pPr>
            <w:r w:rsidRPr="00CA1271">
              <w:rPr>
                <w:rFonts w:cstheme="minorHAnsi"/>
                <w:sz w:val="20"/>
                <w:szCs w:val="20"/>
              </w:rPr>
              <w:t>WPI</w:t>
            </w:r>
          </w:p>
        </w:tc>
        <w:tc>
          <w:tcPr>
            <w:tcW w:w="3900" w:type="pct"/>
          </w:tcPr>
          <w:p w:rsidR="00E0007F" w:rsidRPr="00CA1271" w:rsidRDefault="00FE19DD" w:rsidP="002A437A">
            <w:pPr>
              <w:spacing w:before="120" w:after="120" w:line="240" w:lineRule="atLeast"/>
              <w:rPr>
                <w:rFonts w:cstheme="minorHAnsi"/>
                <w:sz w:val="20"/>
                <w:szCs w:val="20"/>
              </w:rPr>
            </w:pPr>
            <w:r w:rsidRPr="00CA1271">
              <w:rPr>
                <w:rFonts w:cstheme="minorHAnsi"/>
                <w:sz w:val="20"/>
                <w:szCs w:val="20"/>
              </w:rPr>
              <w:t xml:space="preserve">ABS </w:t>
            </w:r>
            <w:r w:rsidR="00E0007F" w:rsidRPr="00CA1271">
              <w:rPr>
                <w:rFonts w:cstheme="minorHAnsi"/>
                <w:sz w:val="20"/>
                <w:szCs w:val="20"/>
              </w:rPr>
              <w:t>Wage Price Index</w:t>
            </w:r>
          </w:p>
        </w:tc>
      </w:tr>
    </w:tbl>
    <w:p w:rsidR="00C053F2" w:rsidRPr="00CA1271" w:rsidRDefault="00C053F2" w:rsidP="002A437A">
      <w:pPr>
        <w:rPr>
          <w:lang w:eastAsia="ja-JP"/>
        </w:rPr>
      </w:pPr>
    </w:p>
    <w:p w:rsidR="00F64B52" w:rsidRPr="00CA1271" w:rsidRDefault="00F64B52" w:rsidP="002A437A">
      <w:pPr>
        <w:spacing w:before="480" w:after="360"/>
        <w:rPr>
          <w:color w:val="6A2875"/>
          <w:sz w:val="44"/>
          <w:szCs w:val="44"/>
          <w:lang w:eastAsia="ja-JP"/>
        </w:rPr>
        <w:sectPr w:rsidR="00F64B52" w:rsidRPr="00CA1271" w:rsidSect="00CA5B7E">
          <w:footerReference w:type="default" r:id="rId10"/>
          <w:pgSz w:w="11907" w:h="16839" w:code="9"/>
          <w:pgMar w:top="1418" w:right="1418" w:bottom="1418" w:left="1418" w:header="709" w:footer="709" w:gutter="0"/>
          <w:cols w:space="720"/>
          <w:titlePg/>
        </w:sectPr>
      </w:pPr>
    </w:p>
    <w:p w:rsidR="003A255F" w:rsidRPr="00CA1271" w:rsidRDefault="003A255F" w:rsidP="002A437A">
      <w:pPr>
        <w:spacing w:before="480" w:after="360"/>
        <w:rPr>
          <w:color w:val="6A2875"/>
          <w:sz w:val="44"/>
          <w:szCs w:val="44"/>
          <w:lang w:eastAsia="ja-JP"/>
        </w:rPr>
      </w:pPr>
      <w:r w:rsidRPr="00CA1271">
        <w:rPr>
          <w:color w:val="6A2875"/>
          <w:sz w:val="44"/>
          <w:szCs w:val="44"/>
          <w:lang w:eastAsia="ja-JP"/>
        </w:rPr>
        <w:t>Contents</w:t>
      </w:r>
    </w:p>
    <w:p w:rsidR="00B621CC" w:rsidRDefault="00DC2783">
      <w:pPr>
        <w:pStyle w:val="TOC1"/>
        <w:rPr>
          <w:rFonts w:eastAsiaTheme="minorEastAsia"/>
          <w:b w:val="0"/>
          <w:bCs w:val="0"/>
          <w:sz w:val="22"/>
          <w:szCs w:val="22"/>
          <w:lang w:eastAsia="en-AU"/>
        </w:rPr>
      </w:pPr>
      <w:r w:rsidRPr="00CA1271">
        <w:rPr>
          <w:color w:val="000000" w:themeColor="text1"/>
          <w:lang w:eastAsia="ja-JP"/>
        </w:rPr>
        <w:fldChar w:fldCharType="begin"/>
      </w:r>
      <w:r w:rsidRPr="00CA1271">
        <w:rPr>
          <w:lang w:eastAsia="ja-JP"/>
        </w:rPr>
        <w:instrText xml:space="preserve"> TOC \o "2-2" \h \z \t "Heading 1,1,SOPP_30 document title,1,Plain heading,1" </w:instrText>
      </w:r>
      <w:r w:rsidRPr="00CA1271">
        <w:rPr>
          <w:color w:val="000000" w:themeColor="text1"/>
          <w:lang w:eastAsia="ja-JP"/>
        </w:rPr>
        <w:fldChar w:fldCharType="separate"/>
      </w:r>
      <w:hyperlink w:anchor="_Toc42014711" w:history="1">
        <w:r w:rsidR="00B621CC" w:rsidRPr="00F34D73">
          <w:rPr>
            <w:rStyle w:val="Hyperlink"/>
          </w:rPr>
          <w:t>Executive Summary</w:t>
        </w:r>
        <w:r w:rsidR="00B621CC">
          <w:rPr>
            <w:webHidden/>
          </w:rPr>
          <w:tab/>
        </w:r>
        <w:r w:rsidR="00B621CC">
          <w:rPr>
            <w:webHidden/>
          </w:rPr>
          <w:fldChar w:fldCharType="begin"/>
        </w:r>
        <w:r w:rsidR="00B621CC">
          <w:rPr>
            <w:webHidden/>
          </w:rPr>
          <w:instrText xml:space="preserve"> PAGEREF _Toc42014711 \h </w:instrText>
        </w:r>
        <w:r w:rsidR="00B621CC">
          <w:rPr>
            <w:webHidden/>
          </w:rPr>
        </w:r>
        <w:r w:rsidR="00B621CC">
          <w:rPr>
            <w:webHidden/>
          </w:rPr>
          <w:fldChar w:fldCharType="separate"/>
        </w:r>
        <w:r w:rsidR="00EE2032">
          <w:rPr>
            <w:webHidden/>
          </w:rPr>
          <w:t>7</w:t>
        </w:r>
        <w:r w:rsidR="00B621CC">
          <w:rPr>
            <w:webHidden/>
          </w:rPr>
          <w:fldChar w:fldCharType="end"/>
        </w:r>
      </w:hyperlink>
    </w:p>
    <w:p w:rsidR="00B621CC" w:rsidRDefault="00F30779">
      <w:pPr>
        <w:pStyle w:val="TOC2"/>
        <w:rPr>
          <w:rFonts w:eastAsiaTheme="minorEastAsia"/>
          <w:i w:val="0"/>
          <w:iCs w:val="0"/>
          <w:noProof/>
          <w:sz w:val="22"/>
          <w:szCs w:val="22"/>
          <w:lang w:eastAsia="en-AU"/>
        </w:rPr>
      </w:pPr>
      <w:hyperlink w:anchor="_Toc42014712" w:history="1">
        <w:r w:rsidR="00B621CC" w:rsidRPr="00F34D73">
          <w:rPr>
            <w:rStyle w:val="Hyperlink"/>
            <w:noProof/>
          </w:rPr>
          <w:t>Conduct of the review</w:t>
        </w:r>
        <w:r w:rsidR="00B621CC">
          <w:rPr>
            <w:noProof/>
            <w:webHidden/>
          </w:rPr>
          <w:tab/>
        </w:r>
        <w:r w:rsidR="00B621CC">
          <w:rPr>
            <w:noProof/>
            <w:webHidden/>
          </w:rPr>
          <w:fldChar w:fldCharType="begin"/>
        </w:r>
        <w:r w:rsidR="00B621CC">
          <w:rPr>
            <w:noProof/>
            <w:webHidden/>
          </w:rPr>
          <w:instrText xml:space="preserve"> PAGEREF _Toc42014712 \h </w:instrText>
        </w:r>
        <w:r w:rsidR="00B621CC">
          <w:rPr>
            <w:noProof/>
            <w:webHidden/>
          </w:rPr>
        </w:r>
        <w:r w:rsidR="00B621CC">
          <w:rPr>
            <w:noProof/>
            <w:webHidden/>
          </w:rPr>
          <w:fldChar w:fldCharType="separate"/>
        </w:r>
        <w:r w:rsidR="00EE2032">
          <w:rPr>
            <w:noProof/>
            <w:webHidden/>
          </w:rPr>
          <w:t>7</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13" w:history="1">
        <w:r w:rsidR="00B621CC" w:rsidRPr="00F34D73">
          <w:rPr>
            <w:rStyle w:val="Hyperlink"/>
            <w:noProof/>
          </w:rPr>
          <w:t>Findings and recommendations</w:t>
        </w:r>
        <w:r w:rsidR="00B621CC">
          <w:rPr>
            <w:noProof/>
            <w:webHidden/>
          </w:rPr>
          <w:tab/>
        </w:r>
        <w:r w:rsidR="00B621CC">
          <w:rPr>
            <w:noProof/>
            <w:webHidden/>
          </w:rPr>
          <w:fldChar w:fldCharType="begin"/>
        </w:r>
        <w:r w:rsidR="00B621CC">
          <w:rPr>
            <w:noProof/>
            <w:webHidden/>
          </w:rPr>
          <w:instrText xml:space="preserve"> PAGEREF _Toc42014713 \h </w:instrText>
        </w:r>
        <w:r w:rsidR="00B621CC">
          <w:rPr>
            <w:noProof/>
            <w:webHidden/>
          </w:rPr>
        </w:r>
        <w:r w:rsidR="00B621CC">
          <w:rPr>
            <w:noProof/>
            <w:webHidden/>
          </w:rPr>
          <w:fldChar w:fldCharType="separate"/>
        </w:r>
        <w:r w:rsidR="00EE2032">
          <w:rPr>
            <w:noProof/>
            <w:webHidden/>
          </w:rPr>
          <w:t>8</w:t>
        </w:r>
        <w:r w:rsidR="00B621CC">
          <w:rPr>
            <w:noProof/>
            <w:webHidden/>
          </w:rPr>
          <w:fldChar w:fldCharType="end"/>
        </w:r>
      </w:hyperlink>
    </w:p>
    <w:p w:rsidR="00B621CC" w:rsidRDefault="00F30779">
      <w:pPr>
        <w:pStyle w:val="TOC1"/>
        <w:rPr>
          <w:rFonts w:eastAsiaTheme="minorEastAsia"/>
          <w:b w:val="0"/>
          <w:bCs w:val="0"/>
          <w:sz w:val="22"/>
          <w:szCs w:val="22"/>
          <w:lang w:eastAsia="en-AU"/>
        </w:rPr>
      </w:pPr>
      <w:hyperlink w:anchor="_Toc42014714" w:history="1">
        <w:r w:rsidR="00B621CC" w:rsidRPr="00F34D73">
          <w:rPr>
            <w:rStyle w:val="Hyperlink"/>
          </w:rPr>
          <w:t>1.</w:t>
        </w:r>
        <w:r w:rsidR="00B621CC">
          <w:rPr>
            <w:rFonts w:eastAsiaTheme="minorEastAsia"/>
            <w:b w:val="0"/>
            <w:bCs w:val="0"/>
            <w:sz w:val="22"/>
            <w:szCs w:val="22"/>
            <w:lang w:eastAsia="en-AU"/>
          </w:rPr>
          <w:tab/>
        </w:r>
        <w:r w:rsidR="00B621CC" w:rsidRPr="00F34D73">
          <w:rPr>
            <w:rStyle w:val="Hyperlink"/>
          </w:rPr>
          <w:t>Introduction</w:t>
        </w:r>
        <w:r w:rsidR="00B621CC">
          <w:rPr>
            <w:webHidden/>
          </w:rPr>
          <w:tab/>
        </w:r>
        <w:r w:rsidR="00B621CC">
          <w:rPr>
            <w:webHidden/>
          </w:rPr>
          <w:fldChar w:fldCharType="begin"/>
        </w:r>
        <w:r w:rsidR="00B621CC">
          <w:rPr>
            <w:webHidden/>
          </w:rPr>
          <w:instrText xml:space="preserve"> PAGEREF _Toc42014714 \h </w:instrText>
        </w:r>
        <w:r w:rsidR="00B621CC">
          <w:rPr>
            <w:webHidden/>
          </w:rPr>
        </w:r>
        <w:r w:rsidR="00B621CC">
          <w:rPr>
            <w:webHidden/>
          </w:rPr>
          <w:fldChar w:fldCharType="separate"/>
        </w:r>
        <w:r w:rsidR="00EE2032">
          <w:rPr>
            <w:webHidden/>
          </w:rPr>
          <w:t>26</w:t>
        </w:r>
        <w:r w:rsidR="00B621CC">
          <w:rPr>
            <w:webHidden/>
          </w:rPr>
          <w:fldChar w:fldCharType="end"/>
        </w:r>
      </w:hyperlink>
    </w:p>
    <w:p w:rsidR="00B621CC" w:rsidRDefault="00F30779">
      <w:pPr>
        <w:pStyle w:val="TOC2"/>
        <w:rPr>
          <w:rFonts w:eastAsiaTheme="minorEastAsia"/>
          <w:i w:val="0"/>
          <w:iCs w:val="0"/>
          <w:noProof/>
          <w:sz w:val="22"/>
          <w:szCs w:val="22"/>
          <w:lang w:eastAsia="en-AU"/>
        </w:rPr>
      </w:pPr>
      <w:hyperlink w:anchor="_Toc42014715" w:history="1">
        <w:r w:rsidR="00B621CC" w:rsidRPr="00F34D73">
          <w:rPr>
            <w:rStyle w:val="Hyperlink"/>
            <w:noProof/>
          </w:rPr>
          <w:t>Terms of Reference</w:t>
        </w:r>
        <w:r w:rsidR="00B621CC">
          <w:rPr>
            <w:noProof/>
            <w:webHidden/>
          </w:rPr>
          <w:tab/>
        </w:r>
        <w:r w:rsidR="00B621CC">
          <w:rPr>
            <w:noProof/>
            <w:webHidden/>
          </w:rPr>
          <w:fldChar w:fldCharType="begin"/>
        </w:r>
        <w:r w:rsidR="00B621CC">
          <w:rPr>
            <w:noProof/>
            <w:webHidden/>
          </w:rPr>
          <w:instrText xml:space="preserve"> PAGEREF _Toc42014715 \h </w:instrText>
        </w:r>
        <w:r w:rsidR="00B621CC">
          <w:rPr>
            <w:noProof/>
            <w:webHidden/>
          </w:rPr>
        </w:r>
        <w:r w:rsidR="00B621CC">
          <w:rPr>
            <w:noProof/>
            <w:webHidden/>
          </w:rPr>
          <w:fldChar w:fldCharType="separate"/>
        </w:r>
        <w:r w:rsidR="00EE2032">
          <w:rPr>
            <w:noProof/>
            <w:webHidden/>
          </w:rPr>
          <w:t>27</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16" w:history="1">
        <w:r w:rsidR="00B621CC" w:rsidRPr="00F34D73">
          <w:rPr>
            <w:rStyle w:val="Hyperlink"/>
            <w:noProof/>
          </w:rPr>
          <w:t>Conduct of the review</w:t>
        </w:r>
        <w:r w:rsidR="00B621CC">
          <w:rPr>
            <w:noProof/>
            <w:webHidden/>
          </w:rPr>
          <w:tab/>
        </w:r>
        <w:r w:rsidR="00B621CC">
          <w:rPr>
            <w:noProof/>
            <w:webHidden/>
          </w:rPr>
          <w:fldChar w:fldCharType="begin"/>
        </w:r>
        <w:r w:rsidR="00B621CC">
          <w:rPr>
            <w:noProof/>
            <w:webHidden/>
          </w:rPr>
          <w:instrText xml:space="preserve"> PAGEREF _Toc42014716 \h </w:instrText>
        </w:r>
        <w:r w:rsidR="00B621CC">
          <w:rPr>
            <w:noProof/>
            <w:webHidden/>
          </w:rPr>
        </w:r>
        <w:r w:rsidR="00B621CC">
          <w:rPr>
            <w:noProof/>
            <w:webHidden/>
          </w:rPr>
          <w:fldChar w:fldCharType="separate"/>
        </w:r>
        <w:r w:rsidR="00EE2032">
          <w:rPr>
            <w:noProof/>
            <w:webHidden/>
          </w:rPr>
          <w:t>28</w:t>
        </w:r>
        <w:r w:rsidR="00B621CC">
          <w:rPr>
            <w:noProof/>
            <w:webHidden/>
          </w:rPr>
          <w:fldChar w:fldCharType="end"/>
        </w:r>
      </w:hyperlink>
    </w:p>
    <w:p w:rsidR="00B621CC" w:rsidRDefault="00F30779">
      <w:pPr>
        <w:pStyle w:val="TOC1"/>
        <w:rPr>
          <w:rFonts w:eastAsiaTheme="minorEastAsia"/>
          <w:b w:val="0"/>
          <w:bCs w:val="0"/>
          <w:sz w:val="22"/>
          <w:szCs w:val="22"/>
          <w:lang w:eastAsia="en-AU"/>
        </w:rPr>
      </w:pPr>
      <w:hyperlink w:anchor="_Toc42014717" w:history="1">
        <w:r w:rsidR="00B621CC" w:rsidRPr="00F34D73">
          <w:rPr>
            <w:rStyle w:val="Hyperlink"/>
          </w:rPr>
          <w:t>2.</w:t>
        </w:r>
        <w:r w:rsidR="00B621CC">
          <w:rPr>
            <w:rFonts w:eastAsiaTheme="minorEastAsia"/>
            <w:b w:val="0"/>
            <w:bCs w:val="0"/>
            <w:sz w:val="22"/>
            <w:szCs w:val="22"/>
            <w:lang w:eastAsia="en-AU"/>
          </w:rPr>
          <w:tab/>
        </w:r>
        <w:r w:rsidR="00B621CC" w:rsidRPr="00F34D73">
          <w:rPr>
            <w:rStyle w:val="Hyperlink"/>
          </w:rPr>
          <w:t>Provider Administration and Participant Flexibility</w:t>
        </w:r>
        <w:r w:rsidR="00B621CC">
          <w:rPr>
            <w:webHidden/>
          </w:rPr>
          <w:tab/>
        </w:r>
        <w:r w:rsidR="00B621CC">
          <w:rPr>
            <w:webHidden/>
          </w:rPr>
          <w:fldChar w:fldCharType="begin"/>
        </w:r>
        <w:r w:rsidR="00B621CC">
          <w:rPr>
            <w:webHidden/>
          </w:rPr>
          <w:instrText xml:space="preserve"> PAGEREF _Toc42014717 \h </w:instrText>
        </w:r>
        <w:r w:rsidR="00B621CC">
          <w:rPr>
            <w:webHidden/>
          </w:rPr>
        </w:r>
        <w:r w:rsidR="00B621CC">
          <w:rPr>
            <w:webHidden/>
          </w:rPr>
          <w:fldChar w:fldCharType="separate"/>
        </w:r>
        <w:r w:rsidR="00EE2032">
          <w:rPr>
            <w:webHidden/>
          </w:rPr>
          <w:t>35</w:t>
        </w:r>
        <w:r w:rsidR="00B621CC">
          <w:rPr>
            <w:webHidden/>
          </w:rPr>
          <w:fldChar w:fldCharType="end"/>
        </w:r>
      </w:hyperlink>
    </w:p>
    <w:p w:rsidR="00B621CC" w:rsidRDefault="00F30779">
      <w:pPr>
        <w:pStyle w:val="TOC2"/>
        <w:rPr>
          <w:rFonts w:eastAsiaTheme="minorEastAsia"/>
          <w:i w:val="0"/>
          <w:iCs w:val="0"/>
          <w:noProof/>
          <w:sz w:val="22"/>
          <w:szCs w:val="22"/>
          <w:lang w:eastAsia="en-AU"/>
        </w:rPr>
      </w:pPr>
      <w:hyperlink w:anchor="_Toc42014718" w:history="1">
        <w:r w:rsidR="00B621CC" w:rsidRPr="00F34D73">
          <w:rPr>
            <w:rStyle w:val="Hyperlink"/>
            <w:noProof/>
          </w:rPr>
          <w:t>Current Arrangements</w:t>
        </w:r>
        <w:r w:rsidR="00B621CC">
          <w:rPr>
            <w:noProof/>
            <w:webHidden/>
          </w:rPr>
          <w:tab/>
        </w:r>
        <w:r w:rsidR="00B621CC">
          <w:rPr>
            <w:noProof/>
            <w:webHidden/>
          </w:rPr>
          <w:fldChar w:fldCharType="begin"/>
        </w:r>
        <w:r w:rsidR="00B621CC">
          <w:rPr>
            <w:noProof/>
            <w:webHidden/>
          </w:rPr>
          <w:instrText xml:space="preserve"> PAGEREF _Toc42014718 \h </w:instrText>
        </w:r>
        <w:r w:rsidR="00B621CC">
          <w:rPr>
            <w:noProof/>
            <w:webHidden/>
          </w:rPr>
        </w:r>
        <w:r w:rsidR="00B621CC">
          <w:rPr>
            <w:noProof/>
            <w:webHidden/>
          </w:rPr>
          <w:fldChar w:fldCharType="separate"/>
        </w:r>
        <w:r w:rsidR="00EE2032">
          <w:rPr>
            <w:noProof/>
            <w:webHidden/>
          </w:rPr>
          <w:t>35</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19" w:history="1">
        <w:r w:rsidR="00B621CC" w:rsidRPr="00F34D73">
          <w:rPr>
            <w:rStyle w:val="Hyperlink"/>
            <w:noProof/>
          </w:rPr>
          <w:t>Consultations</w:t>
        </w:r>
        <w:r w:rsidR="00B621CC">
          <w:rPr>
            <w:noProof/>
            <w:webHidden/>
          </w:rPr>
          <w:tab/>
        </w:r>
        <w:r w:rsidR="00B621CC">
          <w:rPr>
            <w:noProof/>
            <w:webHidden/>
          </w:rPr>
          <w:fldChar w:fldCharType="begin"/>
        </w:r>
        <w:r w:rsidR="00B621CC">
          <w:rPr>
            <w:noProof/>
            <w:webHidden/>
          </w:rPr>
          <w:instrText xml:space="preserve"> PAGEREF _Toc42014719 \h </w:instrText>
        </w:r>
        <w:r w:rsidR="00B621CC">
          <w:rPr>
            <w:noProof/>
            <w:webHidden/>
          </w:rPr>
        </w:r>
        <w:r w:rsidR="00B621CC">
          <w:rPr>
            <w:noProof/>
            <w:webHidden/>
          </w:rPr>
          <w:fldChar w:fldCharType="separate"/>
        </w:r>
        <w:r w:rsidR="00EE2032">
          <w:rPr>
            <w:noProof/>
            <w:webHidden/>
          </w:rPr>
          <w:t>35</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20" w:history="1">
        <w:r w:rsidR="00B621CC" w:rsidRPr="00F34D73">
          <w:rPr>
            <w:rStyle w:val="Hyperlink"/>
            <w:noProof/>
          </w:rPr>
          <w:t>Discussion</w:t>
        </w:r>
        <w:r w:rsidR="00B621CC">
          <w:rPr>
            <w:noProof/>
            <w:webHidden/>
          </w:rPr>
          <w:tab/>
        </w:r>
        <w:r w:rsidR="00B621CC">
          <w:rPr>
            <w:noProof/>
            <w:webHidden/>
          </w:rPr>
          <w:fldChar w:fldCharType="begin"/>
        </w:r>
        <w:r w:rsidR="00B621CC">
          <w:rPr>
            <w:noProof/>
            <w:webHidden/>
          </w:rPr>
          <w:instrText xml:space="preserve"> PAGEREF _Toc42014720 \h </w:instrText>
        </w:r>
        <w:r w:rsidR="00B621CC">
          <w:rPr>
            <w:noProof/>
            <w:webHidden/>
          </w:rPr>
        </w:r>
        <w:r w:rsidR="00B621CC">
          <w:rPr>
            <w:noProof/>
            <w:webHidden/>
          </w:rPr>
          <w:fldChar w:fldCharType="separate"/>
        </w:r>
        <w:r w:rsidR="00EE2032">
          <w:rPr>
            <w:noProof/>
            <w:webHidden/>
          </w:rPr>
          <w:t>36</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21" w:history="1">
        <w:r w:rsidR="00B621CC" w:rsidRPr="00F34D73">
          <w:rPr>
            <w:rStyle w:val="Hyperlink"/>
            <w:noProof/>
          </w:rPr>
          <w:t>Recommendations</w:t>
        </w:r>
        <w:r w:rsidR="00B621CC">
          <w:rPr>
            <w:noProof/>
            <w:webHidden/>
          </w:rPr>
          <w:tab/>
        </w:r>
        <w:r w:rsidR="00B621CC">
          <w:rPr>
            <w:noProof/>
            <w:webHidden/>
          </w:rPr>
          <w:fldChar w:fldCharType="begin"/>
        </w:r>
        <w:r w:rsidR="00B621CC">
          <w:rPr>
            <w:noProof/>
            <w:webHidden/>
          </w:rPr>
          <w:instrText xml:space="preserve"> PAGEREF _Toc42014721 \h </w:instrText>
        </w:r>
        <w:r w:rsidR="00B621CC">
          <w:rPr>
            <w:noProof/>
            <w:webHidden/>
          </w:rPr>
        </w:r>
        <w:r w:rsidR="00B621CC">
          <w:rPr>
            <w:noProof/>
            <w:webHidden/>
          </w:rPr>
          <w:fldChar w:fldCharType="separate"/>
        </w:r>
        <w:r w:rsidR="00EE2032">
          <w:rPr>
            <w:noProof/>
            <w:webHidden/>
          </w:rPr>
          <w:t>39</w:t>
        </w:r>
        <w:r w:rsidR="00B621CC">
          <w:rPr>
            <w:noProof/>
            <w:webHidden/>
          </w:rPr>
          <w:fldChar w:fldCharType="end"/>
        </w:r>
      </w:hyperlink>
    </w:p>
    <w:p w:rsidR="00B621CC" w:rsidRDefault="00F30779">
      <w:pPr>
        <w:pStyle w:val="TOC1"/>
        <w:rPr>
          <w:rFonts w:eastAsiaTheme="minorEastAsia"/>
          <w:b w:val="0"/>
          <w:bCs w:val="0"/>
          <w:sz w:val="22"/>
          <w:szCs w:val="22"/>
          <w:lang w:eastAsia="en-AU"/>
        </w:rPr>
      </w:pPr>
      <w:hyperlink w:anchor="_Toc42014722" w:history="1">
        <w:r w:rsidR="00B621CC" w:rsidRPr="00F34D73">
          <w:rPr>
            <w:rStyle w:val="Hyperlink"/>
          </w:rPr>
          <w:t>3.</w:t>
        </w:r>
        <w:r w:rsidR="00B621CC">
          <w:rPr>
            <w:rFonts w:eastAsiaTheme="minorEastAsia"/>
            <w:b w:val="0"/>
            <w:bCs w:val="0"/>
            <w:sz w:val="22"/>
            <w:szCs w:val="22"/>
            <w:lang w:eastAsia="en-AU"/>
          </w:rPr>
          <w:tab/>
        </w:r>
        <w:r w:rsidR="00B621CC" w:rsidRPr="00F34D73">
          <w:rPr>
            <w:rStyle w:val="Hyperlink"/>
          </w:rPr>
          <w:t>Price limits for 1:1 core supports</w:t>
        </w:r>
        <w:r w:rsidR="00B621CC">
          <w:rPr>
            <w:webHidden/>
          </w:rPr>
          <w:tab/>
        </w:r>
        <w:r w:rsidR="00B621CC">
          <w:rPr>
            <w:webHidden/>
          </w:rPr>
          <w:fldChar w:fldCharType="begin"/>
        </w:r>
        <w:r w:rsidR="00B621CC">
          <w:rPr>
            <w:webHidden/>
          </w:rPr>
          <w:instrText xml:space="preserve"> PAGEREF _Toc42014722 \h </w:instrText>
        </w:r>
        <w:r w:rsidR="00B621CC">
          <w:rPr>
            <w:webHidden/>
          </w:rPr>
        </w:r>
        <w:r w:rsidR="00B621CC">
          <w:rPr>
            <w:webHidden/>
          </w:rPr>
          <w:fldChar w:fldCharType="separate"/>
        </w:r>
        <w:r w:rsidR="00EE2032">
          <w:rPr>
            <w:webHidden/>
          </w:rPr>
          <w:t>41</w:t>
        </w:r>
        <w:r w:rsidR="00B621CC">
          <w:rPr>
            <w:webHidden/>
          </w:rPr>
          <w:fldChar w:fldCharType="end"/>
        </w:r>
      </w:hyperlink>
    </w:p>
    <w:p w:rsidR="00B621CC" w:rsidRDefault="00F30779">
      <w:pPr>
        <w:pStyle w:val="TOC2"/>
        <w:rPr>
          <w:rFonts w:eastAsiaTheme="minorEastAsia"/>
          <w:i w:val="0"/>
          <w:iCs w:val="0"/>
          <w:noProof/>
          <w:sz w:val="22"/>
          <w:szCs w:val="22"/>
          <w:lang w:eastAsia="en-AU"/>
        </w:rPr>
      </w:pPr>
      <w:hyperlink w:anchor="_Toc42014723" w:history="1">
        <w:r w:rsidR="00B621CC" w:rsidRPr="00F34D73">
          <w:rPr>
            <w:rStyle w:val="Hyperlink"/>
            <w:noProof/>
          </w:rPr>
          <w:t>Current Arrangements</w:t>
        </w:r>
        <w:r w:rsidR="00B621CC">
          <w:rPr>
            <w:noProof/>
            <w:webHidden/>
          </w:rPr>
          <w:tab/>
        </w:r>
        <w:r w:rsidR="00B621CC">
          <w:rPr>
            <w:noProof/>
            <w:webHidden/>
          </w:rPr>
          <w:fldChar w:fldCharType="begin"/>
        </w:r>
        <w:r w:rsidR="00B621CC">
          <w:rPr>
            <w:noProof/>
            <w:webHidden/>
          </w:rPr>
          <w:instrText xml:space="preserve"> PAGEREF _Toc42014723 \h </w:instrText>
        </w:r>
        <w:r w:rsidR="00B621CC">
          <w:rPr>
            <w:noProof/>
            <w:webHidden/>
          </w:rPr>
        </w:r>
        <w:r w:rsidR="00B621CC">
          <w:rPr>
            <w:noProof/>
            <w:webHidden/>
          </w:rPr>
          <w:fldChar w:fldCharType="separate"/>
        </w:r>
        <w:r w:rsidR="00EE2032">
          <w:rPr>
            <w:noProof/>
            <w:webHidden/>
          </w:rPr>
          <w:t>41</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24" w:history="1">
        <w:r w:rsidR="00B621CC" w:rsidRPr="00F34D73">
          <w:rPr>
            <w:rStyle w:val="Hyperlink"/>
            <w:noProof/>
          </w:rPr>
          <w:t>Consultations</w:t>
        </w:r>
        <w:r w:rsidR="00B621CC">
          <w:rPr>
            <w:noProof/>
            <w:webHidden/>
          </w:rPr>
          <w:tab/>
        </w:r>
        <w:r w:rsidR="00B621CC">
          <w:rPr>
            <w:noProof/>
            <w:webHidden/>
          </w:rPr>
          <w:fldChar w:fldCharType="begin"/>
        </w:r>
        <w:r w:rsidR="00B621CC">
          <w:rPr>
            <w:noProof/>
            <w:webHidden/>
          </w:rPr>
          <w:instrText xml:space="preserve"> PAGEREF _Toc42014724 \h </w:instrText>
        </w:r>
        <w:r w:rsidR="00B621CC">
          <w:rPr>
            <w:noProof/>
            <w:webHidden/>
          </w:rPr>
        </w:r>
        <w:r w:rsidR="00B621CC">
          <w:rPr>
            <w:noProof/>
            <w:webHidden/>
          </w:rPr>
          <w:fldChar w:fldCharType="separate"/>
        </w:r>
        <w:r w:rsidR="00EE2032">
          <w:rPr>
            <w:noProof/>
            <w:webHidden/>
          </w:rPr>
          <w:t>44</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25" w:history="1">
        <w:r w:rsidR="00B621CC" w:rsidRPr="00F34D73">
          <w:rPr>
            <w:rStyle w:val="Hyperlink"/>
            <w:noProof/>
          </w:rPr>
          <w:t>Research</w:t>
        </w:r>
        <w:r w:rsidR="00B621CC">
          <w:rPr>
            <w:noProof/>
            <w:webHidden/>
          </w:rPr>
          <w:tab/>
        </w:r>
        <w:r w:rsidR="00B621CC">
          <w:rPr>
            <w:noProof/>
            <w:webHidden/>
          </w:rPr>
          <w:fldChar w:fldCharType="begin"/>
        </w:r>
        <w:r w:rsidR="00B621CC">
          <w:rPr>
            <w:noProof/>
            <w:webHidden/>
          </w:rPr>
          <w:instrText xml:space="preserve"> PAGEREF _Toc42014725 \h </w:instrText>
        </w:r>
        <w:r w:rsidR="00B621CC">
          <w:rPr>
            <w:noProof/>
            <w:webHidden/>
          </w:rPr>
        </w:r>
        <w:r w:rsidR="00B621CC">
          <w:rPr>
            <w:noProof/>
            <w:webHidden/>
          </w:rPr>
          <w:fldChar w:fldCharType="separate"/>
        </w:r>
        <w:r w:rsidR="00EE2032">
          <w:rPr>
            <w:noProof/>
            <w:webHidden/>
          </w:rPr>
          <w:t>52</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26" w:history="1">
        <w:r w:rsidR="00B621CC" w:rsidRPr="00F34D73">
          <w:rPr>
            <w:rStyle w:val="Hyperlink"/>
            <w:noProof/>
          </w:rPr>
          <w:t>Discussion</w:t>
        </w:r>
        <w:r w:rsidR="00B621CC">
          <w:rPr>
            <w:noProof/>
            <w:webHidden/>
          </w:rPr>
          <w:tab/>
        </w:r>
        <w:r w:rsidR="00B621CC">
          <w:rPr>
            <w:noProof/>
            <w:webHidden/>
          </w:rPr>
          <w:fldChar w:fldCharType="begin"/>
        </w:r>
        <w:r w:rsidR="00B621CC">
          <w:rPr>
            <w:noProof/>
            <w:webHidden/>
          </w:rPr>
          <w:instrText xml:space="preserve"> PAGEREF _Toc42014726 \h </w:instrText>
        </w:r>
        <w:r w:rsidR="00B621CC">
          <w:rPr>
            <w:noProof/>
            <w:webHidden/>
          </w:rPr>
        </w:r>
        <w:r w:rsidR="00B621CC">
          <w:rPr>
            <w:noProof/>
            <w:webHidden/>
          </w:rPr>
          <w:fldChar w:fldCharType="separate"/>
        </w:r>
        <w:r w:rsidR="00EE2032">
          <w:rPr>
            <w:noProof/>
            <w:webHidden/>
          </w:rPr>
          <w:t>56</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27" w:history="1">
        <w:r w:rsidR="00B621CC" w:rsidRPr="00F34D73">
          <w:rPr>
            <w:rStyle w:val="Hyperlink"/>
            <w:noProof/>
          </w:rPr>
          <w:t>Recommendations</w:t>
        </w:r>
        <w:r w:rsidR="00B621CC">
          <w:rPr>
            <w:noProof/>
            <w:webHidden/>
          </w:rPr>
          <w:tab/>
        </w:r>
        <w:r w:rsidR="00B621CC">
          <w:rPr>
            <w:noProof/>
            <w:webHidden/>
          </w:rPr>
          <w:fldChar w:fldCharType="begin"/>
        </w:r>
        <w:r w:rsidR="00B621CC">
          <w:rPr>
            <w:noProof/>
            <w:webHidden/>
          </w:rPr>
          <w:instrText xml:space="preserve"> PAGEREF _Toc42014727 \h </w:instrText>
        </w:r>
        <w:r w:rsidR="00B621CC">
          <w:rPr>
            <w:noProof/>
            <w:webHidden/>
          </w:rPr>
        </w:r>
        <w:r w:rsidR="00B621CC">
          <w:rPr>
            <w:noProof/>
            <w:webHidden/>
          </w:rPr>
          <w:fldChar w:fldCharType="separate"/>
        </w:r>
        <w:r w:rsidR="00EE2032">
          <w:rPr>
            <w:noProof/>
            <w:webHidden/>
          </w:rPr>
          <w:t>64</w:t>
        </w:r>
        <w:r w:rsidR="00B621CC">
          <w:rPr>
            <w:noProof/>
            <w:webHidden/>
          </w:rPr>
          <w:fldChar w:fldCharType="end"/>
        </w:r>
      </w:hyperlink>
    </w:p>
    <w:p w:rsidR="00B621CC" w:rsidRDefault="00F30779">
      <w:pPr>
        <w:pStyle w:val="TOC1"/>
        <w:rPr>
          <w:rFonts w:eastAsiaTheme="minorEastAsia"/>
          <w:b w:val="0"/>
          <w:bCs w:val="0"/>
          <w:sz w:val="22"/>
          <w:szCs w:val="22"/>
          <w:lang w:eastAsia="en-AU"/>
        </w:rPr>
      </w:pPr>
      <w:hyperlink w:anchor="_Toc42014728" w:history="1">
        <w:r w:rsidR="00B621CC" w:rsidRPr="00F34D73">
          <w:rPr>
            <w:rStyle w:val="Hyperlink"/>
          </w:rPr>
          <w:t>4.</w:t>
        </w:r>
        <w:r w:rsidR="00B621CC">
          <w:rPr>
            <w:rFonts w:eastAsiaTheme="minorEastAsia"/>
            <w:b w:val="0"/>
            <w:bCs w:val="0"/>
            <w:sz w:val="22"/>
            <w:szCs w:val="22"/>
            <w:lang w:eastAsia="en-AU"/>
          </w:rPr>
          <w:tab/>
        </w:r>
        <w:r w:rsidR="00B621CC" w:rsidRPr="00F34D73">
          <w:rPr>
            <w:rStyle w:val="Hyperlink"/>
          </w:rPr>
          <w:t>Price limits for group-based core supports</w:t>
        </w:r>
        <w:r w:rsidR="00B621CC">
          <w:rPr>
            <w:webHidden/>
          </w:rPr>
          <w:tab/>
        </w:r>
        <w:r w:rsidR="00B621CC">
          <w:rPr>
            <w:webHidden/>
          </w:rPr>
          <w:fldChar w:fldCharType="begin"/>
        </w:r>
        <w:r w:rsidR="00B621CC">
          <w:rPr>
            <w:webHidden/>
          </w:rPr>
          <w:instrText xml:space="preserve"> PAGEREF _Toc42014728 \h </w:instrText>
        </w:r>
        <w:r w:rsidR="00B621CC">
          <w:rPr>
            <w:webHidden/>
          </w:rPr>
        </w:r>
        <w:r w:rsidR="00B621CC">
          <w:rPr>
            <w:webHidden/>
          </w:rPr>
          <w:fldChar w:fldCharType="separate"/>
        </w:r>
        <w:r w:rsidR="00EE2032">
          <w:rPr>
            <w:webHidden/>
          </w:rPr>
          <w:t>67</w:t>
        </w:r>
        <w:r w:rsidR="00B621CC">
          <w:rPr>
            <w:webHidden/>
          </w:rPr>
          <w:fldChar w:fldCharType="end"/>
        </w:r>
      </w:hyperlink>
    </w:p>
    <w:p w:rsidR="00B621CC" w:rsidRDefault="00F30779">
      <w:pPr>
        <w:pStyle w:val="TOC2"/>
        <w:rPr>
          <w:rFonts w:eastAsiaTheme="minorEastAsia"/>
          <w:i w:val="0"/>
          <w:iCs w:val="0"/>
          <w:noProof/>
          <w:sz w:val="22"/>
          <w:szCs w:val="22"/>
          <w:lang w:eastAsia="en-AU"/>
        </w:rPr>
      </w:pPr>
      <w:hyperlink w:anchor="_Toc42014729" w:history="1">
        <w:r w:rsidR="00B621CC" w:rsidRPr="00F34D73">
          <w:rPr>
            <w:rStyle w:val="Hyperlink"/>
            <w:noProof/>
          </w:rPr>
          <w:t>Current Arrangements</w:t>
        </w:r>
        <w:r w:rsidR="00B621CC">
          <w:rPr>
            <w:noProof/>
            <w:webHidden/>
          </w:rPr>
          <w:tab/>
        </w:r>
        <w:r w:rsidR="00B621CC">
          <w:rPr>
            <w:noProof/>
            <w:webHidden/>
          </w:rPr>
          <w:fldChar w:fldCharType="begin"/>
        </w:r>
        <w:r w:rsidR="00B621CC">
          <w:rPr>
            <w:noProof/>
            <w:webHidden/>
          </w:rPr>
          <w:instrText xml:space="preserve"> PAGEREF _Toc42014729 \h </w:instrText>
        </w:r>
        <w:r w:rsidR="00B621CC">
          <w:rPr>
            <w:noProof/>
            <w:webHidden/>
          </w:rPr>
        </w:r>
        <w:r w:rsidR="00B621CC">
          <w:rPr>
            <w:noProof/>
            <w:webHidden/>
          </w:rPr>
          <w:fldChar w:fldCharType="separate"/>
        </w:r>
        <w:r w:rsidR="00EE2032">
          <w:rPr>
            <w:noProof/>
            <w:webHidden/>
          </w:rPr>
          <w:t>67</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30" w:history="1">
        <w:r w:rsidR="00B621CC" w:rsidRPr="00F34D73">
          <w:rPr>
            <w:rStyle w:val="Hyperlink"/>
            <w:noProof/>
          </w:rPr>
          <w:t>Consultations</w:t>
        </w:r>
        <w:r w:rsidR="00B621CC">
          <w:rPr>
            <w:noProof/>
            <w:webHidden/>
          </w:rPr>
          <w:tab/>
        </w:r>
        <w:r w:rsidR="00B621CC">
          <w:rPr>
            <w:noProof/>
            <w:webHidden/>
          </w:rPr>
          <w:fldChar w:fldCharType="begin"/>
        </w:r>
        <w:r w:rsidR="00B621CC">
          <w:rPr>
            <w:noProof/>
            <w:webHidden/>
          </w:rPr>
          <w:instrText xml:space="preserve"> PAGEREF _Toc42014730 \h </w:instrText>
        </w:r>
        <w:r w:rsidR="00B621CC">
          <w:rPr>
            <w:noProof/>
            <w:webHidden/>
          </w:rPr>
        </w:r>
        <w:r w:rsidR="00B621CC">
          <w:rPr>
            <w:noProof/>
            <w:webHidden/>
          </w:rPr>
          <w:fldChar w:fldCharType="separate"/>
        </w:r>
        <w:r w:rsidR="00EE2032">
          <w:rPr>
            <w:noProof/>
            <w:webHidden/>
          </w:rPr>
          <w:t>68</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31" w:history="1">
        <w:r w:rsidR="00B621CC" w:rsidRPr="00F34D73">
          <w:rPr>
            <w:rStyle w:val="Hyperlink"/>
            <w:noProof/>
          </w:rPr>
          <w:t>Research</w:t>
        </w:r>
        <w:r w:rsidR="00B621CC">
          <w:rPr>
            <w:noProof/>
            <w:webHidden/>
          </w:rPr>
          <w:tab/>
        </w:r>
        <w:r w:rsidR="00B621CC">
          <w:rPr>
            <w:noProof/>
            <w:webHidden/>
          </w:rPr>
          <w:fldChar w:fldCharType="begin"/>
        </w:r>
        <w:r w:rsidR="00B621CC">
          <w:rPr>
            <w:noProof/>
            <w:webHidden/>
          </w:rPr>
          <w:instrText xml:space="preserve"> PAGEREF _Toc42014731 \h </w:instrText>
        </w:r>
        <w:r w:rsidR="00B621CC">
          <w:rPr>
            <w:noProof/>
            <w:webHidden/>
          </w:rPr>
        </w:r>
        <w:r w:rsidR="00B621CC">
          <w:rPr>
            <w:noProof/>
            <w:webHidden/>
          </w:rPr>
          <w:fldChar w:fldCharType="separate"/>
        </w:r>
        <w:r w:rsidR="00EE2032">
          <w:rPr>
            <w:noProof/>
            <w:webHidden/>
          </w:rPr>
          <w:t>70</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32" w:history="1">
        <w:r w:rsidR="00B621CC" w:rsidRPr="00F34D73">
          <w:rPr>
            <w:rStyle w:val="Hyperlink"/>
            <w:noProof/>
          </w:rPr>
          <w:t>Discussion</w:t>
        </w:r>
        <w:r w:rsidR="00B621CC">
          <w:rPr>
            <w:noProof/>
            <w:webHidden/>
          </w:rPr>
          <w:tab/>
        </w:r>
        <w:r w:rsidR="00B621CC">
          <w:rPr>
            <w:noProof/>
            <w:webHidden/>
          </w:rPr>
          <w:fldChar w:fldCharType="begin"/>
        </w:r>
        <w:r w:rsidR="00B621CC">
          <w:rPr>
            <w:noProof/>
            <w:webHidden/>
          </w:rPr>
          <w:instrText xml:space="preserve"> PAGEREF _Toc42014732 \h </w:instrText>
        </w:r>
        <w:r w:rsidR="00B621CC">
          <w:rPr>
            <w:noProof/>
            <w:webHidden/>
          </w:rPr>
        </w:r>
        <w:r w:rsidR="00B621CC">
          <w:rPr>
            <w:noProof/>
            <w:webHidden/>
          </w:rPr>
          <w:fldChar w:fldCharType="separate"/>
        </w:r>
        <w:r w:rsidR="00EE2032">
          <w:rPr>
            <w:noProof/>
            <w:webHidden/>
          </w:rPr>
          <w:t>71</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33" w:history="1">
        <w:r w:rsidR="00B621CC" w:rsidRPr="00F34D73">
          <w:rPr>
            <w:rStyle w:val="Hyperlink"/>
            <w:noProof/>
          </w:rPr>
          <w:t>Recommendation</w:t>
        </w:r>
        <w:r w:rsidR="00B621CC">
          <w:rPr>
            <w:noProof/>
            <w:webHidden/>
          </w:rPr>
          <w:tab/>
        </w:r>
        <w:r w:rsidR="00B621CC">
          <w:rPr>
            <w:noProof/>
            <w:webHidden/>
          </w:rPr>
          <w:fldChar w:fldCharType="begin"/>
        </w:r>
        <w:r w:rsidR="00B621CC">
          <w:rPr>
            <w:noProof/>
            <w:webHidden/>
          </w:rPr>
          <w:instrText xml:space="preserve"> PAGEREF _Toc42014733 \h </w:instrText>
        </w:r>
        <w:r w:rsidR="00B621CC">
          <w:rPr>
            <w:noProof/>
            <w:webHidden/>
          </w:rPr>
        </w:r>
        <w:r w:rsidR="00B621CC">
          <w:rPr>
            <w:noProof/>
            <w:webHidden/>
          </w:rPr>
          <w:fldChar w:fldCharType="separate"/>
        </w:r>
        <w:r w:rsidR="00EE2032">
          <w:rPr>
            <w:noProof/>
            <w:webHidden/>
          </w:rPr>
          <w:t>72</w:t>
        </w:r>
        <w:r w:rsidR="00B621CC">
          <w:rPr>
            <w:noProof/>
            <w:webHidden/>
          </w:rPr>
          <w:fldChar w:fldCharType="end"/>
        </w:r>
      </w:hyperlink>
    </w:p>
    <w:p w:rsidR="00B621CC" w:rsidRDefault="00F30779">
      <w:pPr>
        <w:pStyle w:val="TOC1"/>
        <w:rPr>
          <w:rFonts w:eastAsiaTheme="minorEastAsia"/>
          <w:b w:val="0"/>
          <w:bCs w:val="0"/>
          <w:sz w:val="22"/>
          <w:szCs w:val="22"/>
          <w:lang w:eastAsia="en-AU"/>
        </w:rPr>
      </w:pPr>
      <w:hyperlink w:anchor="_Toc42014734" w:history="1">
        <w:r w:rsidR="00B621CC" w:rsidRPr="00F34D73">
          <w:rPr>
            <w:rStyle w:val="Hyperlink"/>
          </w:rPr>
          <w:t>5.</w:t>
        </w:r>
        <w:r w:rsidR="00B621CC">
          <w:rPr>
            <w:rFonts w:eastAsiaTheme="minorEastAsia"/>
            <w:b w:val="0"/>
            <w:bCs w:val="0"/>
            <w:sz w:val="22"/>
            <w:szCs w:val="22"/>
            <w:lang w:eastAsia="en-AU"/>
          </w:rPr>
          <w:tab/>
        </w:r>
        <w:r w:rsidR="00B621CC" w:rsidRPr="00F34D73">
          <w:rPr>
            <w:rStyle w:val="Hyperlink"/>
          </w:rPr>
          <w:t>Capacity Building Supports</w:t>
        </w:r>
        <w:r w:rsidR="00B621CC">
          <w:rPr>
            <w:webHidden/>
          </w:rPr>
          <w:tab/>
        </w:r>
        <w:r w:rsidR="00B621CC">
          <w:rPr>
            <w:webHidden/>
          </w:rPr>
          <w:fldChar w:fldCharType="begin"/>
        </w:r>
        <w:r w:rsidR="00B621CC">
          <w:rPr>
            <w:webHidden/>
          </w:rPr>
          <w:instrText xml:space="preserve"> PAGEREF _Toc42014734 \h </w:instrText>
        </w:r>
        <w:r w:rsidR="00B621CC">
          <w:rPr>
            <w:webHidden/>
          </w:rPr>
        </w:r>
        <w:r w:rsidR="00B621CC">
          <w:rPr>
            <w:webHidden/>
          </w:rPr>
          <w:fldChar w:fldCharType="separate"/>
        </w:r>
        <w:r w:rsidR="00EE2032">
          <w:rPr>
            <w:webHidden/>
          </w:rPr>
          <w:t>73</w:t>
        </w:r>
        <w:r w:rsidR="00B621CC">
          <w:rPr>
            <w:webHidden/>
          </w:rPr>
          <w:fldChar w:fldCharType="end"/>
        </w:r>
      </w:hyperlink>
    </w:p>
    <w:p w:rsidR="00B621CC" w:rsidRDefault="00F30779">
      <w:pPr>
        <w:pStyle w:val="TOC2"/>
        <w:rPr>
          <w:rFonts w:eastAsiaTheme="minorEastAsia"/>
          <w:i w:val="0"/>
          <w:iCs w:val="0"/>
          <w:noProof/>
          <w:sz w:val="22"/>
          <w:szCs w:val="22"/>
          <w:lang w:eastAsia="en-AU"/>
        </w:rPr>
      </w:pPr>
      <w:hyperlink w:anchor="_Toc42014735" w:history="1">
        <w:r w:rsidR="00B621CC" w:rsidRPr="00F34D73">
          <w:rPr>
            <w:rStyle w:val="Hyperlink"/>
            <w:noProof/>
          </w:rPr>
          <w:t>Current Arrangements</w:t>
        </w:r>
        <w:r w:rsidR="00B621CC">
          <w:rPr>
            <w:noProof/>
            <w:webHidden/>
          </w:rPr>
          <w:tab/>
        </w:r>
        <w:r w:rsidR="00B621CC">
          <w:rPr>
            <w:noProof/>
            <w:webHidden/>
          </w:rPr>
          <w:fldChar w:fldCharType="begin"/>
        </w:r>
        <w:r w:rsidR="00B621CC">
          <w:rPr>
            <w:noProof/>
            <w:webHidden/>
          </w:rPr>
          <w:instrText xml:space="preserve"> PAGEREF _Toc42014735 \h </w:instrText>
        </w:r>
        <w:r w:rsidR="00B621CC">
          <w:rPr>
            <w:noProof/>
            <w:webHidden/>
          </w:rPr>
        </w:r>
        <w:r w:rsidR="00B621CC">
          <w:rPr>
            <w:noProof/>
            <w:webHidden/>
          </w:rPr>
          <w:fldChar w:fldCharType="separate"/>
        </w:r>
        <w:r w:rsidR="00EE2032">
          <w:rPr>
            <w:noProof/>
            <w:webHidden/>
          </w:rPr>
          <w:t>73</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36" w:history="1">
        <w:r w:rsidR="00B621CC" w:rsidRPr="00F34D73">
          <w:rPr>
            <w:rStyle w:val="Hyperlink"/>
            <w:noProof/>
          </w:rPr>
          <w:t>Consultations</w:t>
        </w:r>
        <w:r w:rsidR="00B621CC">
          <w:rPr>
            <w:noProof/>
            <w:webHidden/>
          </w:rPr>
          <w:tab/>
        </w:r>
        <w:r w:rsidR="00B621CC">
          <w:rPr>
            <w:noProof/>
            <w:webHidden/>
          </w:rPr>
          <w:fldChar w:fldCharType="begin"/>
        </w:r>
        <w:r w:rsidR="00B621CC">
          <w:rPr>
            <w:noProof/>
            <w:webHidden/>
          </w:rPr>
          <w:instrText xml:space="preserve"> PAGEREF _Toc42014736 \h </w:instrText>
        </w:r>
        <w:r w:rsidR="00B621CC">
          <w:rPr>
            <w:noProof/>
            <w:webHidden/>
          </w:rPr>
        </w:r>
        <w:r w:rsidR="00B621CC">
          <w:rPr>
            <w:noProof/>
            <w:webHidden/>
          </w:rPr>
          <w:fldChar w:fldCharType="separate"/>
        </w:r>
        <w:r w:rsidR="00EE2032">
          <w:rPr>
            <w:noProof/>
            <w:webHidden/>
          </w:rPr>
          <w:t>74</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37" w:history="1">
        <w:r w:rsidR="00B621CC" w:rsidRPr="00F34D73">
          <w:rPr>
            <w:rStyle w:val="Hyperlink"/>
            <w:noProof/>
          </w:rPr>
          <w:t>Research</w:t>
        </w:r>
        <w:r w:rsidR="00B621CC">
          <w:rPr>
            <w:noProof/>
            <w:webHidden/>
          </w:rPr>
          <w:tab/>
        </w:r>
        <w:r w:rsidR="00B621CC">
          <w:rPr>
            <w:noProof/>
            <w:webHidden/>
          </w:rPr>
          <w:fldChar w:fldCharType="begin"/>
        </w:r>
        <w:r w:rsidR="00B621CC">
          <w:rPr>
            <w:noProof/>
            <w:webHidden/>
          </w:rPr>
          <w:instrText xml:space="preserve"> PAGEREF _Toc42014737 \h </w:instrText>
        </w:r>
        <w:r w:rsidR="00B621CC">
          <w:rPr>
            <w:noProof/>
            <w:webHidden/>
          </w:rPr>
        </w:r>
        <w:r w:rsidR="00B621CC">
          <w:rPr>
            <w:noProof/>
            <w:webHidden/>
          </w:rPr>
          <w:fldChar w:fldCharType="separate"/>
        </w:r>
        <w:r w:rsidR="00EE2032">
          <w:rPr>
            <w:noProof/>
            <w:webHidden/>
          </w:rPr>
          <w:t>76</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38" w:history="1">
        <w:r w:rsidR="00B621CC" w:rsidRPr="00F34D73">
          <w:rPr>
            <w:rStyle w:val="Hyperlink"/>
            <w:noProof/>
          </w:rPr>
          <w:t>Discussion</w:t>
        </w:r>
        <w:r w:rsidR="00B621CC">
          <w:rPr>
            <w:noProof/>
            <w:webHidden/>
          </w:rPr>
          <w:tab/>
        </w:r>
        <w:r w:rsidR="00B621CC">
          <w:rPr>
            <w:noProof/>
            <w:webHidden/>
          </w:rPr>
          <w:fldChar w:fldCharType="begin"/>
        </w:r>
        <w:r w:rsidR="00B621CC">
          <w:rPr>
            <w:noProof/>
            <w:webHidden/>
          </w:rPr>
          <w:instrText xml:space="preserve"> PAGEREF _Toc42014738 \h </w:instrText>
        </w:r>
        <w:r w:rsidR="00B621CC">
          <w:rPr>
            <w:noProof/>
            <w:webHidden/>
          </w:rPr>
        </w:r>
        <w:r w:rsidR="00B621CC">
          <w:rPr>
            <w:noProof/>
            <w:webHidden/>
          </w:rPr>
          <w:fldChar w:fldCharType="separate"/>
        </w:r>
        <w:r w:rsidR="00EE2032">
          <w:rPr>
            <w:noProof/>
            <w:webHidden/>
          </w:rPr>
          <w:t>78</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39" w:history="1">
        <w:r w:rsidR="00B621CC" w:rsidRPr="00F34D73">
          <w:rPr>
            <w:rStyle w:val="Hyperlink"/>
            <w:noProof/>
          </w:rPr>
          <w:t>Recommendation</w:t>
        </w:r>
        <w:r w:rsidR="00B621CC">
          <w:rPr>
            <w:noProof/>
            <w:webHidden/>
          </w:rPr>
          <w:tab/>
        </w:r>
        <w:r w:rsidR="00B621CC">
          <w:rPr>
            <w:noProof/>
            <w:webHidden/>
          </w:rPr>
          <w:fldChar w:fldCharType="begin"/>
        </w:r>
        <w:r w:rsidR="00B621CC">
          <w:rPr>
            <w:noProof/>
            <w:webHidden/>
          </w:rPr>
          <w:instrText xml:space="preserve"> PAGEREF _Toc42014739 \h </w:instrText>
        </w:r>
        <w:r w:rsidR="00B621CC">
          <w:rPr>
            <w:noProof/>
            <w:webHidden/>
          </w:rPr>
        </w:r>
        <w:r w:rsidR="00B621CC">
          <w:rPr>
            <w:noProof/>
            <w:webHidden/>
          </w:rPr>
          <w:fldChar w:fldCharType="separate"/>
        </w:r>
        <w:r w:rsidR="00EE2032">
          <w:rPr>
            <w:noProof/>
            <w:webHidden/>
          </w:rPr>
          <w:t>82</w:t>
        </w:r>
        <w:r w:rsidR="00B621CC">
          <w:rPr>
            <w:noProof/>
            <w:webHidden/>
          </w:rPr>
          <w:fldChar w:fldCharType="end"/>
        </w:r>
      </w:hyperlink>
    </w:p>
    <w:p w:rsidR="00B621CC" w:rsidRDefault="00F30779">
      <w:pPr>
        <w:pStyle w:val="TOC1"/>
        <w:rPr>
          <w:rFonts w:eastAsiaTheme="minorEastAsia"/>
          <w:b w:val="0"/>
          <w:bCs w:val="0"/>
          <w:sz w:val="22"/>
          <w:szCs w:val="22"/>
          <w:lang w:eastAsia="en-AU"/>
        </w:rPr>
      </w:pPr>
      <w:hyperlink w:anchor="_Toc42014740" w:history="1">
        <w:r w:rsidR="00B621CC" w:rsidRPr="00F34D73">
          <w:rPr>
            <w:rStyle w:val="Hyperlink"/>
          </w:rPr>
          <w:t>6.</w:t>
        </w:r>
        <w:r w:rsidR="00B621CC">
          <w:rPr>
            <w:rFonts w:eastAsiaTheme="minorEastAsia"/>
            <w:b w:val="0"/>
            <w:bCs w:val="0"/>
            <w:sz w:val="22"/>
            <w:szCs w:val="22"/>
            <w:lang w:eastAsia="en-AU"/>
          </w:rPr>
          <w:tab/>
        </w:r>
        <w:r w:rsidR="00B621CC" w:rsidRPr="00F34D73">
          <w:rPr>
            <w:rStyle w:val="Hyperlink"/>
          </w:rPr>
          <w:t>Plan Management Supports</w:t>
        </w:r>
        <w:r w:rsidR="00B621CC">
          <w:rPr>
            <w:webHidden/>
          </w:rPr>
          <w:tab/>
        </w:r>
        <w:r w:rsidR="00B621CC">
          <w:rPr>
            <w:webHidden/>
          </w:rPr>
          <w:fldChar w:fldCharType="begin"/>
        </w:r>
        <w:r w:rsidR="00B621CC">
          <w:rPr>
            <w:webHidden/>
          </w:rPr>
          <w:instrText xml:space="preserve"> PAGEREF _Toc42014740 \h </w:instrText>
        </w:r>
        <w:r w:rsidR="00B621CC">
          <w:rPr>
            <w:webHidden/>
          </w:rPr>
        </w:r>
        <w:r w:rsidR="00B621CC">
          <w:rPr>
            <w:webHidden/>
          </w:rPr>
          <w:fldChar w:fldCharType="separate"/>
        </w:r>
        <w:r w:rsidR="00EE2032">
          <w:rPr>
            <w:webHidden/>
          </w:rPr>
          <w:t>83</w:t>
        </w:r>
        <w:r w:rsidR="00B621CC">
          <w:rPr>
            <w:webHidden/>
          </w:rPr>
          <w:fldChar w:fldCharType="end"/>
        </w:r>
      </w:hyperlink>
    </w:p>
    <w:p w:rsidR="00B621CC" w:rsidRDefault="00F30779">
      <w:pPr>
        <w:pStyle w:val="TOC2"/>
        <w:rPr>
          <w:rFonts w:eastAsiaTheme="minorEastAsia"/>
          <w:i w:val="0"/>
          <w:iCs w:val="0"/>
          <w:noProof/>
          <w:sz w:val="22"/>
          <w:szCs w:val="22"/>
          <w:lang w:eastAsia="en-AU"/>
        </w:rPr>
      </w:pPr>
      <w:hyperlink w:anchor="_Toc42014741" w:history="1">
        <w:r w:rsidR="00B621CC" w:rsidRPr="00F34D73">
          <w:rPr>
            <w:rStyle w:val="Hyperlink"/>
            <w:noProof/>
          </w:rPr>
          <w:t>Current Arrangements</w:t>
        </w:r>
        <w:r w:rsidR="00B621CC">
          <w:rPr>
            <w:noProof/>
            <w:webHidden/>
          </w:rPr>
          <w:tab/>
        </w:r>
        <w:r w:rsidR="00B621CC">
          <w:rPr>
            <w:noProof/>
            <w:webHidden/>
          </w:rPr>
          <w:fldChar w:fldCharType="begin"/>
        </w:r>
        <w:r w:rsidR="00B621CC">
          <w:rPr>
            <w:noProof/>
            <w:webHidden/>
          </w:rPr>
          <w:instrText xml:space="preserve"> PAGEREF _Toc42014741 \h </w:instrText>
        </w:r>
        <w:r w:rsidR="00B621CC">
          <w:rPr>
            <w:noProof/>
            <w:webHidden/>
          </w:rPr>
        </w:r>
        <w:r w:rsidR="00B621CC">
          <w:rPr>
            <w:noProof/>
            <w:webHidden/>
          </w:rPr>
          <w:fldChar w:fldCharType="separate"/>
        </w:r>
        <w:r w:rsidR="00EE2032">
          <w:rPr>
            <w:noProof/>
            <w:webHidden/>
          </w:rPr>
          <w:t>83</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42" w:history="1">
        <w:r w:rsidR="00B621CC" w:rsidRPr="00F34D73">
          <w:rPr>
            <w:rStyle w:val="Hyperlink"/>
            <w:noProof/>
          </w:rPr>
          <w:t>Consultations</w:t>
        </w:r>
        <w:r w:rsidR="00B621CC">
          <w:rPr>
            <w:noProof/>
            <w:webHidden/>
          </w:rPr>
          <w:tab/>
        </w:r>
        <w:r w:rsidR="00B621CC">
          <w:rPr>
            <w:noProof/>
            <w:webHidden/>
          </w:rPr>
          <w:fldChar w:fldCharType="begin"/>
        </w:r>
        <w:r w:rsidR="00B621CC">
          <w:rPr>
            <w:noProof/>
            <w:webHidden/>
          </w:rPr>
          <w:instrText xml:space="preserve"> PAGEREF _Toc42014742 \h </w:instrText>
        </w:r>
        <w:r w:rsidR="00B621CC">
          <w:rPr>
            <w:noProof/>
            <w:webHidden/>
          </w:rPr>
        </w:r>
        <w:r w:rsidR="00B621CC">
          <w:rPr>
            <w:noProof/>
            <w:webHidden/>
          </w:rPr>
          <w:fldChar w:fldCharType="separate"/>
        </w:r>
        <w:r w:rsidR="00EE2032">
          <w:rPr>
            <w:noProof/>
            <w:webHidden/>
          </w:rPr>
          <w:t>84</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43" w:history="1">
        <w:r w:rsidR="00B621CC" w:rsidRPr="00F34D73">
          <w:rPr>
            <w:rStyle w:val="Hyperlink"/>
            <w:noProof/>
          </w:rPr>
          <w:t>Discussion</w:t>
        </w:r>
        <w:r w:rsidR="00B621CC">
          <w:rPr>
            <w:noProof/>
            <w:webHidden/>
          </w:rPr>
          <w:tab/>
        </w:r>
        <w:r w:rsidR="00B621CC">
          <w:rPr>
            <w:noProof/>
            <w:webHidden/>
          </w:rPr>
          <w:fldChar w:fldCharType="begin"/>
        </w:r>
        <w:r w:rsidR="00B621CC">
          <w:rPr>
            <w:noProof/>
            <w:webHidden/>
          </w:rPr>
          <w:instrText xml:space="preserve"> PAGEREF _Toc42014743 \h </w:instrText>
        </w:r>
        <w:r w:rsidR="00B621CC">
          <w:rPr>
            <w:noProof/>
            <w:webHidden/>
          </w:rPr>
        </w:r>
        <w:r w:rsidR="00B621CC">
          <w:rPr>
            <w:noProof/>
            <w:webHidden/>
          </w:rPr>
          <w:fldChar w:fldCharType="separate"/>
        </w:r>
        <w:r w:rsidR="00EE2032">
          <w:rPr>
            <w:noProof/>
            <w:webHidden/>
          </w:rPr>
          <w:t>88</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44" w:history="1">
        <w:r w:rsidR="00B621CC" w:rsidRPr="00F34D73">
          <w:rPr>
            <w:rStyle w:val="Hyperlink"/>
            <w:noProof/>
          </w:rPr>
          <w:t>Recommendation</w:t>
        </w:r>
        <w:r w:rsidR="00B621CC">
          <w:rPr>
            <w:noProof/>
            <w:webHidden/>
          </w:rPr>
          <w:tab/>
        </w:r>
        <w:r w:rsidR="00B621CC">
          <w:rPr>
            <w:noProof/>
            <w:webHidden/>
          </w:rPr>
          <w:fldChar w:fldCharType="begin"/>
        </w:r>
        <w:r w:rsidR="00B621CC">
          <w:rPr>
            <w:noProof/>
            <w:webHidden/>
          </w:rPr>
          <w:instrText xml:space="preserve"> PAGEREF _Toc42014744 \h </w:instrText>
        </w:r>
        <w:r w:rsidR="00B621CC">
          <w:rPr>
            <w:noProof/>
            <w:webHidden/>
          </w:rPr>
        </w:r>
        <w:r w:rsidR="00B621CC">
          <w:rPr>
            <w:noProof/>
            <w:webHidden/>
          </w:rPr>
          <w:fldChar w:fldCharType="separate"/>
        </w:r>
        <w:r w:rsidR="00EE2032">
          <w:rPr>
            <w:noProof/>
            <w:webHidden/>
          </w:rPr>
          <w:t>90</w:t>
        </w:r>
        <w:r w:rsidR="00B621CC">
          <w:rPr>
            <w:noProof/>
            <w:webHidden/>
          </w:rPr>
          <w:fldChar w:fldCharType="end"/>
        </w:r>
      </w:hyperlink>
    </w:p>
    <w:p w:rsidR="00B621CC" w:rsidRDefault="00F30779">
      <w:pPr>
        <w:pStyle w:val="TOC1"/>
        <w:rPr>
          <w:rFonts w:eastAsiaTheme="minorEastAsia"/>
          <w:b w:val="0"/>
          <w:bCs w:val="0"/>
          <w:sz w:val="22"/>
          <w:szCs w:val="22"/>
          <w:lang w:eastAsia="en-AU"/>
        </w:rPr>
      </w:pPr>
      <w:hyperlink w:anchor="_Toc42014745" w:history="1">
        <w:r w:rsidR="00B621CC" w:rsidRPr="00F34D73">
          <w:rPr>
            <w:rStyle w:val="Hyperlink"/>
          </w:rPr>
          <w:t>7.</w:t>
        </w:r>
        <w:r w:rsidR="00B621CC">
          <w:rPr>
            <w:rFonts w:eastAsiaTheme="minorEastAsia"/>
            <w:b w:val="0"/>
            <w:bCs w:val="0"/>
            <w:sz w:val="22"/>
            <w:szCs w:val="22"/>
            <w:lang w:eastAsia="en-AU"/>
          </w:rPr>
          <w:tab/>
        </w:r>
        <w:r w:rsidR="00B621CC" w:rsidRPr="00F34D73">
          <w:rPr>
            <w:rStyle w:val="Hyperlink"/>
          </w:rPr>
          <w:t>Classifying Regional, Remote and Very Remote</w:t>
        </w:r>
        <w:r w:rsidR="00B621CC">
          <w:rPr>
            <w:webHidden/>
          </w:rPr>
          <w:tab/>
        </w:r>
        <w:r w:rsidR="00B621CC">
          <w:rPr>
            <w:webHidden/>
          </w:rPr>
          <w:fldChar w:fldCharType="begin"/>
        </w:r>
        <w:r w:rsidR="00B621CC">
          <w:rPr>
            <w:webHidden/>
          </w:rPr>
          <w:instrText xml:space="preserve"> PAGEREF _Toc42014745 \h </w:instrText>
        </w:r>
        <w:r w:rsidR="00B621CC">
          <w:rPr>
            <w:webHidden/>
          </w:rPr>
        </w:r>
        <w:r w:rsidR="00B621CC">
          <w:rPr>
            <w:webHidden/>
          </w:rPr>
          <w:fldChar w:fldCharType="separate"/>
        </w:r>
        <w:r w:rsidR="00EE2032">
          <w:rPr>
            <w:webHidden/>
          </w:rPr>
          <w:t>91</w:t>
        </w:r>
        <w:r w:rsidR="00B621CC">
          <w:rPr>
            <w:webHidden/>
          </w:rPr>
          <w:fldChar w:fldCharType="end"/>
        </w:r>
      </w:hyperlink>
    </w:p>
    <w:p w:rsidR="00B621CC" w:rsidRDefault="00F30779">
      <w:pPr>
        <w:pStyle w:val="TOC2"/>
        <w:rPr>
          <w:rFonts w:eastAsiaTheme="minorEastAsia"/>
          <w:i w:val="0"/>
          <w:iCs w:val="0"/>
          <w:noProof/>
          <w:sz w:val="22"/>
          <w:szCs w:val="22"/>
          <w:lang w:eastAsia="en-AU"/>
        </w:rPr>
      </w:pPr>
      <w:hyperlink w:anchor="_Toc42014746" w:history="1">
        <w:r w:rsidR="00B621CC" w:rsidRPr="00F34D73">
          <w:rPr>
            <w:rStyle w:val="Hyperlink"/>
            <w:noProof/>
          </w:rPr>
          <w:t>Current Arrangements</w:t>
        </w:r>
        <w:r w:rsidR="00B621CC">
          <w:rPr>
            <w:noProof/>
            <w:webHidden/>
          </w:rPr>
          <w:tab/>
        </w:r>
        <w:r w:rsidR="00B621CC">
          <w:rPr>
            <w:noProof/>
            <w:webHidden/>
          </w:rPr>
          <w:fldChar w:fldCharType="begin"/>
        </w:r>
        <w:r w:rsidR="00B621CC">
          <w:rPr>
            <w:noProof/>
            <w:webHidden/>
          </w:rPr>
          <w:instrText xml:space="preserve"> PAGEREF _Toc42014746 \h </w:instrText>
        </w:r>
        <w:r w:rsidR="00B621CC">
          <w:rPr>
            <w:noProof/>
            <w:webHidden/>
          </w:rPr>
        </w:r>
        <w:r w:rsidR="00B621CC">
          <w:rPr>
            <w:noProof/>
            <w:webHidden/>
          </w:rPr>
          <w:fldChar w:fldCharType="separate"/>
        </w:r>
        <w:r w:rsidR="00EE2032">
          <w:rPr>
            <w:noProof/>
            <w:webHidden/>
          </w:rPr>
          <w:t>91</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47" w:history="1">
        <w:r w:rsidR="00B621CC" w:rsidRPr="00F34D73">
          <w:rPr>
            <w:rStyle w:val="Hyperlink"/>
            <w:noProof/>
          </w:rPr>
          <w:t>Consultations</w:t>
        </w:r>
        <w:r w:rsidR="00B621CC">
          <w:rPr>
            <w:noProof/>
            <w:webHidden/>
          </w:rPr>
          <w:tab/>
        </w:r>
        <w:r w:rsidR="00B621CC">
          <w:rPr>
            <w:noProof/>
            <w:webHidden/>
          </w:rPr>
          <w:fldChar w:fldCharType="begin"/>
        </w:r>
        <w:r w:rsidR="00B621CC">
          <w:rPr>
            <w:noProof/>
            <w:webHidden/>
          </w:rPr>
          <w:instrText xml:space="preserve"> PAGEREF _Toc42014747 \h </w:instrText>
        </w:r>
        <w:r w:rsidR="00B621CC">
          <w:rPr>
            <w:noProof/>
            <w:webHidden/>
          </w:rPr>
        </w:r>
        <w:r w:rsidR="00B621CC">
          <w:rPr>
            <w:noProof/>
            <w:webHidden/>
          </w:rPr>
          <w:fldChar w:fldCharType="separate"/>
        </w:r>
        <w:r w:rsidR="00EE2032">
          <w:rPr>
            <w:noProof/>
            <w:webHidden/>
          </w:rPr>
          <w:t>93</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48" w:history="1">
        <w:r w:rsidR="00B621CC" w:rsidRPr="00F34D73">
          <w:rPr>
            <w:rStyle w:val="Hyperlink"/>
            <w:noProof/>
          </w:rPr>
          <w:t>Research</w:t>
        </w:r>
        <w:r w:rsidR="00B621CC">
          <w:rPr>
            <w:noProof/>
            <w:webHidden/>
          </w:rPr>
          <w:tab/>
        </w:r>
        <w:r w:rsidR="00B621CC">
          <w:rPr>
            <w:noProof/>
            <w:webHidden/>
          </w:rPr>
          <w:fldChar w:fldCharType="begin"/>
        </w:r>
        <w:r w:rsidR="00B621CC">
          <w:rPr>
            <w:noProof/>
            <w:webHidden/>
          </w:rPr>
          <w:instrText xml:space="preserve"> PAGEREF _Toc42014748 \h </w:instrText>
        </w:r>
        <w:r w:rsidR="00B621CC">
          <w:rPr>
            <w:noProof/>
            <w:webHidden/>
          </w:rPr>
        </w:r>
        <w:r w:rsidR="00B621CC">
          <w:rPr>
            <w:noProof/>
            <w:webHidden/>
          </w:rPr>
          <w:fldChar w:fldCharType="separate"/>
        </w:r>
        <w:r w:rsidR="00EE2032">
          <w:rPr>
            <w:noProof/>
            <w:webHidden/>
          </w:rPr>
          <w:t>94</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49" w:history="1">
        <w:r w:rsidR="00B621CC" w:rsidRPr="00F34D73">
          <w:rPr>
            <w:rStyle w:val="Hyperlink"/>
            <w:noProof/>
          </w:rPr>
          <w:t>DIscussion</w:t>
        </w:r>
        <w:r w:rsidR="00B621CC">
          <w:rPr>
            <w:noProof/>
            <w:webHidden/>
          </w:rPr>
          <w:tab/>
        </w:r>
        <w:r w:rsidR="00B621CC">
          <w:rPr>
            <w:noProof/>
            <w:webHidden/>
          </w:rPr>
          <w:fldChar w:fldCharType="begin"/>
        </w:r>
        <w:r w:rsidR="00B621CC">
          <w:rPr>
            <w:noProof/>
            <w:webHidden/>
          </w:rPr>
          <w:instrText xml:space="preserve"> PAGEREF _Toc42014749 \h </w:instrText>
        </w:r>
        <w:r w:rsidR="00B621CC">
          <w:rPr>
            <w:noProof/>
            <w:webHidden/>
          </w:rPr>
        </w:r>
        <w:r w:rsidR="00B621CC">
          <w:rPr>
            <w:noProof/>
            <w:webHidden/>
          </w:rPr>
          <w:fldChar w:fldCharType="separate"/>
        </w:r>
        <w:r w:rsidR="00EE2032">
          <w:rPr>
            <w:noProof/>
            <w:webHidden/>
          </w:rPr>
          <w:t>94</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50" w:history="1">
        <w:r w:rsidR="00B621CC" w:rsidRPr="00F34D73">
          <w:rPr>
            <w:rStyle w:val="Hyperlink"/>
            <w:noProof/>
          </w:rPr>
          <w:t>Recommendation</w:t>
        </w:r>
        <w:r w:rsidR="00B621CC">
          <w:rPr>
            <w:noProof/>
            <w:webHidden/>
          </w:rPr>
          <w:tab/>
        </w:r>
        <w:r w:rsidR="00B621CC">
          <w:rPr>
            <w:noProof/>
            <w:webHidden/>
          </w:rPr>
          <w:fldChar w:fldCharType="begin"/>
        </w:r>
        <w:r w:rsidR="00B621CC">
          <w:rPr>
            <w:noProof/>
            <w:webHidden/>
          </w:rPr>
          <w:instrText xml:space="preserve"> PAGEREF _Toc42014750 \h </w:instrText>
        </w:r>
        <w:r w:rsidR="00B621CC">
          <w:rPr>
            <w:noProof/>
            <w:webHidden/>
          </w:rPr>
        </w:r>
        <w:r w:rsidR="00B621CC">
          <w:rPr>
            <w:noProof/>
            <w:webHidden/>
          </w:rPr>
          <w:fldChar w:fldCharType="separate"/>
        </w:r>
        <w:r w:rsidR="00EE2032">
          <w:rPr>
            <w:noProof/>
            <w:webHidden/>
          </w:rPr>
          <w:t>94</w:t>
        </w:r>
        <w:r w:rsidR="00B621CC">
          <w:rPr>
            <w:noProof/>
            <w:webHidden/>
          </w:rPr>
          <w:fldChar w:fldCharType="end"/>
        </w:r>
      </w:hyperlink>
    </w:p>
    <w:p w:rsidR="00B621CC" w:rsidRDefault="00F30779">
      <w:pPr>
        <w:pStyle w:val="TOC1"/>
        <w:rPr>
          <w:rFonts w:eastAsiaTheme="minorEastAsia"/>
          <w:b w:val="0"/>
          <w:bCs w:val="0"/>
          <w:sz w:val="22"/>
          <w:szCs w:val="22"/>
          <w:lang w:eastAsia="en-AU"/>
        </w:rPr>
      </w:pPr>
      <w:hyperlink w:anchor="_Toc42014751" w:history="1">
        <w:r w:rsidR="00B621CC" w:rsidRPr="00F34D73">
          <w:rPr>
            <w:rStyle w:val="Hyperlink"/>
          </w:rPr>
          <w:t>8.</w:t>
        </w:r>
        <w:r w:rsidR="00B621CC">
          <w:rPr>
            <w:rFonts w:eastAsiaTheme="minorEastAsia"/>
            <w:b w:val="0"/>
            <w:bCs w:val="0"/>
            <w:sz w:val="22"/>
            <w:szCs w:val="22"/>
            <w:lang w:eastAsia="en-AU"/>
          </w:rPr>
          <w:tab/>
        </w:r>
        <w:r w:rsidR="00B621CC" w:rsidRPr="00F34D73">
          <w:rPr>
            <w:rStyle w:val="Hyperlink"/>
          </w:rPr>
          <w:t>Costs in Outer Regional Areas</w:t>
        </w:r>
        <w:r w:rsidR="00B621CC">
          <w:rPr>
            <w:webHidden/>
          </w:rPr>
          <w:tab/>
        </w:r>
        <w:r w:rsidR="00B621CC">
          <w:rPr>
            <w:webHidden/>
          </w:rPr>
          <w:fldChar w:fldCharType="begin"/>
        </w:r>
        <w:r w:rsidR="00B621CC">
          <w:rPr>
            <w:webHidden/>
          </w:rPr>
          <w:instrText xml:space="preserve"> PAGEREF _Toc42014751 \h </w:instrText>
        </w:r>
        <w:r w:rsidR="00B621CC">
          <w:rPr>
            <w:webHidden/>
          </w:rPr>
        </w:r>
        <w:r w:rsidR="00B621CC">
          <w:rPr>
            <w:webHidden/>
          </w:rPr>
          <w:fldChar w:fldCharType="separate"/>
        </w:r>
        <w:r w:rsidR="00EE2032">
          <w:rPr>
            <w:webHidden/>
          </w:rPr>
          <w:t>95</w:t>
        </w:r>
        <w:r w:rsidR="00B621CC">
          <w:rPr>
            <w:webHidden/>
          </w:rPr>
          <w:fldChar w:fldCharType="end"/>
        </w:r>
      </w:hyperlink>
    </w:p>
    <w:p w:rsidR="00B621CC" w:rsidRDefault="00F30779">
      <w:pPr>
        <w:pStyle w:val="TOC2"/>
        <w:rPr>
          <w:rFonts w:eastAsiaTheme="minorEastAsia"/>
          <w:i w:val="0"/>
          <w:iCs w:val="0"/>
          <w:noProof/>
          <w:sz w:val="22"/>
          <w:szCs w:val="22"/>
          <w:lang w:eastAsia="en-AU"/>
        </w:rPr>
      </w:pPr>
      <w:hyperlink w:anchor="_Toc42014752" w:history="1">
        <w:r w:rsidR="00B621CC" w:rsidRPr="00F34D73">
          <w:rPr>
            <w:rStyle w:val="Hyperlink"/>
            <w:noProof/>
          </w:rPr>
          <w:t>Current Arrangements</w:t>
        </w:r>
        <w:r w:rsidR="00B621CC">
          <w:rPr>
            <w:noProof/>
            <w:webHidden/>
          </w:rPr>
          <w:tab/>
        </w:r>
        <w:r w:rsidR="00B621CC">
          <w:rPr>
            <w:noProof/>
            <w:webHidden/>
          </w:rPr>
          <w:fldChar w:fldCharType="begin"/>
        </w:r>
        <w:r w:rsidR="00B621CC">
          <w:rPr>
            <w:noProof/>
            <w:webHidden/>
          </w:rPr>
          <w:instrText xml:space="preserve"> PAGEREF _Toc42014752 \h </w:instrText>
        </w:r>
        <w:r w:rsidR="00B621CC">
          <w:rPr>
            <w:noProof/>
            <w:webHidden/>
          </w:rPr>
        </w:r>
        <w:r w:rsidR="00B621CC">
          <w:rPr>
            <w:noProof/>
            <w:webHidden/>
          </w:rPr>
          <w:fldChar w:fldCharType="separate"/>
        </w:r>
        <w:r w:rsidR="00EE2032">
          <w:rPr>
            <w:noProof/>
            <w:webHidden/>
          </w:rPr>
          <w:t>95</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53" w:history="1">
        <w:r w:rsidR="00B621CC" w:rsidRPr="00F34D73">
          <w:rPr>
            <w:rStyle w:val="Hyperlink"/>
            <w:noProof/>
          </w:rPr>
          <w:t>Consultations</w:t>
        </w:r>
        <w:r w:rsidR="00B621CC">
          <w:rPr>
            <w:noProof/>
            <w:webHidden/>
          </w:rPr>
          <w:tab/>
        </w:r>
        <w:r w:rsidR="00B621CC">
          <w:rPr>
            <w:noProof/>
            <w:webHidden/>
          </w:rPr>
          <w:fldChar w:fldCharType="begin"/>
        </w:r>
        <w:r w:rsidR="00B621CC">
          <w:rPr>
            <w:noProof/>
            <w:webHidden/>
          </w:rPr>
          <w:instrText xml:space="preserve"> PAGEREF _Toc42014753 \h </w:instrText>
        </w:r>
        <w:r w:rsidR="00B621CC">
          <w:rPr>
            <w:noProof/>
            <w:webHidden/>
          </w:rPr>
        </w:r>
        <w:r w:rsidR="00B621CC">
          <w:rPr>
            <w:noProof/>
            <w:webHidden/>
          </w:rPr>
          <w:fldChar w:fldCharType="separate"/>
        </w:r>
        <w:r w:rsidR="00EE2032">
          <w:rPr>
            <w:noProof/>
            <w:webHidden/>
          </w:rPr>
          <w:t>95</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54" w:history="1">
        <w:r w:rsidR="00B621CC" w:rsidRPr="00F34D73">
          <w:rPr>
            <w:rStyle w:val="Hyperlink"/>
            <w:noProof/>
          </w:rPr>
          <w:t>Research</w:t>
        </w:r>
        <w:r w:rsidR="00B621CC">
          <w:rPr>
            <w:noProof/>
            <w:webHidden/>
          </w:rPr>
          <w:tab/>
        </w:r>
        <w:r w:rsidR="00B621CC">
          <w:rPr>
            <w:noProof/>
            <w:webHidden/>
          </w:rPr>
          <w:fldChar w:fldCharType="begin"/>
        </w:r>
        <w:r w:rsidR="00B621CC">
          <w:rPr>
            <w:noProof/>
            <w:webHidden/>
          </w:rPr>
          <w:instrText xml:space="preserve"> PAGEREF _Toc42014754 \h </w:instrText>
        </w:r>
        <w:r w:rsidR="00B621CC">
          <w:rPr>
            <w:noProof/>
            <w:webHidden/>
          </w:rPr>
        </w:r>
        <w:r w:rsidR="00B621CC">
          <w:rPr>
            <w:noProof/>
            <w:webHidden/>
          </w:rPr>
          <w:fldChar w:fldCharType="separate"/>
        </w:r>
        <w:r w:rsidR="00EE2032">
          <w:rPr>
            <w:noProof/>
            <w:webHidden/>
          </w:rPr>
          <w:t>95</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55" w:history="1">
        <w:r w:rsidR="00B621CC" w:rsidRPr="00F34D73">
          <w:rPr>
            <w:rStyle w:val="Hyperlink"/>
            <w:noProof/>
          </w:rPr>
          <w:t>Discussion</w:t>
        </w:r>
        <w:r w:rsidR="00B621CC">
          <w:rPr>
            <w:noProof/>
            <w:webHidden/>
          </w:rPr>
          <w:tab/>
        </w:r>
        <w:r w:rsidR="00B621CC">
          <w:rPr>
            <w:noProof/>
            <w:webHidden/>
          </w:rPr>
          <w:fldChar w:fldCharType="begin"/>
        </w:r>
        <w:r w:rsidR="00B621CC">
          <w:rPr>
            <w:noProof/>
            <w:webHidden/>
          </w:rPr>
          <w:instrText xml:space="preserve"> PAGEREF _Toc42014755 \h </w:instrText>
        </w:r>
        <w:r w:rsidR="00B621CC">
          <w:rPr>
            <w:noProof/>
            <w:webHidden/>
          </w:rPr>
        </w:r>
        <w:r w:rsidR="00B621CC">
          <w:rPr>
            <w:noProof/>
            <w:webHidden/>
          </w:rPr>
          <w:fldChar w:fldCharType="separate"/>
        </w:r>
        <w:r w:rsidR="00EE2032">
          <w:rPr>
            <w:noProof/>
            <w:webHidden/>
          </w:rPr>
          <w:t>97</w:t>
        </w:r>
        <w:r w:rsidR="00B621CC">
          <w:rPr>
            <w:noProof/>
            <w:webHidden/>
          </w:rPr>
          <w:fldChar w:fldCharType="end"/>
        </w:r>
      </w:hyperlink>
    </w:p>
    <w:p w:rsidR="00B621CC" w:rsidRDefault="00F30779">
      <w:pPr>
        <w:pStyle w:val="TOC1"/>
        <w:rPr>
          <w:rFonts w:eastAsiaTheme="minorEastAsia"/>
          <w:b w:val="0"/>
          <w:bCs w:val="0"/>
          <w:sz w:val="22"/>
          <w:szCs w:val="22"/>
          <w:lang w:eastAsia="en-AU"/>
        </w:rPr>
      </w:pPr>
      <w:hyperlink w:anchor="_Toc42014756" w:history="1">
        <w:r w:rsidR="00B621CC" w:rsidRPr="00F34D73">
          <w:rPr>
            <w:rStyle w:val="Hyperlink"/>
          </w:rPr>
          <w:t>9.</w:t>
        </w:r>
        <w:r w:rsidR="00B621CC">
          <w:rPr>
            <w:rFonts w:eastAsiaTheme="minorEastAsia"/>
            <w:b w:val="0"/>
            <w:bCs w:val="0"/>
            <w:sz w:val="22"/>
            <w:szCs w:val="22"/>
            <w:lang w:eastAsia="en-AU"/>
          </w:rPr>
          <w:tab/>
        </w:r>
        <w:r w:rsidR="00B621CC" w:rsidRPr="00F34D73">
          <w:rPr>
            <w:rStyle w:val="Hyperlink"/>
          </w:rPr>
          <w:t>Cancellation Rules</w:t>
        </w:r>
        <w:r w:rsidR="00B621CC">
          <w:rPr>
            <w:webHidden/>
          </w:rPr>
          <w:tab/>
        </w:r>
        <w:r w:rsidR="00B621CC">
          <w:rPr>
            <w:webHidden/>
          </w:rPr>
          <w:fldChar w:fldCharType="begin"/>
        </w:r>
        <w:r w:rsidR="00B621CC">
          <w:rPr>
            <w:webHidden/>
          </w:rPr>
          <w:instrText xml:space="preserve"> PAGEREF _Toc42014756 \h </w:instrText>
        </w:r>
        <w:r w:rsidR="00B621CC">
          <w:rPr>
            <w:webHidden/>
          </w:rPr>
        </w:r>
        <w:r w:rsidR="00B621CC">
          <w:rPr>
            <w:webHidden/>
          </w:rPr>
          <w:fldChar w:fldCharType="separate"/>
        </w:r>
        <w:r w:rsidR="00EE2032">
          <w:rPr>
            <w:webHidden/>
          </w:rPr>
          <w:t>98</w:t>
        </w:r>
        <w:r w:rsidR="00B621CC">
          <w:rPr>
            <w:webHidden/>
          </w:rPr>
          <w:fldChar w:fldCharType="end"/>
        </w:r>
      </w:hyperlink>
    </w:p>
    <w:p w:rsidR="00B621CC" w:rsidRDefault="00F30779">
      <w:pPr>
        <w:pStyle w:val="TOC2"/>
        <w:rPr>
          <w:rFonts w:eastAsiaTheme="minorEastAsia"/>
          <w:i w:val="0"/>
          <w:iCs w:val="0"/>
          <w:noProof/>
          <w:sz w:val="22"/>
          <w:szCs w:val="22"/>
          <w:lang w:eastAsia="en-AU"/>
        </w:rPr>
      </w:pPr>
      <w:hyperlink w:anchor="_Toc42014757" w:history="1">
        <w:r w:rsidR="00B621CC" w:rsidRPr="00F34D73">
          <w:rPr>
            <w:rStyle w:val="Hyperlink"/>
            <w:noProof/>
          </w:rPr>
          <w:t>Current Arrangements</w:t>
        </w:r>
        <w:r w:rsidR="00B621CC">
          <w:rPr>
            <w:noProof/>
            <w:webHidden/>
          </w:rPr>
          <w:tab/>
        </w:r>
        <w:r w:rsidR="00B621CC">
          <w:rPr>
            <w:noProof/>
            <w:webHidden/>
          </w:rPr>
          <w:fldChar w:fldCharType="begin"/>
        </w:r>
        <w:r w:rsidR="00B621CC">
          <w:rPr>
            <w:noProof/>
            <w:webHidden/>
          </w:rPr>
          <w:instrText xml:space="preserve"> PAGEREF _Toc42014757 \h </w:instrText>
        </w:r>
        <w:r w:rsidR="00B621CC">
          <w:rPr>
            <w:noProof/>
            <w:webHidden/>
          </w:rPr>
        </w:r>
        <w:r w:rsidR="00B621CC">
          <w:rPr>
            <w:noProof/>
            <w:webHidden/>
          </w:rPr>
          <w:fldChar w:fldCharType="separate"/>
        </w:r>
        <w:r w:rsidR="00EE2032">
          <w:rPr>
            <w:noProof/>
            <w:webHidden/>
          </w:rPr>
          <w:t>98</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58" w:history="1">
        <w:r w:rsidR="00B621CC" w:rsidRPr="00F34D73">
          <w:rPr>
            <w:rStyle w:val="Hyperlink"/>
            <w:noProof/>
          </w:rPr>
          <w:t>Consultations</w:t>
        </w:r>
        <w:r w:rsidR="00B621CC">
          <w:rPr>
            <w:noProof/>
            <w:webHidden/>
          </w:rPr>
          <w:tab/>
        </w:r>
        <w:r w:rsidR="00B621CC">
          <w:rPr>
            <w:noProof/>
            <w:webHidden/>
          </w:rPr>
          <w:fldChar w:fldCharType="begin"/>
        </w:r>
        <w:r w:rsidR="00B621CC">
          <w:rPr>
            <w:noProof/>
            <w:webHidden/>
          </w:rPr>
          <w:instrText xml:space="preserve"> PAGEREF _Toc42014758 \h </w:instrText>
        </w:r>
        <w:r w:rsidR="00B621CC">
          <w:rPr>
            <w:noProof/>
            <w:webHidden/>
          </w:rPr>
        </w:r>
        <w:r w:rsidR="00B621CC">
          <w:rPr>
            <w:noProof/>
            <w:webHidden/>
          </w:rPr>
          <w:fldChar w:fldCharType="separate"/>
        </w:r>
        <w:r w:rsidR="00EE2032">
          <w:rPr>
            <w:noProof/>
            <w:webHidden/>
          </w:rPr>
          <w:t>99</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59" w:history="1">
        <w:r w:rsidR="00B621CC" w:rsidRPr="00F34D73">
          <w:rPr>
            <w:rStyle w:val="Hyperlink"/>
            <w:noProof/>
          </w:rPr>
          <w:t>Discussion</w:t>
        </w:r>
        <w:r w:rsidR="00B621CC">
          <w:rPr>
            <w:noProof/>
            <w:webHidden/>
          </w:rPr>
          <w:tab/>
        </w:r>
        <w:r w:rsidR="00B621CC">
          <w:rPr>
            <w:noProof/>
            <w:webHidden/>
          </w:rPr>
          <w:fldChar w:fldCharType="begin"/>
        </w:r>
        <w:r w:rsidR="00B621CC">
          <w:rPr>
            <w:noProof/>
            <w:webHidden/>
          </w:rPr>
          <w:instrText xml:space="preserve"> PAGEREF _Toc42014759 \h </w:instrText>
        </w:r>
        <w:r w:rsidR="00B621CC">
          <w:rPr>
            <w:noProof/>
            <w:webHidden/>
          </w:rPr>
        </w:r>
        <w:r w:rsidR="00B621CC">
          <w:rPr>
            <w:noProof/>
            <w:webHidden/>
          </w:rPr>
          <w:fldChar w:fldCharType="separate"/>
        </w:r>
        <w:r w:rsidR="00EE2032">
          <w:rPr>
            <w:noProof/>
            <w:webHidden/>
          </w:rPr>
          <w:t>100</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60" w:history="1">
        <w:r w:rsidR="00B621CC" w:rsidRPr="00F34D73">
          <w:rPr>
            <w:rStyle w:val="Hyperlink"/>
            <w:noProof/>
          </w:rPr>
          <w:t>Recommendation</w:t>
        </w:r>
        <w:r w:rsidR="00B621CC">
          <w:rPr>
            <w:noProof/>
            <w:webHidden/>
          </w:rPr>
          <w:tab/>
        </w:r>
        <w:r w:rsidR="00B621CC">
          <w:rPr>
            <w:noProof/>
            <w:webHidden/>
          </w:rPr>
          <w:fldChar w:fldCharType="begin"/>
        </w:r>
        <w:r w:rsidR="00B621CC">
          <w:rPr>
            <w:noProof/>
            <w:webHidden/>
          </w:rPr>
          <w:instrText xml:space="preserve"> PAGEREF _Toc42014760 \h </w:instrText>
        </w:r>
        <w:r w:rsidR="00B621CC">
          <w:rPr>
            <w:noProof/>
            <w:webHidden/>
          </w:rPr>
        </w:r>
        <w:r w:rsidR="00B621CC">
          <w:rPr>
            <w:noProof/>
            <w:webHidden/>
          </w:rPr>
          <w:fldChar w:fldCharType="separate"/>
        </w:r>
        <w:r w:rsidR="00EE2032">
          <w:rPr>
            <w:noProof/>
            <w:webHidden/>
          </w:rPr>
          <w:t>100</w:t>
        </w:r>
        <w:r w:rsidR="00B621CC">
          <w:rPr>
            <w:noProof/>
            <w:webHidden/>
          </w:rPr>
          <w:fldChar w:fldCharType="end"/>
        </w:r>
      </w:hyperlink>
    </w:p>
    <w:p w:rsidR="00B621CC" w:rsidRDefault="00F30779">
      <w:pPr>
        <w:pStyle w:val="TOC1"/>
        <w:rPr>
          <w:rFonts w:eastAsiaTheme="minorEastAsia"/>
          <w:b w:val="0"/>
          <w:bCs w:val="0"/>
          <w:sz w:val="22"/>
          <w:szCs w:val="22"/>
          <w:lang w:eastAsia="en-AU"/>
        </w:rPr>
      </w:pPr>
      <w:hyperlink w:anchor="_Toc42014761" w:history="1">
        <w:r w:rsidR="00B621CC" w:rsidRPr="00F34D73">
          <w:rPr>
            <w:rStyle w:val="Hyperlink"/>
          </w:rPr>
          <w:t>10.</w:t>
        </w:r>
        <w:r w:rsidR="00B621CC">
          <w:rPr>
            <w:rFonts w:eastAsiaTheme="minorEastAsia"/>
            <w:b w:val="0"/>
            <w:bCs w:val="0"/>
            <w:sz w:val="22"/>
            <w:szCs w:val="22"/>
            <w:lang w:eastAsia="en-AU"/>
          </w:rPr>
          <w:tab/>
        </w:r>
        <w:r w:rsidR="00B621CC" w:rsidRPr="00F34D73">
          <w:rPr>
            <w:rStyle w:val="Hyperlink"/>
          </w:rPr>
          <w:t>Provider Travel Rules</w:t>
        </w:r>
        <w:r w:rsidR="00B621CC">
          <w:rPr>
            <w:webHidden/>
          </w:rPr>
          <w:tab/>
        </w:r>
        <w:r w:rsidR="00B621CC">
          <w:rPr>
            <w:webHidden/>
          </w:rPr>
          <w:fldChar w:fldCharType="begin"/>
        </w:r>
        <w:r w:rsidR="00B621CC">
          <w:rPr>
            <w:webHidden/>
          </w:rPr>
          <w:instrText xml:space="preserve"> PAGEREF _Toc42014761 \h </w:instrText>
        </w:r>
        <w:r w:rsidR="00B621CC">
          <w:rPr>
            <w:webHidden/>
          </w:rPr>
        </w:r>
        <w:r w:rsidR="00B621CC">
          <w:rPr>
            <w:webHidden/>
          </w:rPr>
          <w:fldChar w:fldCharType="separate"/>
        </w:r>
        <w:r w:rsidR="00EE2032">
          <w:rPr>
            <w:webHidden/>
          </w:rPr>
          <w:t>101</w:t>
        </w:r>
        <w:r w:rsidR="00B621CC">
          <w:rPr>
            <w:webHidden/>
          </w:rPr>
          <w:fldChar w:fldCharType="end"/>
        </w:r>
      </w:hyperlink>
    </w:p>
    <w:p w:rsidR="00B621CC" w:rsidRDefault="00F30779">
      <w:pPr>
        <w:pStyle w:val="TOC2"/>
        <w:rPr>
          <w:rFonts w:eastAsiaTheme="minorEastAsia"/>
          <w:i w:val="0"/>
          <w:iCs w:val="0"/>
          <w:noProof/>
          <w:sz w:val="22"/>
          <w:szCs w:val="22"/>
          <w:lang w:eastAsia="en-AU"/>
        </w:rPr>
      </w:pPr>
      <w:hyperlink w:anchor="_Toc42014762" w:history="1">
        <w:r w:rsidR="00B621CC" w:rsidRPr="00F34D73">
          <w:rPr>
            <w:rStyle w:val="Hyperlink"/>
            <w:noProof/>
          </w:rPr>
          <w:t>Current Arrangements</w:t>
        </w:r>
        <w:r w:rsidR="00B621CC">
          <w:rPr>
            <w:noProof/>
            <w:webHidden/>
          </w:rPr>
          <w:tab/>
        </w:r>
        <w:r w:rsidR="00B621CC">
          <w:rPr>
            <w:noProof/>
            <w:webHidden/>
          </w:rPr>
          <w:fldChar w:fldCharType="begin"/>
        </w:r>
        <w:r w:rsidR="00B621CC">
          <w:rPr>
            <w:noProof/>
            <w:webHidden/>
          </w:rPr>
          <w:instrText xml:space="preserve"> PAGEREF _Toc42014762 \h </w:instrText>
        </w:r>
        <w:r w:rsidR="00B621CC">
          <w:rPr>
            <w:noProof/>
            <w:webHidden/>
          </w:rPr>
        </w:r>
        <w:r w:rsidR="00B621CC">
          <w:rPr>
            <w:noProof/>
            <w:webHidden/>
          </w:rPr>
          <w:fldChar w:fldCharType="separate"/>
        </w:r>
        <w:r w:rsidR="00EE2032">
          <w:rPr>
            <w:noProof/>
            <w:webHidden/>
          </w:rPr>
          <w:t>101</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63" w:history="1">
        <w:r w:rsidR="00B621CC" w:rsidRPr="00F34D73">
          <w:rPr>
            <w:rStyle w:val="Hyperlink"/>
            <w:noProof/>
          </w:rPr>
          <w:t>Consultations</w:t>
        </w:r>
        <w:r w:rsidR="00B621CC">
          <w:rPr>
            <w:noProof/>
            <w:webHidden/>
          </w:rPr>
          <w:tab/>
        </w:r>
        <w:r w:rsidR="00B621CC">
          <w:rPr>
            <w:noProof/>
            <w:webHidden/>
          </w:rPr>
          <w:fldChar w:fldCharType="begin"/>
        </w:r>
        <w:r w:rsidR="00B621CC">
          <w:rPr>
            <w:noProof/>
            <w:webHidden/>
          </w:rPr>
          <w:instrText xml:space="preserve"> PAGEREF _Toc42014763 \h </w:instrText>
        </w:r>
        <w:r w:rsidR="00B621CC">
          <w:rPr>
            <w:noProof/>
            <w:webHidden/>
          </w:rPr>
        </w:r>
        <w:r w:rsidR="00B621CC">
          <w:rPr>
            <w:noProof/>
            <w:webHidden/>
          </w:rPr>
          <w:fldChar w:fldCharType="separate"/>
        </w:r>
        <w:r w:rsidR="00EE2032">
          <w:rPr>
            <w:noProof/>
            <w:webHidden/>
          </w:rPr>
          <w:t>102</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64" w:history="1">
        <w:r w:rsidR="00B621CC" w:rsidRPr="00F34D73">
          <w:rPr>
            <w:rStyle w:val="Hyperlink"/>
            <w:noProof/>
          </w:rPr>
          <w:t>Research</w:t>
        </w:r>
        <w:r w:rsidR="00B621CC">
          <w:rPr>
            <w:noProof/>
            <w:webHidden/>
          </w:rPr>
          <w:tab/>
        </w:r>
        <w:r w:rsidR="00B621CC">
          <w:rPr>
            <w:noProof/>
            <w:webHidden/>
          </w:rPr>
          <w:fldChar w:fldCharType="begin"/>
        </w:r>
        <w:r w:rsidR="00B621CC">
          <w:rPr>
            <w:noProof/>
            <w:webHidden/>
          </w:rPr>
          <w:instrText xml:space="preserve"> PAGEREF _Toc42014764 \h </w:instrText>
        </w:r>
        <w:r w:rsidR="00B621CC">
          <w:rPr>
            <w:noProof/>
            <w:webHidden/>
          </w:rPr>
        </w:r>
        <w:r w:rsidR="00B621CC">
          <w:rPr>
            <w:noProof/>
            <w:webHidden/>
          </w:rPr>
          <w:fldChar w:fldCharType="separate"/>
        </w:r>
        <w:r w:rsidR="00EE2032">
          <w:rPr>
            <w:noProof/>
            <w:webHidden/>
          </w:rPr>
          <w:t>104</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65" w:history="1">
        <w:r w:rsidR="00B621CC" w:rsidRPr="00F34D73">
          <w:rPr>
            <w:rStyle w:val="Hyperlink"/>
            <w:noProof/>
          </w:rPr>
          <w:t>Discussion</w:t>
        </w:r>
        <w:r w:rsidR="00B621CC">
          <w:rPr>
            <w:noProof/>
            <w:webHidden/>
          </w:rPr>
          <w:tab/>
        </w:r>
        <w:r w:rsidR="00B621CC">
          <w:rPr>
            <w:noProof/>
            <w:webHidden/>
          </w:rPr>
          <w:fldChar w:fldCharType="begin"/>
        </w:r>
        <w:r w:rsidR="00B621CC">
          <w:rPr>
            <w:noProof/>
            <w:webHidden/>
          </w:rPr>
          <w:instrText xml:space="preserve"> PAGEREF _Toc42014765 \h </w:instrText>
        </w:r>
        <w:r w:rsidR="00B621CC">
          <w:rPr>
            <w:noProof/>
            <w:webHidden/>
          </w:rPr>
        </w:r>
        <w:r w:rsidR="00B621CC">
          <w:rPr>
            <w:noProof/>
            <w:webHidden/>
          </w:rPr>
          <w:fldChar w:fldCharType="separate"/>
        </w:r>
        <w:r w:rsidR="00EE2032">
          <w:rPr>
            <w:noProof/>
            <w:webHidden/>
          </w:rPr>
          <w:t>105</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66" w:history="1">
        <w:r w:rsidR="00B621CC" w:rsidRPr="00F34D73">
          <w:rPr>
            <w:rStyle w:val="Hyperlink"/>
            <w:noProof/>
          </w:rPr>
          <w:t>Recommendation</w:t>
        </w:r>
        <w:r w:rsidR="00B621CC">
          <w:rPr>
            <w:noProof/>
            <w:webHidden/>
          </w:rPr>
          <w:tab/>
        </w:r>
        <w:r w:rsidR="00B621CC">
          <w:rPr>
            <w:noProof/>
            <w:webHidden/>
          </w:rPr>
          <w:fldChar w:fldCharType="begin"/>
        </w:r>
        <w:r w:rsidR="00B621CC">
          <w:rPr>
            <w:noProof/>
            <w:webHidden/>
          </w:rPr>
          <w:instrText xml:space="preserve"> PAGEREF _Toc42014766 \h </w:instrText>
        </w:r>
        <w:r w:rsidR="00B621CC">
          <w:rPr>
            <w:noProof/>
            <w:webHidden/>
          </w:rPr>
        </w:r>
        <w:r w:rsidR="00B621CC">
          <w:rPr>
            <w:noProof/>
            <w:webHidden/>
          </w:rPr>
          <w:fldChar w:fldCharType="separate"/>
        </w:r>
        <w:r w:rsidR="00EE2032">
          <w:rPr>
            <w:noProof/>
            <w:webHidden/>
          </w:rPr>
          <w:t>108</w:t>
        </w:r>
        <w:r w:rsidR="00B621CC">
          <w:rPr>
            <w:noProof/>
            <w:webHidden/>
          </w:rPr>
          <w:fldChar w:fldCharType="end"/>
        </w:r>
      </w:hyperlink>
    </w:p>
    <w:p w:rsidR="00B621CC" w:rsidRDefault="00F30779">
      <w:pPr>
        <w:pStyle w:val="TOC1"/>
        <w:rPr>
          <w:rFonts w:eastAsiaTheme="minorEastAsia"/>
          <w:b w:val="0"/>
          <w:bCs w:val="0"/>
          <w:sz w:val="22"/>
          <w:szCs w:val="22"/>
          <w:lang w:eastAsia="en-AU"/>
        </w:rPr>
      </w:pPr>
      <w:hyperlink w:anchor="_Toc42014767" w:history="1">
        <w:r w:rsidR="00B621CC" w:rsidRPr="00F34D73">
          <w:rPr>
            <w:rStyle w:val="Hyperlink"/>
          </w:rPr>
          <w:t>11.</w:t>
        </w:r>
        <w:r w:rsidR="00B621CC">
          <w:rPr>
            <w:rFonts w:eastAsiaTheme="minorEastAsia"/>
            <w:b w:val="0"/>
            <w:bCs w:val="0"/>
            <w:sz w:val="22"/>
            <w:szCs w:val="22"/>
            <w:lang w:eastAsia="en-AU"/>
          </w:rPr>
          <w:tab/>
        </w:r>
        <w:r w:rsidR="00B621CC" w:rsidRPr="00F34D73">
          <w:rPr>
            <w:rStyle w:val="Hyperlink"/>
          </w:rPr>
          <w:t>Establishment Fees</w:t>
        </w:r>
        <w:r w:rsidR="00B621CC">
          <w:rPr>
            <w:webHidden/>
          </w:rPr>
          <w:tab/>
        </w:r>
        <w:r w:rsidR="00B621CC">
          <w:rPr>
            <w:webHidden/>
          </w:rPr>
          <w:fldChar w:fldCharType="begin"/>
        </w:r>
        <w:r w:rsidR="00B621CC">
          <w:rPr>
            <w:webHidden/>
          </w:rPr>
          <w:instrText xml:space="preserve"> PAGEREF _Toc42014767 \h </w:instrText>
        </w:r>
        <w:r w:rsidR="00B621CC">
          <w:rPr>
            <w:webHidden/>
          </w:rPr>
        </w:r>
        <w:r w:rsidR="00B621CC">
          <w:rPr>
            <w:webHidden/>
          </w:rPr>
          <w:fldChar w:fldCharType="separate"/>
        </w:r>
        <w:r w:rsidR="00EE2032">
          <w:rPr>
            <w:webHidden/>
          </w:rPr>
          <w:t>109</w:t>
        </w:r>
        <w:r w:rsidR="00B621CC">
          <w:rPr>
            <w:webHidden/>
          </w:rPr>
          <w:fldChar w:fldCharType="end"/>
        </w:r>
      </w:hyperlink>
    </w:p>
    <w:p w:rsidR="00B621CC" w:rsidRDefault="00F30779">
      <w:pPr>
        <w:pStyle w:val="TOC2"/>
        <w:rPr>
          <w:rFonts w:eastAsiaTheme="minorEastAsia"/>
          <w:i w:val="0"/>
          <w:iCs w:val="0"/>
          <w:noProof/>
          <w:sz w:val="22"/>
          <w:szCs w:val="22"/>
          <w:lang w:eastAsia="en-AU"/>
        </w:rPr>
      </w:pPr>
      <w:hyperlink w:anchor="_Toc42014768" w:history="1">
        <w:r w:rsidR="00B621CC" w:rsidRPr="00F34D73">
          <w:rPr>
            <w:rStyle w:val="Hyperlink"/>
            <w:noProof/>
          </w:rPr>
          <w:t>Current Arrangements</w:t>
        </w:r>
        <w:r w:rsidR="00B621CC">
          <w:rPr>
            <w:noProof/>
            <w:webHidden/>
          </w:rPr>
          <w:tab/>
        </w:r>
        <w:r w:rsidR="00B621CC">
          <w:rPr>
            <w:noProof/>
            <w:webHidden/>
          </w:rPr>
          <w:fldChar w:fldCharType="begin"/>
        </w:r>
        <w:r w:rsidR="00B621CC">
          <w:rPr>
            <w:noProof/>
            <w:webHidden/>
          </w:rPr>
          <w:instrText xml:space="preserve"> PAGEREF _Toc42014768 \h </w:instrText>
        </w:r>
        <w:r w:rsidR="00B621CC">
          <w:rPr>
            <w:noProof/>
            <w:webHidden/>
          </w:rPr>
        </w:r>
        <w:r w:rsidR="00B621CC">
          <w:rPr>
            <w:noProof/>
            <w:webHidden/>
          </w:rPr>
          <w:fldChar w:fldCharType="separate"/>
        </w:r>
        <w:r w:rsidR="00EE2032">
          <w:rPr>
            <w:noProof/>
            <w:webHidden/>
          </w:rPr>
          <w:t>109</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69" w:history="1">
        <w:r w:rsidR="00B621CC" w:rsidRPr="00F34D73">
          <w:rPr>
            <w:rStyle w:val="Hyperlink"/>
            <w:rFonts w:cs="Times New Roman"/>
            <w:noProof/>
          </w:rPr>
          <w:t>Consultations</w:t>
        </w:r>
        <w:r w:rsidR="00B621CC">
          <w:rPr>
            <w:noProof/>
            <w:webHidden/>
          </w:rPr>
          <w:tab/>
        </w:r>
        <w:r w:rsidR="00B621CC">
          <w:rPr>
            <w:noProof/>
            <w:webHidden/>
          </w:rPr>
          <w:fldChar w:fldCharType="begin"/>
        </w:r>
        <w:r w:rsidR="00B621CC">
          <w:rPr>
            <w:noProof/>
            <w:webHidden/>
          </w:rPr>
          <w:instrText xml:space="preserve"> PAGEREF _Toc42014769 \h </w:instrText>
        </w:r>
        <w:r w:rsidR="00B621CC">
          <w:rPr>
            <w:noProof/>
            <w:webHidden/>
          </w:rPr>
        </w:r>
        <w:r w:rsidR="00B621CC">
          <w:rPr>
            <w:noProof/>
            <w:webHidden/>
          </w:rPr>
          <w:fldChar w:fldCharType="separate"/>
        </w:r>
        <w:r w:rsidR="00EE2032">
          <w:rPr>
            <w:noProof/>
            <w:webHidden/>
          </w:rPr>
          <w:t>110</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70" w:history="1">
        <w:r w:rsidR="00B621CC" w:rsidRPr="00F34D73">
          <w:rPr>
            <w:rStyle w:val="Hyperlink"/>
            <w:noProof/>
          </w:rPr>
          <w:t>Research</w:t>
        </w:r>
        <w:r w:rsidR="00B621CC">
          <w:rPr>
            <w:noProof/>
            <w:webHidden/>
          </w:rPr>
          <w:tab/>
        </w:r>
        <w:r w:rsidR="00B621CC">
          <w:rPr>
            <w:noProof/>
            <w:webHidden/>
          </w:rPr>
          <w:fldChar w:fldCharType="begin"/>
        </w:r>
        <w:r w:rsidR="00B621CC">
          <w:rPr>
            <w:noProof/>
            <w:webHidden/>
          </w:rPr>
          <w:instrText xml:space="preserve"> PAGEREF _Toc42014770 \h </w:instrText>
        </w:r>
        <w:r w:rsidR="00B621CC">
          <w:rPr>
            <w:noProof/>
            <w:webHidden/>
          </w:rPr>
        </w:r>
        <w:r w:rsidR="00B621CC">
          <w:rPr>
            <w:noProof/>
            <w:webHidden/>
          </w:rPr>
          <w:fldChar w:fldCharType="separate"/>
        </w:r>
        <w:r w:rsidR="00EE2032">
          <w:rPr>
            <w:noProof/>
            <w:webHidden/>
          </w:rPr>
          <w:t>111</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71" w:history="1">
        <w:r w:rsidR="00B621CC" w:rsidRPr="00F34D73">
          <w:rPr>
            <w:rStyle w:val="Hyperlink"/>
            <w:noProof/>
          </w:rPr>
          <w:t>Discussion</w:t>
        </w:r>
        <w:r w:rsidR="00B621CC">
          <w:rPr>
            <w:noProof/>
            <w:webHidden/>
          </w:rPr>
          <w:tab/>
        </w:r>
        <w:r w:rsidR="00B621CC">
          <w:rPr>
            <w:noProof/>
            <w:webHidden/>
          </w:rPr>
          <w:fldChar w:fldCharType="begin"/>
        </w:r>
        <w:r w:rsidR="00B621CC">
          <w:rPr>
            <w:noProof/>
            <w:webHidden/>
          </w:rPr>
          <w:instrText xml:space="preserve"> PAGEREF _Toc42014771 \h </w:instrText>
        </w:r>
        <w:r w:rsidR="00B621CC">
          <w:rPr>
            <w:noProof/>
            <w:webHidden/>
          </w:rPr>
        </w:r>
        <w:r w:rsidR="00B621CC">
          <w:rPr>
            <w:noProof/>
            <w:webHidden/>
          </w:rPr>
          <w:fldChar w:fldCharType="separate"/>
        </w:r>
        <w:r w:rsidR="00EE2032">
          <w:rPr>
            <w:noProof/>
            <w:webHidden/>
          </w:rPr>
          <w:t>112</w:t>
        </w:r>
        <w:r w:rsidR="00B621CC">
          <w:rPr>
            <w:noProof/>
            <w:webHidden/>
          </w:rPr>
          <w:fldChar w:fldCharType="end"/>
        </w:r>
      </w:hyperlink>
    </w:p>
    <w:p w:rsidR="00B621CC" w:rsidRDefault="00F30779">
      <w:pPr>
        <w:pStyle w:val="TOC2"/>
        <w:rPr>
          <w:rFonts w:eastAsiaTheme="minorEastAsia"/>
          <w:i w:val="0"/>
          <w:iCs w:val="0"/>
          <w:noProof/>
          <w:sz w:val="22"/>
          <w:szCs w:val="22"/>
          <w:lang w:eastAsia="en-AU"/>
        </w:rPr>
      </w:pPr>
      <w:hyperlink w:anchor="_Toc42014772" w:history="1">
        <w:r w:rsidR="00B621CC" w:rsidRPr="00F34D73">
          <w:rPr>
            <w:rStyle w:val="Hyperlink"/>
            <w:noProof/>
          </w:rPr>
          <w:t>Recommendation</w:t>
        </w:r>
        <w:r w:rsidR="00B621CC">
          <w:rPr>
            <w:noProof/>
            <w:webHidden/>
          </w:rPr>
          <w:tab/>
        </w:r>
        <w:r w:rsidR="00B621CC">
          <w:rPr>
            <w:noProof/>
            <w:webHidden/>
          </w:rPr>
          <w:fldChar w:fldCharType="begin"/>
        </w:r>
        <w:r w:rsidR="00B621CC">
          <w:rPr>
            <w:noProof/>
            <w:webHidden/>
          </w:rPr>
          <w:instrText xml:space="preserve"> PAGEREF _Toc42014772 \h </w:instrText>
        </w:r>
        <w:r w:rsidR="00B621CC">
          <w:rPr>
            <w:noProof/>
            <w:webHidden/>
          </w:rPr>
        </w:r>
        <w:r w:rsidR="00B621CC">
          <w:rPr>
            <w:noProof/>
            <w:webHidden/>
          </w:rPr>
          <w:fldChar w:fldCharType="separate"/>
        </w:r>
        <w:r w:rsidR="00EE2032">
          <w:rPr>
            <w:noProof/>
            <w:webHidden/>
          </w:rPr>
          <w:t>114</w:t>
        </w:r>
        <w:r w:rsidR="00B621CC">
          <w:rPr>
            <w:noProof/>
            <w:webHidden/>
          </w:rPr>
          <w:fldChar w:fldCharType="end"/>
        </w:r>
      </w:hyperlink>
    </w:p>
    <w:p w:rsidR="00CF16FF" w:rsidRPr="00CA1271" w:rsidRDefault="00DC2783" w:rsidP="002A437A">
      <w:pPr>
        <w:rPr>
          <w:lang w:eastAsia="ja-JP"/>
        </w:rPr>
      </w:pPr>
      <w:r w:rsidRPr="00CA1271">
        <w:rPr>
          <w:lang w:eastAsia="ja-JP"/>
        </w:rPr>
        <w:fldChar w:fldCharType="end"/>
      </w:r>
      <w:bookmarkStart w:id="4" w:name="_Toc526233516"/>
      <w:bookmarkStart w:id="5" w:name="_Toc533084567"/>
      <w:bookmarkStart w:id="6" w:name="_Toc535274944"/>
    </w:p>
    <w:p w:rsidR="00CF16FF" w:rsidRPr="00CA1271" w:rsidRDefault="00CF16FF">
      <w:pPr>
        <w:rPr>
          <w:lang w:eastAsia="ja-JP"/>
        </w:rPr>
      </w:pPr>
      <w:r w:rsidRPr="00CA1271">
        <w:rPr>
          <w:lang w:eastAsia="ja-JP"/>
        </w:rPr>
        <w:br w:type="page"/>
      </w:r>
    </w:p>
    <w:p w:rsidR="00CF16FF" w:rsidRPr="00CA1271" w:rsidRDefault="00CF16FF" w:rsidP="00CF16FF">
      <w:pPr>
        <w:spacing w:before="480" w:after="360"/>
        <w:rPr>
          <w:color w:val="6A2875"/>
          <w:sz w:val="44"/>
          <w:szCs w:val="44"/>
          <w:lang w:eastAsia="ja-JP"/>
        </w:rPr>
      </w:pPr>
      <w:r w:rsidRPr="00CA1271">
        <w:rPr>
          <w:color w:val="6A2875"/>
          <w:sz w:val="44"/>
          <w:szCs w:val="44"/>
          <w:lang w:eastAsia="ja-JP"/>
        </w:rPr>
        <w:t>Figures</w:t>
      </w:r>
    </w:p>
    <w:p w:rsidR="00B621CC" w:rsidRDefault="00CF16FF">
      <w:pPr>
        <w:pStyle w:val="TableofFigures"/>
        <w:rPr>
          <w:rFonts w:eastAsiaTheme="minorEastAsia"/>
          <w:noProof/>
          <w:sz w:val="22"/>
          <w:szCs w:val="22"/>
          <w:lang w:eastAsia="en-AU"/>
        </w:rPr>
      </w:pPr>
      <w:r w:rsidRPr="00CA1271">
        <w:rPr>
          <w:szCs w:val="20"/>
        </w:rPr>
        <w:fldChar w:fldCharType="begin"/>
      </w:r>
      <w:r w:rsidRPr="00CA1271">
        <w:rPr>
          <w:szCs w:val="20"/>
        </w:rPr>
        <w:instrText xml:space="preserve"> TOC \h \z \c "Figure" </w:instrText>
      </w:r>
      <w:r w:rsidRPr="00CA1271">
        <w:rPr>
          <w:szCs w:val="20"/>
        </w:rPr>
        <w:fldChar w:fldCharType="separate"/>
      </w:r>
      <w:hyperlink w:anchor="_Toc42014773" w:history="1">
        <w:r w:rsidR="00B621CC" w:rsidRPr="00A27BE5">
          <w:rPr>
            <w:rStyle w:val="Hyperlink"/>
            <w:noProof/>
          </w:rPr>
          <w:t>Figure 1 - Distribution of Submissions by Number of Participants and NDIS Revenue of Respondent</w:t>
        </w:r>
        <w:r w:rsidR="00B621CC">
          <w:rPr>
            <w:noProof/>
            <w:webHidden/>
          </w:rPr>
          <w:tab/>
        </w:r>
        <w:r w:rsidR="00B621CC">
          <w:rPr>
            <w:noProof/>
            <w:webHidden/>
          </w:rPr>
          <w:fldChar w:fldCharType="begin"/>
        </w:r>
        <w:r w:rsidR="00B621CC">
          <w:rPr>
            <w:noProof/>
            <w:webHidden/>
          </w:rPr>
          <w:instrText xml:space="preserve"> PAGEREF _Toc42014773 \h </w:instrText>
        </w:r>
        <w:r w:rsidR="00B621CC">
          <w:rPr>
            <w:noProof/>
            <w:webHidden/>
          </w:rPr>
        </w:r>
        <w:r w:rsidR="00B621CC">
          <w:rPr>
            <w:noProof/>
            <w:webHidden/>
          </w:rPr>
          <w:fldChar w:fldCharType="separate"/>
        </w:r>
        <w:r w:rsidR="00B621CC">
          <w:rPr>
            <w:noProof/>
            <w:webHidden/>
          </w:rPr>
          <w:t>29</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74" w:history="1">
        <w:r w:rsidR="00B621CC" w:rsidRPr="00A27BE5">
          <w:rPr>
            <w:rStyle w:val="Hyperlink"/>
            <w:noProof/>
          </w:rPr>
          <w:t>Figure 2 – Distribution of Topics Raised in Submissions to the Annual Pricing Review</w:t>
        </w:r>
        <w:r w:rsidR="00B621CC">
          <w:rPr>
            <w:noProof/>
            <w:webHidden/>
          </w:rPr>
          <w:tab/>
        </w:r>
        <w:r w:rsidR="00B621CC">
          <w:rPr>
            <w:noProof/>
            <w:webHidden/>
          </w:rPr>
          <w:fldChar w:fldCharType="begin"/>
        </w:r>
        <w:r w:rsidR="00B621CC">
          <w:rPr>
            <w:noProof/>
            <w:webHidden/>
          </w:rPr>
          <w:instrText xml:space="preserve"> PAGEREF _Toc42014774 \h </w:instrText>
        </w:r>
        <w:r w:rsidR="00B621CC">
          <w:rPr>
            <w:noProof/>
            <w:webHidden/>
          </w:rPr>
        </w:r>
        <w:r w:rsidR="00B621CC">
          <w:rPr>
            <w:noProof/>
            <w:webHidden/>
          </w:rPr>
          <w:fldChar w:fldCharType="separate"/>
        </w:r>
        <w:r w:rsidR="00B621CC">
          <w:rPr>
            <w:noProof/>
            <w:webHidden/>
          </w:rPr>
          <w:t>30</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75" w:history="1">
        <w:r w:rsidR="00B621CC" w:rsidRPr="00A27BE5">
          <w:rPr>
            <w:rStyle w:val="Hyperlink"/>
            <w:noProof/>
          </w:rPr>
          <w:t>Figure 3 - Nous Group Study of Back-Office Expenses of Not For Profit Organisations</w:t>
        </w:r>
        <w:r w:rsidR="00B621CC">
          <w:rPr>
            <w:noProof/>
            <w:webHidden/>
          </w:rPr>
          <w:tab/>
        </w:r>
        <w:r w:rsidR="00B621CC">
          <w:rPr>
            <w:noProof/>
            <w:webHidden/>
          </w:rPr>
          <w:fldChar w:fldCharType="begin"/>
        </w:r>
        <w:r w:rsidR="00B621CC">
          <w:rPr>
            <w:noProof/>
            <w:webHidden/>
          </w:rPr>
          <w:instrText xml:space="preserve"> PAGEREF _Toc42014775 \h </w:instrText>
        </w:r>
        <w:r w:rsidR="00B621CC">
          <w:rPr>
            <w:noProof/>
            <w:webHidden/>
          </w:rPr>
        </w:r>
        <w:r w:rsidR="00B621CC">
          <w:rPr>
            <w:noProof/>
            <w:webHidden/>
          </w:rPr>
          <w:fldChar w:fldCharType="separate"/>
        </w:r>
        <w:r w:rsidR="00B621CC">
          <w:rPr>
            <w:noProof/>
            <w:webHidden/>
          </w:rPr>
          <w:t>56</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76" w:history="1">
        <w:r w:rsidR="00B621CC" w:rsidRPr="00A27BE5">
          <w:rPr>
            <w:rStyle w:val="Hyperlink"/>
            <w:noProof/>
          </w:rPr>
          <w:t>Figure 4 - Claims for Group Activities</w:t>
        </w:r>
        <w:r w:rsidR="00B621CC">
          <w:rPr>
            <w:noProof/>
            <w:webHidden/>
          </w:rPr>
          <w:tab/>
        </w:r>
        <w:r w:rsidR="00B621CC">
          <w:rPr>
            <w:noProof/>
            <w:webHidden/>
          </w:rPr>
          <w:fldChar w:fldCharType="begin"/>
        </w:r>
        <w:r w:rsidR="00B621CC">
          <w:rPr>
            <w:noProof/>
            <w:webHidden/>
          </w:rPr>
          <w:instrText xml:space="preserve"> PAGEREF _Toc42014776 \h </w:instrText>
        </w:r>
        <w:r w:rsidR="00B621CC">
          <w:rPr>
            <w:noProof/>
            <w:webHidden/>
          </w:rPr>
        </w:r>
        <w:r w:rsidR="00B621CC">
          <w:rPr>
            <w:noProof/>
            <w:webHidden/>
          </w:rPr>
          <w:fldChar w:fldCharType="separate"/>
        </w:r>
        <w:r w:rsidR="00B621CC">
          <w:rPr>
            <w:noProof/>
            <w:webHidden/>
          </w:rPr>
          <w:t>72</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77" w:history="1">
        <w:r w:rsidR="00B621CC" w:rsidRPr="00A27BE5">
          <w:rPr>
            <w:rStyle w:val="Hyperlink"/>
            <w:noProof/>
          </w:rPr>
          <w:t>Figure 5 - Number of Providers Claiming per Quarter from 2016 to 2019</w:t>
        </w:r>
        <w:r w:rsidR="00B621CC">
          <w:rPr>
            <w:noProof/>
            <w:webHidden/>
          </w:rPr>
          <w:tab/>
        </w:r>
        <w:r w:rsidR="00B621CC">
          <w:rPr>
            <w:noProof/>
            <w:webHidden/>
          </w:rPr>
          <w:fldChar w:fldCharType="begin"/>
        </w:r>
        <w:r w:rsidR="00B621CC">
          <w:rPr>
            <w:noProof/>
            <w:webHidden/>
          </w:rPr>
          <w:instrText xml:space="preserve"> PAGEREF _Toc42014777 \h </w:instrText>
        </w:r>
        <w:r w:rsidR="00B621CC">
          <w:rPr>
            <w:noProof/>
            <w:webHidden/>
          </w:rPr>
        </w:r>
        <w:r w:rsidR="00B621CC">
          <w:rPr>
            <w:noProof/>
            <w:webHidden/>
          </w:rPr>
          <w:fldChar w:fldCharType="separate"/>
        </w:r>
        <w:r w:rsidR="00B621CC">
          <w:rPr>
            <w:noProof/>
            <w:webHidden/>
          </w:rPr>
          <w:t>89</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78" w:history="1">
        <w:r w:rsidR="00B621CC" w:rsidRPr="00A27BE5">
          <w:rPr>
            <w:rStyle w:val="Hyperlink"/>
            <w:noProof/>
          </w:rPr>
          <w:t>Figure 6 - NDIS Revenue Claimed by Plan Managers from Monthly Fees, by Quarter, 2016-2019</w:t>
        </w:r>
        <w:r w:rsidR="00B621CC">
          <w:rPr>
            <w:noProof/>
            <w:webHidden/>
          </w:rPr>
          <w:tab/>
        </w:r>
        <w:r w:rsidR="00B621CC">
          <w:rPr>
            <w:noProof/>
            <w:webHidden/>
          </w:rPr>
          <w:fldChar w:fldCharType="begin"/>
        </w:r>
        <w:r w:rsidR="00B621CC">
          <w:rPr>
            <w:noProof/>
            <w:webHidden/>
          </w:rPr>
          <w:instrText xml:space="preserve"> PAGEREF _Toc42014778 \h </w:instrText>
        </w:r>
        <w:r w:rsidR="00B621CC">
          <w:rPr>
            <w:noProof/>
            <w:webHidden/>
          </w:rPr>
        </w:r>
        <w:r w:rsidR="00B621CC">
          <w:rPr>
            <w:noProof/>
            <w:webHidden/>
          </w:rPr>
          <w:fldChar w:fldCharType="separate"/>
        </w:r>
        <w:r w:rsidR="00B621CC">
          <w:rPr>
            <w:noProof/>
            <w:webHidden/>
          </w:rPr>
          <w:t>90</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79" w:history="1">
        <w:r w:rsidR="00B621CC" w:rsidRPr="00A27BE5">
          <w:rPr>
            <w:rStyle w:val="Hyperlink"/>
            <w:noProof/>
          </w:rPr>
          <w:t>Figure 7 - Relative Cost of Delivering Services by Remoteness Classification</w:t>
        </w:r>
        <w:r w:rsidR="00B621CC">
          <w:rPr>
            <w:noProof/>
            <w:webHidden/>
          </w:rPr>
          <w:tab/>
        </w:r>
        <w:r w:rsidR="00B621CC">
          <w:rPr>
            <w:noProof/>
            <w:webHidden/>
          </w:rPr>
          <w:fldChar w:fldCharType="begin"/>
        </w:r>
        <w:r w:rsidR="00B621CC">
          <w:rPr>
            <w:noProof/>
            <w:webHidden/>
          </w:rPr>
          <w:instrText xml:space="preserve"> PAGEREF _Toc42014779 \h </w:instrText>
        </w:r>
        <w:r w:rsidR="00B621CC">
          <w:rPr>
            <w:noProof/>
            <w:webHidden/>
          </w:rPr>
        </w:r>
        <w:r w:rsidR="00B621CC">
          <w:rPr>
            <w:noProof/>
            <w:webHidden/>
          </w:rPr>
          <w:fldChar w:fldCharType="separate"/>
        </w:r>
        <w:r w:rsidR="00B621CC">
          <w:rPr>
            <w:noProof/>
            <w:webHidden/>
          </w:rPr>
          <w:t>97</w:t>
        </w:r>
        <w:r w:rsidR="00B621CC">
          <w:rPr>
            <w:noProof/>
            <w:webHidden/>
          </w:rPr>
          <w:fldChar w:fldCharType="end"/>
        </w:r>
      </w:hyperlink>
    </w:p>
    <w:p w:rsidR="00CF16FF" w:rsidRPr="00CA1271" w:rsidRDefault="00CF16FF" w:rsidP="002A437A">
      <w:r w:rsidRPr="00CA1271">
        <w:fldChar w:fldCharType="end"/>
      </w:r>
    </w:p>
    <w:p w:rsidR="00CF16FF" w:rsidRPr="00CA1271" w:rsidRDefault="00CF16FF" w:rsidP="00CF16FF">
      <w:pPr>
        <w:spacing w:before="480" w:after="360"/>
        <w:rPr>
          <w:color w:val="6A2875"/>
          <w:sz w:val="44"/>
          <w:szCs w:val="44"/>
          <w:lang w:eastAsia="ja-JP"/>
        </w:rPr>
      </w:pPr>
      <w:r w:rsidRPr="00CA1271">
        <w:rPr>
          <w:color w:val="6A2875"/>
          <w:sz w:val="44"/>
          <w:szCs w:val="44"/>
          <w:lang w:eastAsia="ja-JP"/>
        </w:rPr>
        <w:t>Tables</w:t>
      </w:r>
    </w:p>
    <w:p w:rsidR="00B621CC" w:rsidRDefault="00CF16FF">
      <w:pPr>
        <w:pStyle w:val="TableofFigures"/>
        <w:rPr>
          <w:rFonts w:eastAsiaTheme="minorEastAsia"/>
          <w:noProof/>
          <w:sz w:val="22"/>
          <w:szCs w:val="22"/>
          <w:lang w:eastAsia="en-AU"/>
        </w:rPr>
      </w:pPr>
      <w:r w:rsidRPr="00CA1271">
        <w:rPr>
          <w:rStyle w:val="Hyperlink"/>
          <w:noProof/>
          <w:szCs w:val="20"/>
        </w:rPr>
        <w:fldChar w:fldCharType="begin"/>
      </w:r>
      <w:r w:rsidRPr="00CA1271">
        <w:rPr>
          <w:rStyle w:val="Hyperlink"/>
          <w:noProof/>
          <w:szCs w:val="20"/>
        </w:rPr>
        <w:instrText xml:space="preserve"> TOC \h \z \c "Table" </w:instrText>
      </w:r>
      <w:r w:rsidRPr="00CA1271">
        <w:rPr>
          <w:rStyle w:val="Hyperlink"/>
          <w:noProof/>
          <w:szCs w:val="20"/>
        </w:rPr>
        <w:fldChar w:fldCharType="separate"/>
      </w:r>
      <w:hyperlink w:anchor="_Toc42014780" w:history="1">
        <w:r w:rsidR="00B621CC" w:rsidRPr="00D0713E">
          <w:rPr>
            <w:rStyle w:val="Hyperlink"/>
            <w:noProof/>
          </w:rPr>
          <w:t>Table 1 - Distribution of Submissions Received by the Annual Pricing Review</w:t>
        </w:r>
        <w:r w:rsidR="00B621CC">
          <w:rPr>
            <w:noProof/>
            <w:webHidden/>
          </w:rPr>
          <w:tab/>
        </w:r>
        <w:r w:rsidR="00B621CC">
          <w:rPr>
            <w:noProof/>
            <w:webHidden/>
          </w:rPr>
          <w:fldChar w:fldCharType="begin"/>
        </w:r>
        <w:r w:rsidR="00B621CC">
          <w:rPr>
            <w:noProof/>
            <w:webHidden/>
          </w:rPr>
          <w:instrText xml:space="preserve"> PAGEREF _Toc42014780 \h </w:instrText>
        </w:r>
        <w:r w:rsidR="00B621CC">
          <w:rPr>
            <w:noProof/>
            <w:webHidden/>
          </w:rPr>
        </w:r>
        <w:r w:rsidR="00B621CC">
          <w:rPr>
            <w:noProof/>
            <w:webHidden/>
          </w:rPr>
          <w:fldChar w:fldCharType="separate"/>
        </w:r>
        <w:r w:rsidR="00B621CC">
          <w:rPr>
            <w:noProof/>
            <w:webHidden/>
          </w:rPr>
          <w:t>29</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81" w:history="1">
        <w:r w:rsidR="00B621CC" w:rsidRPr="00D0713E">
          <w:rPr>
            <w:rStyle w:val="Hyperlink"/>
            <w:noProof/>
          </w:rPr>
          <w:t>Table 2 - FWC Decision on SCHADS Shift Loadings - 1 July 2020</w:t>
        </w:r>
        <w:r w:rsidR="00B621CC">
          <w:rPr>
            <w:noProof/>
            <w:webHidden/>
          </w:rPr>
          <w:tab/>
        </w:r>
        <w:r w:rsidR="00B621CC">
          <w:rPr>
            <w:noProof/>
            <w:webHidden/>
          </w:rPr>
          <w:fldChar w:fldCharType="begin"/>
        </w:r>
        <w:r w:rsidR="00B621CC">
          <w:rPr>
            <w:noProof/>
            <w:webHidden/>
          </w:rPr>
          <w:instrText xml:space="preserve"> PAGEREF _Toc42014781 \h </w:instrText>
        </w:r>
        <w:r w:rsidR="00B621CC">
          <w:rPr>
            <w:noProof/>
            <w:webHidden/>
          </w:rPr>
        </w:r>
        <w:r w:rsidR="00B621CC">
          <w:rPr>
            <w:noProof/>
            <w:webHidden/>
          </w:rPr>
          <w:fldChar w:fldCharType="separate"/>
        </w:r>
        <w:r w:rsidR="00B621CC">
          <w:rPr>
            <w:noProof/>
            <w:webHidden/>
          </w:rPr>
          <w:t>38</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82" w:history="1">
        <w:r w:rsidR="00B621CC" w:rsidRPr="00D0713E">
          <w:rPr>
            <w:rStyle w:val="Hyperlink"/>
            <w:noProof/>
          </w:rPr>
          <w:t>Table 3 - NDIS Disability Support Worker Cost Model – Key Assumptions</w:t>
        </w:r>
        <w:r w:rsidR="00B621CC">
          <w:rPr>
            <w:noProof/>
            <w:webHidden/>
          </w:rPr>
          <w:tab/>
        </w:r>
        <w:r w:rsidR="00B621CC">
          <w:rPr>
            <w:noProof/>
            <w:webHidden/>
          </w:rPr>
          <w:fldChar w:fldCharType="begin"/>
        </w:r>
        <w:r w:rsidR="00B621CC">
          <w:rPr>
            <w:noProof/>
            <w:webHidden/>
          </w:rPr>
          <w:instrText xml:space="preserve"> PAGEREF _Toc42014782 \h </w:instrText>
        </w:r>
        <w:r w:rsidR="00B621CC">
          <w:rPr>
            <w:noProof/>
            <w:webHidden/>
          </w:rPr>
        </w:r>
        <w:r w:rsidR="00B621CC">
          <w:rPr>
            <w:noProof/>
            <w:webHidden/>
          </w:rPr>
          <w:fldChar w:fldCharType="separate"/>
        </w:r>
        <w:r w:rsidR="00B621CC">
          <w:rPr>
            <w:noProof/>
            <w:webHidden/>
          </w:rPr>
          <w:t>45</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83" w:history="1">
        <w:r w:rsidR="00B621CC" w:rsidRPr="00D0713E">
          <w:rPr>
            <w:rStyle w:val="Hyperlink"/>
            <w:noProof/>
          </w:rPr>
          <w:t>Table 4 - Distribution of Results from the TTP Survey</w:t>
        </w:r>
        <w:r w:rsidR="00B621CC">
          <w:rPr>
            <w:noProof/>
            <w:webHidden/>
          </w:rPr>
          <w:tab/>
        </w:r>
        <w:r w:rsidR="00B621CC">
          <w:rPr>
            <w:noProof/>
            <w:webHidden/>
          </w:rPr>
          <w:fldChar w:fldCharType="begin"/>
        </w:r>
        <w:r w:rsidR="00B621CC">
          <w:rPr>
            <w:noProof/>
            <w:webHidden/>
          </w:rPr>
          <w:instrText xml:space="preserve"> PAGEREF _Toc42014783 \h </w:instrText>
        </w:r>
        <w:r w:rsidR="00B621CC">
          <w:rPr>
            <w:noProof/>
            <w:webHidden/>
          </w:rPr>
        </w:r>
        <w:r w:rsidR="00B621CC">
          <w:rPr>
            <w:noProof/>
            <w:webHidden/>
          </w:rPr>
          <w:fldChar w:fldCharType="separate"/>
        </w:r>
        <w:r w:rsidR="00B621CC">
          <w:rPr>
            <w:noProof/>
            <w:webHidden/>
          </w:rPr>
          <w:t>53</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84" w:history="1">
        <w:r w:rsidR="00B621CC" w:rsidRPr="00D0713E">
          <w:rPr>
            <w:rStyle w:val="Hyperlink"/>
            <w:noProof/>
          </w:rPr>
          <w:t>Table 5 - NDIS hourly price limits for non-TTP and TTP support items</w:t>
        </w:r>
        <w:r w:rsidR="00B621CC">
          <w:rPr>
            <w:noProof/>
            <w:webHidden/>
          </w:rPr>
          <w:tab/>
        </w:r>
        <w:r w:rsidR="00B621CC">
          <w:rPr>
            <w:noProof/>
            <w:webHidden/>
          </w:rPr>
          <w:fldChar w:fldCharType="begin"/>
        </w:r>
        <w:r w:rsidR="00B621CC">
          <w:rPr>
            <w:noProof/>
            <w:webHidden/>
          </w:rPr>
          <w:instrText xml:space="preserve"> PAGEREF _Toc42014784 \h </w:instrText>
        </w:r>
        <w:r w:rsidR="00B621CC">
          <w:rPr>
            <w:noProof/>
            <w:webHidden/>
          </w:rPr>
        </w:r>
        <w:r w:rsidR="00B621CC">
          <w:rPr>
            <w:noProof/>
            <w:webHidden/>
          </w:rPr>
          <w:fldChar w:fldCharType="separate"/>
        </w:r>
        <w:r w:rsidR="00B621CC">
          <w:rPr>
            <w:noProof/>
            <w:webHidden/>
          </w:rPr>
          <w:t>54</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85" w:history="1">
        <w:r w:rsidR="00B621CC" w:rsidRPr="00D0713E">
          <w:rPr>
            <w:rStyle w:val="Hyperlink"/>
            <w:noProof/>
          </w:rPr>
          <w:t>Table 6 - Comparative Scheme hourly fees</w:t>
        </w:r>
        <w:r w:rsidR="00B621CC">
          <w:rPr>
            <w:noProof/>
            <w:webHidden/>
          </w:rPr>
          <w:tab/>
        </w:r>
        <w:r w:rsidR="00B621CC">
          <w:rPr>
            <w:noProof/>
            <w:webHidden/>
          </w:rPr>
          <w:fldChar w:fldCharType="begin"/>
        </w:r>
        <w:r w:rsidR="00B621CC">
          <w:rPr>
            <w:noProof/>
            <w:webHidden/>
          </w:rPr>
          <w:instrText xml:space="preserve"> PAGEREF _Toc42014785 \h </w:instrText>
        </w:r>
        <w:r w:rsidR="00B621CC">
          <w:rPr>
            <w:noProof/>
            <w:webHidden/>
          </w:rPr>
        </w:r>
        <w:r w:rsidR="00B621CC">
          <w:rPr>
            <w:noProof/>
            <w:webHidden/>
          </w:rPr>
          <w:fldChar w:fldCharType="separate"/>
        </w:r>
        <w:r w:rsidR="00B621CC">
          <w:rPr>
            <w:noProof/>
            <w:webHidden/>
          </w:rPr>
          <w:t>54</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86" w:history="1">
        <w:r w:rsidR="00B621CC" w:rsidRPr="00D0713E">
          <w:rPr>
            <w:rStyle w:val="Hyperlink"/>
            <w:noProof/>
          </w:rPr>
          <w:t>Table 7 - Capacity Building Supports That May Be Delivered By Disability Support Workers</w:t>
        </w:r>
        <w:r w:rsidR="00B621CC">
          <w:rPr>
            <w:noProof/>
            <w:webHidden/>
          </w:rPr>
          <w:tab/>
        </w:r>
        <w:r w:rsidR="00B621CC">
          <w:rPr>
            <w:noProof/>
            <w:webHidden/>
          </w:rPr>
          <w:fldChar w:fldCharType="begin"/>
        </w:r>
        <w:r w:rsidR="00B621CC">
          <w:rPr>
            <w:noProof/>
            <w:webHidden/>
          </w:rPr>
          <w:instrText xml:space="preserve"> PAGEREF _Toc42014786 \h </w:instrText>
        </w:r>
        <w:r w:rsidR="00B621CC">
          <w:rPr>
            <w:noProof/>
            <w:webHidden/>
          </w:rPr>
        </w:r>
        <w:r w:rsidR="00B621CC">
          <w:rPr>
            <w:noProof/>
            <w:webHidden/>
          </w:rPr>
          <w:fldChar w:fldCharType="separate"/>
        </w:r>
        <w:r w:rsidR="00B621CC">
          <w:rPr>
            <w:noProof/>
            <w:webHidden/>
          </w:rPr>
          <w:t>77</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87" w:history="1">
        <w:r w:rsidR="00B621CC" w:rsidRPr="00D0713E">
          <w:rPr>
            <w:rStyle w:val="Hyperlink"/>
            <w:noProof/>
          </w:rPr>
          <w:t>Table 8 - NDIS Therapy Price Limit Comparison with Other Schemes, Hourly Rates</w:t>
        </w:r>
        <w:r w:rsidR="00B621CC">
          <w:rPr>
            <w:noProof/>
            <w:webHidden/>
          </w:rPr>
          <w:tab/>
        </w:r>
        <w:r w:rsidR="00B621CC">
          <w:rPr>
            <w:noProof/>
            <w:webHidden/>
          </w:rPr>
          <w:fldChar w:fldCharType="begin"/>
        </w:r>
        <w:r w:rsidR="00B621CC">
          <w:rPr>
            <w:noProof/>
            <w:webHidden/>
          </w:rPr>
          <w:instrText xml:space="preserve"> PAGEREF _Toc42014787 \h </w:instrText>
        </w:r>
        <w:r w:rsidR="00B621CC">
          <w:rPr>
            <w:noProof/>
            <w:webHidden/>
          </w:rPr>
        </w:r>
        <w:r w:rsidR="00B621CC">
          <w:rPr>
            <w:noProof/>
            <w:webHidden/>
          </w:rPr>
          <w:fldChar w:fldCharType="separate"/>
        </w:r>
        <w:r w:rsidR="00B621CC">
          <w:rPr>
            <w:noProof/>
            <w:webHidden/>
          </w:rPr>
          <w:t>80</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88" w:history="1">
        <w:r w:rsidR="00B621CC" w:rsidRPr="00D0713E">
          <w:rPr>
            <w:rStyle w:val="Hyperlink"/>
            <w:noProof/>
          </w:rPr>
          <w:t>Table 9 – Definitions of the Modified Monash Model Geographic Areas</w:t>
        </w:r>
        <w:r w:rsidR="00B621CC">
          <w:rPr>
            <w:noProof/>
            <w:webHidden/>
          </w:rPr>
          <w:tab/>
        </w:r>
        <w:r w:rsidR="00B621CC">
          <w:rPr>
            <w:noProof/>
            <w:webHidden/>
          </w:rPr>
          <w:fldChar w:fldCharType="begin"/>
        </w:r>
        <w:r w:rsidR="00B621CC">
          <w:rPr>
            <w:noProof/>
            <w:webHidden/>
          </w:rPr>
          <w:instrText xml:space="preserve"> PAGEREF _Toc42014788 \h </w:instrText>
        </w:r>
        <w:r w:rsidR="00B621CC">
          <w:rPr>
            <w:noProof/>
            <w:webHidden/>
          </w:rPr>
        </w:r>
        <w:r w:rsidR="00B621CC">
          <w:rPr>
            <w:noProof/>
            <w:webHidden/>
          </w:rPr>
          <w:fldChar w:fldCharType="separate"/>
        </w:r>
        <w:r w:rsidR="00B621CC">
          <w:rPr>
            <w:noProof/>
            <w:webHidden/>
          </w:rPr>
          <w:t>92</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89" w:history="1">
        <w:r w:rsidR="00B621CC" w:rsidRPr="00D0713E">
          <w:rPr>
            <w:rStyle w:val="Hyperlink"/>
            <w:noProof/>
          </w:rPr>
          <w:t>Table 10 – Regions where Price Limits change between MMM2015 and MMM2019</w:t>
        </w:r>
        <w:r w:rsidR="00B621CC">
          <w:rPr>
            <w:noProof/>
            <w:webHidden/>
          </w:rPr>
          <w:tab/>
        </w:r>
        <w:r w:rsidR="00B621CC">
          <w:rPr>
            <w:noProof/>
            <w:webHidden/>
          </w:rPr>
          <w:fldChar w:fldCharType="begin"/>
        </w:r>
        <w:r w:rsidR="00B621CC">
          <w:rPr>
            <w:noProof/>
            <w:webHidden/>
          </w:rPr>
          <w:instrText xml:space="preserve"> PAGEREF _Toc42014789 \h </w:instrText>
        </w:r>
        <w:r w:rsidR="00B621CC">
          <w:rPr>
            <w:noProof/>
            <w:webHidden/>
          </w:rPr>
        </w:r>
        <w:r w:rsidR="00B621CC">
          <w:rPr>
            <w:noProof/>
            <w:webHidden/>
          </w:rPr>
          <w:fldChar w:fldCharType="separate"/>
        </w:r>
        <w:r w:rsidR="00B621CC">
          <w:rPr>
            <w:noProof/>
            <w:webHidden/>
          </w:rPr>
          <w:t>93</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90" w:history="1">
        <w:r w:rsidR="00B621CC" w:rsidRPr="00D0713E">
          <w:rPr>
            <w:rStyle w:val="Hyperlink"/>
            <w:noProof/>
          </w:rPr>
          <w:t>Table 11 - Relative Cost of Living across Queensland</w:t>
        </w:r>
        <w:r w:rsidR="00B621CC">
          <w:rPr>
            <w:noProof/>
            <w:webHidden/>
          </w:rPr>
          <w:tab/>
        </w:r>
        <w:r w:rsidR="00B621CC">
          <w:rPr>
            <w:noProof/>
            <w:webHidden/>
          </w:rPr>
          <w:fldChar w:fldCharType="begin"/>
        </w:r>
        <w:r w:rsidR="00B621CC">
          <w:rPr>
            <w:noProof/>
            <w:webHidden/>
          </w:rPr>
          <w:instrText xml:space="preserve"> PAGEREF _Toc42014790 \h </w:instrText>
        </w:r>
        <w:r w:rsidR="00B621CC">
          <w:rPr>
            <w:noProof/>
            <w:webHidden/>
          </w:rPr>
        </w:r>
        <w:r w:rsidR="00B621CC">
          <w:rPr>
            <w:noProof/>
            <w:webHidden/>
          </w:rPr>
          <w:fldChar w:fldCharType="separate"/>
        </w:r>
        <w:r w:rsidR="00B621CC">
          <w:rPr>
            <w:noProof/>
            <w:webHidden/>
          </w:rPr>
          <w:t>98</w:t>
        </w:r>
        <w:r w:rsidR="00B621CC">
          <w:rPr>
            <w:noProof/>
            <w:webHidden/>
          </w:rPr>
          <w:fldChar w:fldCharType="end"/>
        </w:r>
      </w:hyperlink>
    </w:p>
    <w:p w:rsidR="00B621CC" w:rsidRDefault="00F30779">
      <w:pPr>
        <w:pStyle w:val="TableofFigures"/>
        <w:rPr>
          <w:rFonts w:eastAsiaTheme="minorEastAsia"/>
          <w:noProof/>
          <w:sz w:val="22"/>
          <w:szCs w:val="22"/>
          <w:lang w:eastAsia="en-AU"/>
        </w:rPr>
      </w:pPr>
      <w:hyperlink w:anchor="_Toc42014791" w:history="1">
        <w:r w:rsidR="00B621CC" w:rsidRPr="00D0713E">
          <w:rPr>
            <w:rStyle w:val="Hyperlink"/>
            <w:noProof/>
          </w:rPr>
          <w:t>Table 12 - Relative Cost of Living across Western Australia</w:t>
        </w:r>
        <w:r w:rsidR="00B621CC">
          <w:rPr>
            <w:noProof/>
            <w:webHidden/>
          </w:rPr>
          <w:tab/>
        </w:r>
        <w:r w:rsidR="00B621CC">
          <w:rPr>
            <w:noProof/>
            <w:webHidden/>
          </w:rPr>
          <w:fldChar w:fldCharType="begin"/>
        </w:r>
        <w:r w:rsidR="00B621CC">
          <w:rPr>
            <w:noProof/>
            <w:webHidden/>
          </w:rPr>
          <w:instrText xml:space="preserve"> PAGEREF _Toc42014791 \h </w:instrText>
        </w:r>
        <w:r w:rsidR="00B621CC">
          <w:rPr>
            <w:noProof/>
            <w:webHidden/>
          </w:rPr>
        </w:r>
        <w:r w:rsidR="00B621CC">
          <w:rPr>
            <w:noProof/>
            <w:webHidden/>
          </w:rPr>
          <w:fldChar w:fldCharType="separate"/>
        </w:r>
        <w:r w:rsidR="00B621CC">
          <w:rPr>
            <w:noProof/>
            <w:webHidden/>
          </w:rPr>
          <w:t>98</w:t>
        </w:r>
        <w:r w:rsidR="00B621CC">
          <w:rPr>
            <w:noProof/>
            <w:webHidden/>
          </w:rPr>
          <w:fldChar w:fldCharType="end"/>
        </w:r>
      </w:hyperlink>
    </w:p>
    <w:p w:rsidR="00CF16FF" w:rsidRPr="00CA1271" w:rsidRDefault="00CF16FF" w:rsidP="00CF16FF">
      <w:pPr>
        <w:pStyle w:val="TableofFigures"/>
        <w:tabs>
          <w:tab w:val="clear" w:pos="9072"/>
          <w:tab w:val="right" w:leader="dot" w:pos="9061"/>
        </w:tabs>
        <w:ind w:left="1701" w:hanging="1701"/>
      </w:pPr>
      <w:r w:rsidRPr="00CA1271">
        <w:rPr>
          <w:rStyle w:val="Hyperlink"/>
          <w:noProof/>
          <w:szCs w:val="20"/>
        </w:rPr>
        <w:fldChar w:fldCharType="end"/>
      </w:r>
    </w:p>
    <w:p w:rsidR="00F64B52" w:rsidRPr="00CA1271" w:rsidRDefault="00E87FA3" w:rsidP="002A437A">
      <w:pPr>
        <w:sectPr w:rsidR="00F64B52" w:rsidRPr="00CA1271" w:rsidSect="00CA5B7E">
          <w:headerReference w:type="default" r:id="rId11"/>
          <w:footerReference w:type="first" r:id="rId12"/>
          <w:pgSz w:w="11907" w:h="16839" w:code="9"/>
          <w:pgMar w:top="1418" w:right="1418" w:bottom="1418" w:left="1418" w:header="709" w:footer="709" w:gutter="0"/>
          <w:cols w:space="708"/>
          <w:titlePg/>
          <w:docGrid w:linePitch="360"/>
        </w:sectPr>
      </w:pPr>
      <w:r w:rsidRPr="00CA1271">
        <w:t xml:space="preserve"> </w:t>
      </w:r>
      <w:bookmarkEnd w:id="4"/>
      <w:bookmarkEnd w:id="5"/>
      <w:bookmarkEnd w:id="6"/>
    </w:p>
    <w:p w:rsidR="00F64B52" w:rsidRPr="00CA1271" w:rsidRDefault="00F64B52" w:rsidP="00CF16FF">
      <w:pPr>
        <w:pStyle w:val="Heading1"/>
        <w:numPr>
          <w:ilvl w:val="0"/>
          <w:numId w:val="0"/>
        </w:numPr>
      </w:pPr>
      <w:bookmarkStart w:id="7" w:name="_Toc42014711"/>
      <w:r w:rsidRPr="00CA1271">
        <w:t>Executive Summary</w:t>
      </w:r>
      <w:bookmarkEnd w:id="7"/>
    </w:p>
    <w:p w:rsidR="00932DD6" w:rsidRPr="00CA1271" w:rsidRDefault="00932DD6" w:rsidP="00932DD6">
      <w:r w:rsidRPr="00CA1271">
        <w:t xml:space="preserve">The National Disability Insurance Agency (NDIA) continually monitors and reviews its price control framework and other market settings to determine whether they </w:t>
      </w:r>
      <w:r w:rsidR="00B1246B" w:rsidRPr="00CA1271">
        <w:t xml:space="preserve">remain </w:t>
      </w:r>
      <w:r w:rsidRPr="00CA1271">
        <w:t xml:space="preserve">appropriate. The NDIA is also committed to </w:t>
      </w:r>
      <w:r w:rsidR="00F02554" w:rsidRPr="00CA1271">
        <w:t xml:space="preserve">the continuous </w:t>
      </w:r>
      <w:r w:rsidRPr="00CA1271">
        <w:t xml:space="preserve">improvement of the methodologies underpinning the NDIS price control framework. </w:t>
      </w:r>
      <w:r w:rsidR="009D5732" w:rsidRPr="00CA1271">
        <w:t xml:space="preserve">In </w:t>
      </w:r>
      <w:r w:rsidR="00F02554" w:rsidRPr="00CA1271">
        <w:t xml:space="preserve">line </w:t>
      </w:r>
      <w:r w:rsidR="009D5732" w:rsidRPr="00CA1271">
        <w:t>with this commitment, t</w:t>
      </w:r>
      <w:r w:rsidRPr="00CA1271">
        <w:t xml:space="preserve">he </w:t>
      </w:r>
      <w:r w:rsidR="0000645A" w:rsidRPr="00CA1271">
        <w:t>Annual Pricing Review</w:t>
      </w:r>
      <w:r w:rsidRPr="00CA1271">
        <w:t xml:space="preserve"> 2020-21 was required to examine, through research and consultation </w:t>
      </w:r>
      <w:r w:rsidR="00F02554" w:rsidRPr="00CA1271">
        <w:t xml:space="preserve">with </w:t>
      </w:r>
      <w:r w:rsidRPr="00CA1271">
        <w:t xml:space="preserve">industry, community and government stakeholders, whether the existing price control framework and other market settings under the NDIS continue to be appropriate or should be modified. </w:t>
      </w:r>
    </w:p>
    <w:p w:rsidR="00932DD6" w:rsidRPr="00CA1271" w:rsidRDefault="00932DD6" w:rsidP="00932DD6">
      <w:pPr>
        <w:pStyle w:val="Heading2"/>
        <w:keepNext w:val="0"/>
      </w:pPr>
      <w:bookmarkStart w:id="8" w:name="_Toc42014712"/>
      <w:r w:rsidRPr="00CA1271">
        <w:t>Conduct of the review</w:t>
      </w:r>
      <w:bookmarkEnd w:id="8"/>
    </w:p>
    <w:p w:rsidR="00932DD6" w:rsidRPr="00CA1271" w:rsidRDefault="00932DD6" w:rsidP="00932DD6">
      <w:r w:rsidRPr="00CA1271">
        <w:t>The Review engaged in extensive consultations with industry, community and government stakeholders and undertook a program of research.</w:t>
      </w:r>
    </w:p>
    <w:p w:rsidR="00932DD6" w:rsidRPr="00CA1271" w:rsidRDefault="00932DD6" w:rsidP="00932DD6">
      <w:pPr>
        <w:pStyle w:val="DotPoint"/>
      </w:pPr>
      <w:r w:rsidRPr="00CA1271">
        <w:t xml:space="preserve">An </w:t>
      </w:r>
      <w:r w:rsidRPr="00CA1271">
        <w:rPr>
          <w:i/>
        </w:rPr>
        <w:t>Issues Paper</w:t>
      </w:r>
      <w:r w:rsidRPr="00CA1271">
        <w:t xml:space="preserve"> was released on 28 November 2019 together with a public call for submission</w:t>
      </w:r>
      <w:r w:rsidR="00B1246B" w:rsidRPr="00CA1271">
        <w:t>s</w:t>
      </w:r>
      <w:r w:rsidRPr="00CA1271">
        <w:t xml:space="preserve">. The formal closing date for submissions was 2 February 2020, but submissions received up until 8 April 2020 were taken into account in the Review. </w:t>
      </w:r>
      <w:r w:rsidRPr="00CA1271">
        <w:rPr>
          <w:rFonts w:cs="Arial"/>
          <w:szCs w:val="22"/>
        </w:rPr>
        <w:t>Some 96 submissions were received by the closing date. A total of 139 submissions had been received and analysed by 8 April 2020</w:t>
      </w:r>
      <w:r w:rsidR="009D5732" w:rsidRPr="00CA1271">
        <w:rPr>
          <w:rFonts w:cs="Arial"/>
          <w:szCs w:val="22"/>
        </w:rPr>
        <w:t>.</w:t>
      </w:r>
    </w:p>
    <w:p w:rsidR="00932DD6" w:rsidRPr="00CA1271" w:rsidRDefault="00932DD6" w:rsidP="00932DD6">
      <w:pPr>
        <w:pStyle w:val="DotPoint"/>
        <w:rPr>
          <w:rFonts w:cs="Arial"/>
          <w:szCs w:val="22"/>
        </w:rPr>
      </w:pPr>
      <w:r w:rsidRPr="00CA1271">
        <w:rPr>
          <w:rFonts w:cs="Arial"/>
          <w:szCs w:val="22"/>
        </w:rPr>
        <w:t xml:space="preserve">Face to face consultations were held with 29 groups of providers in each State and Territory. After 23 </w:t>
      </w:r>
      <w:r w:rsidRPr="00CA1271">
        <w:t>March</w:t>
      </w:r>
      <w:r w:rsidRPr="00CA1271">
        <w:rPr>
          <w:rFonts w:cs="Arial"/>
          <w:szCs w:val="22"/>
        </w:rPr>
        <w:t xml:space="preserve"> 2020, these consultations were held by teleconference/</w:t>
      </w:r>
      <w:r w:rsidR="009D5732" w:rsidRPr="00CA1271">
        <w:rPr>
          <w:rFonts w:cs="Arial"/>
          <w:szCs w:val="22"/>
        </w:rPr>
        <w:t xml:space="preserve"> </w:t>
      </w:r>
      <w:r w:rsidRPr="00CA1271">
        <w:rPr>
          <w:rFonts w:cs="Arial"/>
          <w:szCs w:val="22"/>
        </w:rPr>
        <w:t>videoconference for safety reasons.</w:t>
      </w:r>
    </w:p>
    <w:p w:rsidR="00932DD6" w:rsidRPr="00CA1271" w:rsidRDefault="00932DD6" w:rsidP="00932DD6">
      <w:pPr>
        <w:pStyle w:val="DotPoint"/>
      </w:pPr>
      <w:r w:rsidRPr="00CA1271">
        <w:rPr>
          <w:rFonts w:cs="Arial"/>
        </w:rPr>
        <w:t>Six</w:t>
      </w:r>
      <w:r w:rsidRPr="00CA1271">
        <w:rPr>
          <w:rFonts w:cs="Arial"/>
          <w:szCs w:val="22"/>
        </w:rPr>
        <w:t xml:space="preserve"> working groups (involving 108 providers and peak bodies) were </w:t>
      </w:r>
      <w:r w:rsidR="00F02554" w:rsidRPr="00CA1271">
        <w:rPr>
          <w:rFonts w:cs="Arial"/>
          <w:szCs w:val="22"/>
        </w:rPr>
        <w:t>established</w:t>
      </w:r>
      <w:r w:rsidRPr="00CA1271">
        <w:rPr>
          <w:rFonts w:cs="Arial"/>
          <w:szCs w:val="22"/>
        </w:rPr>
        <w:t xml:space="preserve"> with repr</w:t>
      </w:r>
      <w:r w:rsidR="009D5732" w:rsidRPr="00CA1271">
        <w:rPr>
          <w:rFonts w:cs="Arial"/>
          <w:szCs w:val="22"/>
        </w:rPr>
        <w:t>esentatives from the sector</w:t>
      </w:r>
      <w:r w:rsidRPr="00CA1271">
        <w:rPr>
          <w:rFonts w:cs="Arial"/>
          <w:szCs w:val="22"/>
        </w:rPr>
        <w:t xml:space="preserve"> to discuss concerns and proposals for change.</w:t>
      </w:r>
    </w:p>
    <w:p w:rsidR="00932DD6" w:rsidRPr="00CA1271" w:rsidRDefault="00932DD6" w:rsidP="00932DD6">
      <w:pPr>
        <w:pStyle w:val="DotPoint"/>
        <w:rPr>
          <w:rFonts w:cs="Arial"/>
          <w:szCs w:val="22"/>
        </w:rPr>
      </w:pPr>
      <w:r w:rsidRPr="00CA1271">
        <w:rPr>
          <w:rFonts w:cs="Arial"/>
          <w:szCs w:val="22"/>
        </w:rPr>
        <w:t>On 11 March 2020, the NDIA’s Pricing Reference Group (PRG) met with members of the six provider peak groups.</w:t>
      </w:r>
    </w:p>
    <w:p w:rsidR="00932DD6" w:rsidRPr="00CA1271" w:rsidRDefault="00932DD6" w:rsidP="00932DD6">
      <w:pPr>
        <w:pStyle w:val="DotPoint"/>
        <w:rPr>
          <w:rFonts w:cs="Arial"/>
          <w:szCs w:val="22"/>
        </w:rPr>
      </w:pPr>
      <w:r w:rsidRPr="00CA1271">
        <w:rPr>
          <w:rFonts w:cs="Arial"/>
          <w:szCs w:val="22"/>
        </w:rPr>
        <w:t xml:space="preserve">On 15 April 2020, the NDIA’s PRG met with </w:t>
      </w:r>
      <w:r w:rsidR="00B1246B" w:rsidRPr="00CA1271">
        <w:rPr>
          <w:rFonts w:cs="Arial"/>
          <w:szCs w:val="22"/>
        </w:rPr>
        <w:t xml:space="preserve">members </w:t>
      </w:r>
      <w:r w:rsidRPr="00CA1271">
        <w:rPr>
          <w:rFonts w:cs="Arial"/>
          <w:szCs w:val="22"/>
        </w:rPr>
        <w:t xml:space="preserve">of </w:t>
      </w:r>
      <w:r w:rsidR="00465334" w:rsidRPr="00CA1271">
        <w:rPr>
          <w:rFonts w:cs="Arial"/>
          <w:szCs w:val="22"/>
        </w:rPr>
        <w:t>three</w:t>
      </w:r>
      <w:r w:rsidR="00B1246B" w:rsidRPr="00CA1271">
        <w:rPr>
          <w:rFonts w:cs="Arial"/>
          <w:szCs w:val="22"/>
        </w:rPr>
        <w:t xml:space="preserve"> </w:t>
      </w:r>
      <w:r w:rsidRPr="00CA1271">
        <w:rPr>
          <w:rFonts w:cs="Arial"/>
          <w:szCs w:val="22"/>
        </w:rPr>
        <w:t>participant peak groups. Other participant representative groups were invited, but were unable to attend due to having to address COVID-19 issues.</w:t>
      </w:r>
    </w:p>
    <w:p w:rsidR="001F74D2" w:rsidRPr="00CA1271" w:rsidRDefault="001F74D2" w:rsidP="00932DD6">
      <w:pPr>
        <w:pStyle w:val="DotPoint"/>
        <w:rPr>
          <w:rFonts w:cs="Arial"/>
          <w:szCs w:val="22"/>
        </w:rPr>
      </w:pPr>
      <w:r w:rsidRPr="00CA1271">
        <w:rPr>
          <w:rFonts w:cs="Arial"/>
          <w:szCs w:val="22"/>
        </w:rPr>
        <w:t>Consultations were also held with</w:t>
      </w:r>
      <w:r w:rsidR="00F02554" w:rsidRPr="00CA1271">
        <w:rPr>
          <w:rFonts w:cs="Arial"/>
          <w:szCs w:val="22"/>
        </w:rPr>
        <w:t xml:space="preserve">, and desktop analysis undertaken of, </w:t>
      </w:r>
      <w:r w:rsidR="005220B7" w:rsidRPr="00CA1271">
        <w:rPr>
          <w:rFonts w:cs="Arial"/>
          <w:szCs w:val="22"/>
        </w:rPr>
        <w:t>ten</w:t>
      </w:r>
      <w:r w:rsidR="00F02554" w:rsidRPr="00CA1271">
        <w:rPr>
          <w:rFonts w:cs="Arial"/>
          <w:szCs w:val="22"/>
        </w:rPr>
        <w:t xml:space="preserve"> </w:t>
      </w:r>
      <w:r w:rsidRPr="00CA1271">
        <w:rPr>
          <w:rFonts w:cs="Arial"/>
          <w:szCs w:val="22"/>
        </w:rPr>
        <w:t xml:space="preserve">other </w:t>
      </w:r>
      <w:r w:rsidR="005220B7" w:rsidRPr="00CA1271">
        <w:rPr>
          <w:rFonts w:cs="Arial"/>
          <w:szCs w:val="22"/>
        </w:rPr>
        <w:t xml:space="preserve">state based and national </w:t>
      </w:r>
      <w:r w:rsidRPr="00CA1271">
        <w:rPr>
          <w:rFonts w:cs="Arial"/>
          <w:szCs w:val="22"/>
        </w:rPr>
        <w:t>schemes to compare pricing arrangements for attendant care and therapy services.</w:t>
      </w:r>
    </w:p>
    <w:p w:rsidR="00932DD6" w:rsidRPr="00CA1271" w:rsidRDefault="00932DD6" w:rsidP="00932DD6">
      <w:pPr>
        <w:rPr>
          <w:rFonts w:cs="Arial"/>
          <w:szCs w:val="22"/>
        </w:rPr>
      </w:pPr>
      <w:r w:rsidRPr="00CA1271">
        <w:rPr>
          <w:rFonts w:cs="Arial"/>
          <w:szCs w:val="22"/>
        </w:rPr>
        <w:t xml:space="preserve">Deloitte Access Economics were engaged by the NDIA to conduct a financial benchmarking survey of </w:t>
      </w:r>
      <w:r w:rsidR="009D5732" w:rsidRPr="00CA1271">
        <w:rPr>
          <w:rFonts w:cs="Arial"/>
          <w:szCs w:val="22"/>
        </w:rPr>
        <w:t>Temporary Transformation Payment (</w:t>
      </w:r>
      <w:r w:rsidRPr="00CA1271">
        <w:rPr>
          <w:rFonts w:cs="Arial"/>
          <w:szCs w:val="22"/>
        </w:rPr>
        <w:t>TTP</w:t>
      </w:r>
      <w:r w:rsidR="009D5732" w:rsidRPr="00CA1271">
        <w:rPr>
          <w:rFonts w:cs="Arial"/>
          <w:szCs w:val="22"/>
        </w:rPr>
        <w:t>)</w:t>
      </w:r>
      <w:r w:rsidRPr="00CA1271">
        <w:rPr>
          <w:rFonts w:cs="Arial"/>
          <w:szCs w:val="22"/>
        </w:rPr>
        <w:t xml:space="preserve"> providers and to analyse the results, with a particular emphasis on the parameters that underlie the </w:t>
      </w:r>
      <w:r w:rsidR="00170F62" w:rsidRPr="00CA1271">
        <w:rPr>
          <w:rFonts w:cs="Arial"/>
          <w:szCs w:val="22"/>
        </w:rPr>
        <w:t>NDIS Disability Support Worker Cost Model</w:t>
      </w:r>
      <w:r w:rsidRPr="00CA1271">
        <w:rPr>
          <w:rFonts w:cs="Arial"/>
          <w:szCs w:val="22"/>
        </w:rPr>
        <w:t xml:space="preserve"> that determines many of the NDIS price limits. As at 15 March 2020, when the survey closed, Deloitte had received 615 completed surveys. As of 31 March 2020, an additional 231 responses had been received. However</w:t>
      </w:r>
      <w:r w:rsidR="00E0007F" w:rsidRPr="00CA1271">
        <w:rPr>
          <w:rFonts w:cs="Arial"/>
          <w:szCs w:val="22"/>
        </w:rPr>
        <w:t>,</w:t>
      </w:r>
      <w:r w:rsidRPr="00CA1271">
        <w:rPr>
          <w:rFonts w:cs="Arial"/>
          <w:szCs w:val="22"/>
        </w:rPr>
        <w:t xml:space="preserve"> these </w:t>
      </w:r>
      <w:r w:rsidR="00DE4BC3" w:rsidRPr="00CA1271">
        <w:rPr>
          <w:rFonts w:cs="Arial"/>
          <w:szCs w:val="22"/>
        </w:rPr>
        <w:t xml:space="preserve">additional </w:t>
      </w:r>
      <w:r w:rsidRPr="00CA1271">
        <w:rPr>
          <w:rFonts w:cs="Arial"/>
          <w:szCs w:val="22"/>
        </w:rPr>
        <w:t xml:space="preserve">responses were not </w:t>
      </w:r>
      <w:r w:rsidR="00DE4BC3" w:rsidRPr="00CA1271">
        <w:rPr>
          <w:rFonts w:cs="Arial"/>
          <w:szCs w:val="22"/>
        </w:rPr>
        <w:t>received in time to be included in the analyses in this report</w:t>
      </w:r>
      <w:r w:rsidRPr="00CA1271">
        <w:rPr>
          <w:rFonts w:cs="Arial"/>
          <w:szCs w:val="22"/>
        </w:rPr>
        <w:t>.</w:t>
      </w:r>
    </w:p>
    <w:p w:rsidR="00E80A7C" w:rsidRPr="00CA1271" w:rsidRDefault="00CB4B0A" w:rsidP="00932DD6">
      <w:pPr>
        <w:rPr>
          <w:rFonts w:cs="Arial"/>
          <w:szCs w:val="22"/>
        </w:rPr>
      </w:pPr>
      <w:r w:rsidRPr="00CA1271">
        <w:rPr>
          <w:rFonts w:cs="Arial"/>
          <w:szCs w:val="22"/>
        </w:rPr>
        <w:t>The</w:t>
      </w:r>
      <w:r w:rsidR="00E80A7C" w:rsidRPr="00CA1271">
        <w:rPr>
          <w:rFonts w:cs="Arial"/>
          <w:szCs w:val="22"/>
        </w:rPr>
        <w:t xml:space="preserve"> Review also conducted research as set out in this Report, including of the extent to which providers were </w:t>
      </w:r>
      <w:r w:rsidR="0000645A" w:rsidRPr="00CA1271">
        <w:rPr>
          <w:rFonts w:cs="Arial"/>
          <w:szCs w:val="22"/>
        </w:rPr>
        <w:t xml:space="preserve">choosing not to charge the TTP and were </w:t>
      </w:r>
      <w:r w:rsidR="00E80A7C" w:rsidRPr="00CA1271">
        <w:rPr>
          <w:rFonts w:cs="Arial"/>
          <w:szCs w:val="22"/>
        </w:rPr>
        <w:t>agreeing fees with participants below the price limits.</w:t>
      </w:r>
    </w:p>
    <w:p w:rsidR="00932DD6" w:rsidRPr="00CA1271" w:rsidRDefault="00932DD6" w:rsidP="009D5732">
      <w:pPr>
        <w:pStyle w:val="Heading2"/>
      </w:pPr>
      <w:bookmarkStart w:id="9" w:name="_Toc42014713"/>
      <w:r w:rsidRPr="00CA1271">
        <w:t>Findings and recommendations</w:t>
      </w:r>
      <w:bookmarkEnd w:id="9"/>
    </w:p>
    <w:p w:rsidR="00932DD6" w:rsidRPr="00CA1271" w:rsidRDefault="00932DD6" w:rsidP="00932DD6">
      <w:pPr>
        <w:pStyle w:val="Heading3"/>
        <w:keepNext w:val="0"/>
      </w:pPr>
      <w:r w:rsidRPr="00CA1271">
        <w:t>Provider Administration and Participant Flexibility</w:t>
      </w:r>
    </w:p>
    <w:p w:rsidR="00932DD6" w:rsidRPr="00CA1271" w:rsidRDefault="00932DD6" w:rsidP="00932DD6">
      <w:r w:rsidRPr="00CA1271">
        <w:t>The Review was required by its Terms of Reference to examine the price control framework to identify opportunities to increase flexibility for participants and reduce administrative burdens for providers.</w:t>
      </w:r>
    </w:p>
    <w:p w:rsidR="00932DD6" w:rsidRPr="00CA1271" w:rsidRDefault="00932DD6" w:rsidP="00932DD6">
      <w:r w:rsidRPr="00CA1271">
        <w:t xml:space="preserve">The Review considers that there would be considerable merit in changing the timing of the </w:t>
      </w:r>
      <w:r w:rsidR="0000645A" w:rsidRPr="00CA1271">
        <w:t>Annual Pricing Review</w:t>
      </w:r>
      <w:r w:rsidRPr="00CA1271">
        <w:t xml:space="preserve"> so that providers were aware earlier of any policy changes that the NDIA intended to make. The Review also considers that given the uncertainty around economic conditions during the COVID-19 pandemic and as Australia emerges from the pandemic that the NDIA should not undertake an </w:t>
      </w:r>
      <w:r w:rsidR="0000645A" w:rsidRPr="00CA1271">
        <w:t>Annual Pricing Review</w:t>
      </w:r>
      <w:r w:rsidRPr="00CA1271">
        <w:t xml:space="preserve"> in 2020-21 but should instead monitor economic conditions carefully and promptly respond to emerging issues.</w:t>
      </w:r>
    </w:p>
    <w:p w:rsidR="00932DD6" w:rsidRPr="00CA1271" w:rsidRDefault="00932DD6" w:rsidP="00932DD6">
      <w:r w:rsidRPr="00CA1271">
        <w:t>The Review also sees merit in the NDIA publishing the indexation methodology for price limits so that providers can better estimate their future budgets, recognising that the NDIA is not able to index and announce price limits until after the Fair Work Commission has made its Annual Minimum Wage Decision, which usually occurs in the middle of June each year.</w:t>
      </w:r>
    </w:p>
    <w:p w:rsidR="00932DD6" w:rsidRPr="00CA1271" w:rsidRDefault="00932DD6" w:rsidP="00932DD6">
      <w:r w:rsidRPr="00CA1271">
        <w:t>The Review supports the introduction of programs of supports, whereby providers enter into contracts for the provision of programs of supports</w:t>
      </w:r>
      <w:r w:rsidR="00B4271B" w:rsidRPr="00CA1271">
        <w:t>, especially where the program of supports is towards the achievement of specified outcomes</w:t>
      </w:r>
      <w:r w:rsidRPr="00CA1271">
        <w:t xml:space="preserve">. Where a participant does not attend one part of a program </w:t>
      </w:r>
      <w:r w:rsidR="00980790" w:rsidRPr="00CA1271">
        <w:t xml:space="preserve">the provider is able to </w:t>
      </w:r>
      <w:r w:rsidR="00C4242B" w:rsidRPr="00CA1271">
        <w:t>claim</w:t>
      </w:r>
      <w:r w:rsidRPr="00CA1271">
        <w:t xml:space="preserve"> as though they did </w:t>
      </w:r>
      <w:r w:rsidR="00A316DC" w:rsidRPr="00CA1271">
        <w:t>attend</w:t>
      </w:r>
      <w:r w:rsidRPr="00CA1271">
        <w:t xml:space="preserve"> – that is, this is not a cancellation, as long as the provider had the capacity to deliver the support. The Review considers that it is important to include safeguards in these </w:t>
      </w:r>
      <w:r w:rsidR="00B1246B" w:rsidRPr="00CA1271">
        <w:t>arrangements</w:t>
      </w:r>
      <w:r w:rsidRPr="00CA1271">
        <w:t xml:space="preserve">, including that programs of support cannot be for longer than 12 weeks (unless specifically allowed for </w:t>
      </w:r>
      <w:r w:rsidR="00B1246B" w:rsidRPr="00CA1271">
        <w:t>i</w:t>
      </w:r>
      <w:r w:rsidRPr="00CA1271">
        <w:t xml:space="preserve">n the </w:t>
      </w:r>
      <w:r w:rsidRPr="00CA1271">
        <w:rPr>
          <w:i/>
        </w:rPr>
        <w:t>NDIS Price Guide</w:t>
      </w:r>
      <w:r w:rsidRPr="00CA1271">
        <w:t>) and that participants should be able to exit from an agreed program of supports without cost, subject to a</w:t>
      </w:r>
      <w:r w:rsidR="00A316DC" w:rsidRPr="00CA1271">
        <w:t>n agreed</w:t>
      </w:r>
      <w:r w:rsidRPr="00CA1271">
        <w:t xml:space="preserve"> notice period </w:t>
      </w:r>
      <w:r w:rsidR="00A316DC" w:rsidRPr="00CA1271">
        <w:t>that can be no longer than</w:t>
      </w:r>
      <w:r w:rsidRPr="00CA1271">
        <w:t xml:space="preserve"> </w:t>
      </w:r>
      <w:r w:rsidR="00AF45A5" w:rsidRPr="00CA1271">
        <w:t xml:space="preserve">two </w:t>
      </w:r>
      <w:r w:rsidRPr="00CA1271">
        <w:t>(</w:t>
      </w:r>
      <w:r w:rsidR="00AF45A5" w:rsidRPr="00CA1271">
        <w:t>2</w:t>
      </w:r>
      <w:r w:rsidRPr="00CA1271">
        <w:t xml:space="preserve">) weeks. Supports delivered as part of a program of supports would not be subject to the short notice cancellation rules. </w:t>
      </w:r>
    </w:p>
    <w:p w:rsidR="00963D6B" w:rsidRPr="00CA1271" w:rsidRDefault="00963D6B" w:rsidP="00963D6B">
      <w:r w:rsidRPr="00CA1271">
        <w:t xml:space="preserve">The Review recognises the concerns raised in consultations with participant </w:t>
      </w:r>
      <w:r w:rsidR="00980790" w:rsidRPr="00CA1271">
        <w:t xml:space="preserve">representative organisations </w:t>
      </w:r>
      <w:r w:rsidRPr="00CA1271">
        <w:t xml:space="preserve">that the programs of support approach should not be permitted to be used by providers to return themselves to a quasi-form of block funding. Participant </w:t>
      </w:r>
      <w:r w:rsidR="00980790" w:rsidRPr="00CA1271">
        <w:t xml:space="preserve">representatives </w:t>
      </w:r>
      <w:r w:rsidRPr="00CA1271">
        <w:t>did acknowledge, however, that the program concept was common in the commercial world and that it could be beneficial for other participants taking part in a program as they would have a greater certainty that the program would operate fully throughout its term.</w:t>
      </w:r>
      <w:r w:rsidR="008E6A7F">
        <w:t xml:space="preserve"> </w:t>
      </w:r>
      <w:r w:rsidRPr="00CA1271">
        <w:t xml:space="preserve">On balance, the Review considers that the advantages outweigh the risks, but recommends that the introduction of programs of support approach be carefully evaluated and that </w:t>
      </w:r>
      <w:r w:rsidR="00980790" w:rsidRPr="00CA1271">
        <w:t xml:space="preserve">guidance </w:t>
      </w:r>
      <w:r w:rsidRPr="00CA1271">
        <w:t>material be produced by the NDIA for participants, including on their right to choose not to engage their provider through a program of support.</w:t>
      </w:r>
      <w:r w:rsidR="00B10EF0" w:rsidRPr="00CA1271">
        <w:t xml:space="preserve"> In the first instance, program of supports should only be able to be offered for group supports.</w:t>
      </w:r>
    </w:p>
    <w:p w:rsidR="00932DD6" w:rsidRPr="00CA1271" w:rsidRDefault="00932DD6" w:rsidP="00932DD6">
      <w:r w:rsidRPr="00CA1271">
        <w:t xml:space="preserve">The Review also considers that there are other opportunities to simplify the </w:t>
      </w:r>
      <w:r w:rsidRPr="00CA1271">
        <w:rPr>
          <w:i/>
        </w:rPr>
        <w:t>NDIS Support Catalogue</w:t>
      </w:r>
      <w:r w:rsidRPr="00CA1271">
        <w:t xml:space="preserve"> by removing the various worker to participant ratio support items. Providers would divide the number of worker hours by the number of participant hours to derive their own fractions of hours to charge participants and would claim for these hours against the </w:t>
      </w:r>
      <w:r w:rsidR="00A316DC" w:rsidRPr="00CA1271">
        <w:t xml:space="preserve">relevant </w:t>
      </w:r>
      <w:r w:rsidRPr="00CA1271">
        <w:t xml:space="preserve">1:1 support item and subject to the </w:t>
      </w:r>
      <w:r w:rsidR="00A316DC" w:rsidRPr="00CA1271">
        <w:t xml:space="preserve">relevant </w:t>
      </w:r>
      <w:r w:rsidRPr="00CA1271">
        <w:t xml:space="preserve">price limit. For example, one worker </w:t>
      </w:r>
      <w:r w:rsidR="00A316DC" w:rsidRPr="00CA1271">
        <w:t>delivering</w:t>
      </w:r>
      <w:r w:rsidRPr="00CA1271">
        <w:t xml:space="preserve"> </w:t>
      </w:r>
      <w:r w:rsidR="00A316DC" w:rsidRPr="00CA1271">
        <w:t xml:space="preserve">a one-hour session on a Saturday to </w:t>
      </w:r>
      <w:r w:rsidRPr="00CA1271">
        <w:t xml:space="preserve">three participants would be claimed as 1/3 of an hour per participant subject to the 1:1 </w:t>
      </w:r>
      <w:r w:rsidR="00A316DC" w:rsidRPr="00CA1271">
        <w:t xml:space="preserve">Saturday </w:t>
      </w:r>
      <w:r w:rsidRPr="00CA1271">
        <w:t xml:space="preserve">price limit rather than as currently where </w:t>
      </w:r>
      <w:r w:rsidR="00A316DC" w:rsidRPr="00CA1271">
        <w:t xml:space="preserve">an </w:t>
      </w:r>
      <w:r w:rsidRPr="00CA1271">
        <w:t>hour is claimed for each participant but subjec</w:t>
      </w:r>
      <w:r w:rsidR="00E87D3F" w:rsidRPr="00CA1271">
        <w:t xml:space="preserve">t to a reduced 1:3 </w:t>
      </w:r>
      <w:r w:rsidR="00A316DC" w:rsidRPr="00CA1271">
        <w:t xml:space="preserve">Saturday </w:t>
      </w:r>
      <w:r w:rsidR="00E87D3F" w:rsidRPr="00CA1271">
        <w:t>price limit.</w:t>
      </w:r>
    </w:p>
    <w:p w:rsidR="00932DD6" w:rsidRPr="00CA1271" w:rsidRDefault="0000645A" w:rsidP="001F74D2">
      <w:pPr>
        <w:pStyle w:val="REcommendation"/>
        <w:ind w:left="2126" w:hanging="2126"/>
        <w:rPr>
          <w:b/>
        </w:rPr>
      </w:pPr>
      <w:r w:rsidRPr="00CA1271">
        <w:rPr>
          <w:b/>
        </w:rPr>
        <w:t>Annual Pricing Review</w:t>
      </w:r>
    </w:p>
    <w:p w:rsidR="00932DD6" w:rsidRPr="00CA1271" w:rsidRDefault="0008512C" w:rsidP="007A045B">
      <w:pPr>
        <w:pStyle w:val="REcommendation"/>
        <w:keepNext w:val="0"/>
        <w:numPr>
          <w:ilvl w:val="1"/>
          <w:numId w:val="11"/>
        </w:numPr>
      </w:pPr>
      <w:r w:rsidRPr="00CA1271">
        <w:t>The NDIA</w:t>
      </w:r>
      <w:r w:rsidR="00932DD6" w:rsidRPr="00CA1271">
        <w:t xml:space="preserve"> should not undertake an Annual Pric</w:t>
      </w:r>
      <w:r w:rsidR="0000645A" w:rsidRPr="00CA1271">
        <w:t>ing</w:t>
      </w:r>
      <w:r w:rsidR="00932DD6" w:rsidRPr="00CA1271">
        <w:t xml:space="preserve"> Review in 2020-21 but instead monitor economic conditions carefully as the COVID-19 pandemic progresses and the economy recovers and promptly respond to any emerging issues.</w:t>
      </w:r>
    </w:p>
    <w:p w:rsidR="00932DD6" w:rsidRPr="00CA1271" w:rsidRDefault="0008512C" w:rsidP="007A045B">
      <w:pPr>
        <w:pStyle w:val="REcommendation"/>
        <w:keepNext w:val="0"/>
        <w:numPr>
          <w:ilvl w:val="1"/>
          <w:numId w:val="11"/>
        </w:numPr>
      </w:pPr>
      <w:r w:rsidRPr="00CA1271">
        <w:t>The NDIA</w:t>
      </w:r>
      <w:r w:rsidR="00932DD6" w:rsidRPr="00CA1271">
        <w:t xml:space="preserve"> should undertake the </w:t>
      </w:r>
      <w:r w:rsidR="0000645A" w:rsidRPr="00CA1271">
        <w:t>Annual Pricing Review</w:t>
      </w:r>
      <w:r w:rsidR="00932DD6" w:rsidRPr="00CA1271">
        <w:t xml:space="preserve"> from </w:t>
      </w:r>
      <w:r w:rsidR="000A6BB0" w:rsidRPr="00CA1271">
        <w:t>July</w:t>
      </w:r>
      <w:r w:rsidR="00932DD6" w:rsidRPr="00CA1271">
        <w:t xml:space="preserve"> to December each year</w:t>
      </w:r>
      <w:r w:rsidR="001D278A" w:rsidRPr="00CA1271">
        <w:t xml:space="preserve"> (commencing 2021)</w:t>
      </w:r>
      <w:r w:rsidR="00932DD6" w:rsidRPr="00CA1271">
        <w:t>, r</w:t>
      </w:r>
      <w:r w:rsidR="000A6BB0" w:rsidRPr="00CA1271">
        <w:t>eporting in February/March</w:t>
      </w:r>
      <w:r w:rsidR="00932DD6" w:rsidRPr="00CA1271">
        <w:t xml:space="preserve"> of the following year to the Board of the NDIA</w:t>
      </w:r>
      <w:r w:rsidR="000A6BB0" w:rsidRPr="00CA1271">
        <w:t>, through the Chief Executive Officer,</w:t>
      </w:r>
      <w:r w:rsidR="00932DD6" w:rsidRPr="00CA1271">
        <w:t xml:space="preserve"> with changes to take effect from the following 1 July.</w:t>
      </w:r>
    </w:p>
    <w:p w:rsidR="00932DD6" w:rsidRPr="00CA1271" w:rsidRDefault="00932DD6" w:rsidP="00932DD6">
      <w:pPr>
        <w:pStyle w:val="REcommendation"/>
        <w:keepNext w:val="0"/>
        <w:rPr>
          <w:b/>
        </w:rPr>
      </w:pPr>
      <w:r w:rsidRPr="00CA1271">
        <w:rPr>
          <w:b/>
        </w:rPr>
        <w:t>Annual Indexation of Price Limits</w:t>
      </w:r>
    </w:p>
    <w:p w:rsidR="00932DD6" w:rsidRPr="00CA1271" w:rsidRDefault="0008512C" w:rsidP="007A045B">
      <w:pPr>
        <w:pStyle w:val="REcommendation"/>
        <w:keepNext w:val="0"/>
        <w:numPr>
          <w:ilvl w:val="1"/>
          <w:numId w:val="11"/>
        </w:numPr>
      </w:pPr>
      <w:r w:rsidRPr="00CA1271">
        <w:t>The NDIA</w:t>
      </w:r>
      <w:r w:rsidR="00932DD6" w:rsidRPr="00CA1271">
        <w:t xml:space="preserve"> should </w:t>
      </w:r>
      <w:r w:rsidR="0010568E">
        <w:t>increase</w:t>
      </w:r>
      <w:r w:rsidR="00932DD6" w:rsidRPr="00CA1271">
        <w:t xml:space="preserve"> price limits </w:t>
      </w:r>
      <w:r w:rsidR="003706EF">
        <w:t xml:space="preserve">during </w:t>
      </w:r>
      <w:r w:rsidR="0010568E">
        <w:t>2020</w:t>
      </w:r>
      <w:r w:rsidR="00932DD6" w:rsidRPr="00CA1271">
        <w:t xml:space="preserve"> </w:t>
      </w:r>
      <w:r w:rsidR="007F5FBC" w:rsidRPr="00CA1271">
        <w:t>to mainta</w:t>
      </w:r>
      <w:r w:rsidR="000A6BB0" w:rsidRPr="00CA1271">
        <w:t>in their real value</w:t>
      </w:r>
      <w:r w:rsidR="00932DD6" w:rsidRPr="00CA1271">
        <w:t xml:space="preserve"> </w:t>
      </w:r>
      <w:r w:rsidR="007F5FBC" w:rsidRPr="00CA1271">
        <w:t>through</w:t>
      </w:r>
      <w:r w:rsidR="00932DD6" w:rsidRPr="00CA1271">
        <w:t xml:space="preserve"> the following indexation arrangements:</w:t>
      </w:r>
    </w:p>
    <w:p w:rsidR="00932DD6" w:rsidRPr="00CA1271" w:rsidRDefault="00932DD6" w:rsidP="007A045B">
      <w:pPr>
        <w:pStyle w:val="REcommendation"/>
        <w:keepNext w:val="0"/>
        <w:numPr>
          <w:ilvl w:val="2"/>
          <w:numId w:val="11"/>
        </w:numPr>
      </w:pPr>
      <w:r w:rsidRPr="00CA1271">
        <w:t xml:space="preserve">Price limits for supports delivered by Disability Support Workers should be set by the </w:t>
      </w:r>
      <w:r w:rsidR="009E7CC2" w:rsidRPr="00CA1271">
        <w:t xml:space="preserve">NDIS </w:t>
      </w:r>
      <w:r w:rsidR="000A6BB0" w:rsidRPr="00CA1271">
        <w:t xml:space="preserve">Disability Support Worker </w:t>
      </w:r>
      <w:r w:rsidR="0000645A" w:rsidRPr="00CA1271">
        <w:t>Cost Model</w:t>
      </w:r>
      <w:r w:rsidRPr="00CA1271">
        <w:t xml:space="preserve"> </w:t>
      </w:r>
      <w:r w:rsidR="003706EF">
        <w:t>from the operative date of</w:t>
      </w:r>
      <w:r w:rsidRPr="00CA1271">
        <w:t xml:space="preserve"> the Fair Work Commission’s </w:t>
      </w:r>
      <w:r w:rsidR="0000645A" w:rsidRPr="00CA1271">
        <w:t>Annual Wage Review</w:t>
      </w:r>
      <w:r w:rsidRPr="00CA1271">
        <w:t>;</w:t>
      </w:r>
    </w:p>
    <w:p w:rsidR="00932DD6" w:rsidRPr="00CA1271" w:rsidRDefault="00932DD6" w:rsidP="007A045B">
      <w:pPr>
        <w:pStyle w:val="REcommendation"/>
        <w:keepNext w:val="0"/>
        <w:numPr>
          <w:ilvl w:val="2"/>
          <w:numId w:val="11"/>
        </w:numPr>
      </w:pPr>
      <w:r w:rsidRPr="00CA1271">
        <w:t xml:space="preserve">Price limits for Capital supports </w:t>
      </w:r>
      <w:r w:rsidR="007F5FBC" w:rsidRPr="00CA1271">
        <w:t>– Support Categories</w:t>
      </w:r>
      <w:r w:rsidR="00B03AC5" w:rsidRPr="00CA1271">
        <w:t xml:space="preserve"> 2 (Transport), 3 (Consumables), 5 (Assistive Technology</w:t>
      </w:r>
      <w:r w:rsidR="000A6BB0" w:rsidRPr="00CA1271">
        <w:t>) and</w:t>
      </w:r>
      <w:r w:rsidR="00B03AC5" w:rsidRPr="00CA1271">
        <w:t xml:space="preserve"> 6 (Home Modifications and Specialised Disability Accommodation)</w:t>
      </w:r>
      <w:r w:rsidR="007F5FBC" w:rsidRPr="00CA1271">
        <w:t xml:space="preserve"> – </w:t>
      </w:r>
      <w:r w:rsidRPr="00CA1271">
        <w:t xml:space="preserve">should be indexed </w:t>
      </w:r>
      <w:r w:rsidR="003706EF">
        <w:t xml:space="preserve">on 1 July 2020 </w:t>
      </w:r>
      <w:r w:rsidR="000A6BB0" w:rsidRPr="00CA1271">
        <w:t>in line with the movement</w:t>
      </w:r>
      <w:r w:rsidRPr="00CA1271">
        <w:t xml:space="preserve"> in the </w:t>
      </w:r>
      <w:r w:rsidR="0000645A" w:rsidRPr="00CA1271">
        <w:t xml:space="preserve">ABS </w:t>
      </w:r>
      <w:r w:rsidR="000A6BB0" w:rsidRPr="00CA1271">
        <w:t>Consumer Price</w:t>
      </w:r>
      <w:r w:rsidRPr="00CA1271">
        <w:t xml:space="preserve"> </w:t>
      </w:r>
      <w:r w:rsidR="0000645A" w:rsidRPr="00CA1271">
        <w:t xml:space="preserve">(All Groups, weighted average of eight capital cities) </w:t>
      </w:r>
      <w:r w:rsidRPr="00CA1271">
        <w:t>over the 12 months to the March Quarter preceding the indexation date; and</w:t>
      </w:r>
    </w:p>
    <w:p w:rsidR="009160AE" w:rsidRPr="00CA1271" w:rsidRDefault="00932DD6" w:rsidP="007A045B">
      <w:pPr>
        <w:pStyle w:val="REcommendation"/>
        <w:keepNext w:val="0"/>
        <w:numPr>
          <w:ilvl w:val="2"/>
          <w:numId w:val="11"/>
        </w:numPr>
      </w:pPr>
      <w:r w:rsidRPr="00CA1271">
        <w:t xml:space="preserve">Price limits for other supports should be indexed </w:t>
      </w:r>
      <w:r w:rsidR="003706EF">
        <w:t xml:space="preserve">on 1 July 2020 </w:t>
      </w:r>
      <w:r w:rsidR="000A6BB0" w:rsidRPr="00CA1271">
        <w:t>in line with</w:t>
      </w:r>
      <w:r w:rsidR="009160AE" w:rsidRPr="00CA1271">
        <w:t xml:space="preserve"> the weighted movement over the previous twelve months in the ABS</w:t>
      </w:r>
      <w:r w:rsidR="000A6BB0" w:rsidRPr="00CA1271">
        <w:t xml:space="preserve"> Wage Price Index </w:t>
      </w:r>
      <w:r w:rsidR="002233BB" w:rsidRPr="00CA1271">
        <w:t xml:space="preserve">(Australia, total hourly rates of pay excluding bonuses) </w:t>
      </w:r>
      <w:r w:rsidR="009160AE" w:rsidRPr="00CA1271">
        <w:t xml:space="preserve">and the </w:t>
      </w:r>
      <w:r w:rsidR="000A6BB0" w:rsidRPr="00CA1271">
        <w:t xml:space="preserve">ABS </w:t>
      </w:r>
      <w:r w:rsidR="009160AE" w:rsidRPr="00CA1271">
        <w:t>Consumer P</w:t>
      </w:r>
      <w:r w:rsidR="000A6BB0" w:rsidRPr="00CA1271">
        <w:t>rice Index (All Groups, weighted average of eight capital cities) over the 12 months to the March Quarter preceding the indexation date</w:t>
      </w:r>
      <w:r w:rsidR="009160AE" w:rsidRPr="00CA1271">
        <w:t xml:space="preserve"> (with an 80/20 weighting).</w:t>
      </w:r>
    </w:p>
    <w:p w:rsidR="006E68FF" w:rsidRPr="00CA1271" w:rsidRDefault="006E68FF" w:rsidP="006E68FF">
      <w:pPr>
        <w:pStyle w:val="REcommendation"/>
        <w:keepNext w:val="0"/>
        <w:numPr>
          <w:ilvl w:val="1"/>
          <w:numId w:val="11"/>
        </w:numPr>
      </w:pPr>
      <w:r w:rsidRPr="00CA1271">
        <w:t xml:space="preserve">That in addition to the annual indexation arrangements, the NDIA should also reset all price limits determined by the NDIS Disability Support Worker Cost Model </w:t>
      </w:r>
      <w:r w:rsidR="0052152B" w:rsidRPr="00CA1271">
        <w:t xml:space="preserve">in response to </w:t>
      </w:r>
      <w:r w:rsidRPr="00CA1271">
        <w:t xml:space="preserve">the </w:t>
      </w:r>
      <w:r w:rsidR="0052152B" w:rsidRPr="00CA1271">
        <w:t xml:space="preserve">following </w:t>
      </w:r>
      <w:r w:rsidRPr="00CA1271">
        <w:t>Fair Work Commission determination</w:t>
      </w:r>
      <w:r w:rsidR="0052152B" w:rsidRPr="00CA1271">
        <w:t xml:space="preserve">s, </w:t>
      </w:r>
      <w:r w:rsidRPr="00CA1271">
        <w:t>with effect from the date of effect of the Fair Work Commission’s determination:</w:t>
      </w:r>
    </w:p>
    <w:p w:rsidR="006E68FF" w:rsidRPr="00CA1271" w:rsidRDefault="006E68FF" w:rsidP="006E68FF">
      <w:pPr>
        <w:pStyle w:val="REcommendation"/>
        <w:keepNext w:val="0"/>
        <w:numPr>
          <w:ilvl w:val="2"/>
          <w:numId w:val="11"/>
        </w:numPr>
      </w:pPr>
      <w:r w:rsidRPr="00CA1271">
        <w:t>1 December 2020, for the final tranche of the Fair Work Commission’s</w:t>
      </w:r>
      <w:r w:rsidR="008E6A7F">
        <w:t xml:space="preserve"> </w:t>
      </w:r>
      <w:r w:rsidRPr="00CA1271">
        <w:t>Equal Remuneration Order</w:t>
      </w:r>
      <w:r w:rsidRPr="00CA1271">
        <w:rPr>
          <w:color w:val="000000"/>
        </w:rPr>
        <w:t xml:space="preserve"> (MA000100</w:t>
      </w:r>
      <w:r w:rsidR="008E6A7F">
        <w:rPr>
          <w:color w:val="000000"/>
        </w:rPr>
        <w:t xml:space="preserve"> </w:t>
      </w:r>
      <w:r w:rsidRPr="00CA1271">
        <w:rPr>
          <w:color w:val="000000"/>
        </w:rPr>
        <w:t>PR525485); and</w:t>
      </w:r>
    </w:p>
    <w:p w:rsidR="006E68FF" w:rsidRPr="00CA1271" w:rsidRDefault="006E68FF" w:rsidP="006E68FF">
      <w:pPr>
        <w:pStyle w:val="REcommendation"/>
        <w:keepNext w:val="0"/>
        <w:numPr>
          <w:ilvl w:val="2"/>
          <w:numId w:val="11"/>
        </w:numPr>
      </w:pPr>
      <w:r w:rsidRPr="00CA1271">
        <w:t>1 July 2020, for the adjustment of the shift loadings for casual workers on Saturdays and Sundays in the SCHADS Award (</w:t>
      </w:r>
      <w:r w:rsidRPr="00CA1271">
        <w:rPr>
          <w:rFonts w:cs="Arial"/>
        </w:rPr>
        <w:t>Fair Work Commission Decision [2019] FWCFB 7096)</w:t>
      </w:r>
      <w:r w:rsidRPr="00CA1271">
        <w:t>.</w:t>
      </w:r>
    </w:p>
    <w:p w:rsidR="00932DD6" w:rsidRPr="00CA1271" w:rsidRDefault="00932DD6" w:rsidP="006E68FF">
      <w:pPr>
        <w:pStyle w:val="REcommendation"/>
        <w:ind w:left="2126" w:hanging="2126"/>
        <w:rPr>
          <w:b/>
        </w:rPr>
      </w:pPr>
      <w:r w:rsidRPr="00CA1271">
        <w:rPr>
          <w:b/>
        </w:rPr>
        <w:t>Programs of Supports</w:t>
      </w:r>
    </w:p>
    <w:p w:rsidR="00A64919" w:rsidRPr="00CA1271" w:rsidRDefault="0008512C" w:rsidP="00A64919">
      <w:pPr>
        <w:pStyle w:val="REcommendation"/>
        <w:keepNext w:val="0"/>
        <w:numPr>
          <w:ilvl w:val="0"/>
          <w:numId w:val="0"/>
        </w:numPr>
        <w:ind w:left="851"/>
        <w:rPr>
          <w:b/>
        </w:rPr>
      </w:pPr>
      <w:r w:rsidRPr="00CA1271">
        <w:t>The NDIA</w:t>
      </w:r>
      <w:r w:rsidR="00932DD6" w:rsidRPr="00CA1271">
        <w:t xml:space="preserve"> should amend the </w:t>
      </w:r>
      <w:r w:rsidR="00932DD6" w:rsidRPr="00CA1271">
        <w:rPr>
          <w:i/>
        </w:rPr>
        <w:t>NDIS Price Guide</w:t>
      </w:r>
      <w:r w:rsidR="00932DD6" w:rsidRPr="00CA1271">
        <w:t xml:space="preserve"> from 1 July 2020, to make clear that providers are allowed to enter into </w:t>
      </w:r>
      <w:r w:rsidR="007F4B43" w:rsidRPr="00CA1271">
        <w:t>service agreements</w:t>
      </w:r>
      <w:r w:rsidR="00932DD6" w:rsidRPr="00CA1271">
        <w:t xml:space="preserve"> for the provision of programs of supports</w:t>
      </w:r>
      <w:r w:rsidR="00B10EF0" w:rsidRPr="00CA1271">
        <w:t>, where those supports are group supports,</w:t>
      </w:r>
      <w:r w:rsidR="00A64919" w:rsidRPr="00CA1271">
        <w:t xml:space="preserve"> subject to the following safeguards:</w:t>
      </w:r>
    </w:p>
    <w:p w:rsidR="00A64919" w:rsidRPr="00CA1271" w:rsidRDefault="00A64919" w:rsidP="007A045B">
      <w:pPr>
        <w:pStyle w:val="REcommendation"/>
        <w:keepNext w:val="0"/>
        <w:numPr>
          <w:ilvl w:val="2"/>
          <w:numId w:val="11"/>
        </w:numPr>
      </w:pPr>
      <w:r w:rsidRPr="00CA1271">
        <w:t xml:space="preserve">that programs of support cannot be for longer than 12 weeks (unless specifically allowed for in the </w:t>
      </w:r>
      <w:r w:rsidRPr="00CA1271">
        <w:rPr>
          <w:i/>
        </w:rPr>
        <w:t>NDIS Price Guide</w:t>
      </w:r>
      <w:r w:rsidRPr="00CA1271">
        <w:t xml:space="preserve">); </w:t>
      </w:r>
    </w:p>
    <w:p w:rsidR="00A64919" w:rsidRPr="00CA1271" w:rsidRDefault="00A64919" w:rsidP="007A045B">
      <w:pPr>
        <w:pStyle w:val="REcommendation"/>
        <w:keepNext w:val="0"/>
        <w:numPr>
          <w:ilvl w:val="2"/>
          <w:numId w:val="11"/>
        </w:numPr>
      </w:pPr>
      <w:r w:rsidRPr="00CA1271">
        <w:t>that participants should be able to exit from an agreed program of supports without cost, subject to an agreed notice period that can b</w:t>
      </w:r>
      <w:r w:rsidR="00963D6B" w:rsidRPr="00CA1271">
        <w:t xml:space="preserve">e no longer than </w:t>
      </w:r>
      <w:r w:rsidR="00AF45A5" w:rsidRPr="00CA1271">
        <w:t xml:space="preserve">two </w:t>
      </w:r>
      <w:r w:rsidR="00963D6B" w:rsidRPr="00CA1271">
        <w:t>(</w:t>
      </w:r>
      <w:r w:rsidR="00AF45A5" w:rsidRPr="00CA1271">
        <w:t>2</w:t>
      </w:r>
      <w:r w:rsidR="00963D6B" w:rsidRPr="00CA1271">
        <w:t>) weeks;</w:t>
      </w:r>
    </w:p>
    <w:p w:rsidR="00963D6B" w:rsidRPr="00CA1271" w:rsidRDefault="00963D6B" w:rsidP="00963D6B">
      <w:pPr>
        <w:pStyle w:val="REcommendation"/>
        <w:keepNext w:val="0"/>
        <w:numPr>
          <w:ilvl w:val="2"/>
          <w:numId w:val="11"/>
        </w:numPr>
      </w:pPr>
      <w:r w:rsidRPr="00CA1271">
        <w:t xml:space="preserve">the introduction of programs of supports should be carefully evaluated; and </w:t>
      </w:r>
    </w:p>
    <w:p w:rsidR="00963D6B" w:rsidRPr="00CA1271" w:rsidRDefault="00980790" w:rsidP="00963D6B">
      <w:pPr>
        <w:pStyle w:val="REcommendation"/>
        <w:keepNext w:val="0"/>
        <w:numPr>
          <w:ilvl w:val="2"/>
          <w:numId w:val="11"/>
        </w:numPr>
      </w:pPr>
      <w:proofErr w:type="gramStart"/>
      <w:r w:rsidRPr="00CA1271">
        <w:t>guidance</w:t>
      </w:r>
      <w:proofErr w:type="gramEnd"/>
      <w:r w:rsidRPr="00CA1271">
        <w:t xml:space="preserve"> </w:t>
      </w:r>
      <w:r w:rsidR="00963D6B" w:rsidRPr="00CA1271">
        <w:t xml:space="preserve">material should be produced for participants before programs of supports are introduced. </w:t>
      </w:r>
    </w:p>
    <w:p w:rsidR="00932DD6" w:rsidRPr="00CA1271" w:rsidRDefault="00932DD6" w:rsidP="00A64919">
      <w:pPr>
        <w:pStyle w:val="Heading3"/>
      </w:pPr>
      <w:r w:rsidRPr="00CA1271">
        <w:t>Price limits for 1:1 core supports</w:t>
      </w:r>
    </w:p>
    <w:p w:rsidR="00327F61" w:rsidRPr="00CA1271" w:rsidRDefault="00932DD6" w:rsidP="00327F61">
      <w:r w:rsidRPr="00CA1271">
        <w:t xml:space="preserve">The price limits for core supports are determined by the application of the NDIS </w:t>
      </w:r>
      <w:r w:rsidR="00A6443D" w:rsidRPr="00CA1271">
        <w:t>Disability Support Workers Cost Model</w:t>
      </w:r>
      <w:r w:rsidRPr="00CA1271">
        <w:t xml:space="preserve">. </w:t>
      </w:r>
      <w:r w:rsidR="00327F61" w:rsidRPr="00CA1271">
        <w:t>The Review was required by the its Terms of Reference to examine the assumptions and parameters outlined in the NDIS Disability Support Worker Cost Model</w:t>
      </w:r>
      <w:r w:rsidR="00327F61" w:rsidRPr="00CA1271">
        <w:rPr>
          <w:i/>
        </w:rPr>
        <w:t>,</w:t>
      </w:r>
      <w:r w:rsidR="00327F61" w:rsidRPr="00CA1271">
        <w:t xml:space="preserve"> including</w:t>
      </w:r>
      <w:r w:rsidR="00327F61" w:rsidRPr="00CA1271">
        <w:rPr>
          <w:i/>
        </w:rPr>
        <w:t xml:space="preserve"> </w:t>
      </w:r>
      <w:r w:rsidR="00327F61" w:rsidRPr="00CA1271">
        <w:t>through analysis of the financial benchmarking data collected through the Temporary Transformation Payment (TTP) arrangements.</w:t>
      </w:r>
    </w:p>
    <w:p w:rsidR="00932DD6" w:rsidRPr="00CA1271" w:rsidRDefault="00932DD6" w:rsidP="00932DD6">
      <w:r w:rsidRPr="00CA1271">
        <w:t xml:space="preserve">The full details of the </w:t>
      </w:r>
      <w:r w:rsidR="00327F61" w:rsidRPr="00CA1271">
        <w:t xml:space="preserve">NDIS Disability Support Workers Cost Model </w:t>
      </w:r>
      <w:r w:rsidRPr="00CA1271">
        <w:t>were published in June 2019. The cost model estimates the cost of delivering a billable hour of support taking into account all of the costs associated with every billable hour, including: base pay; shift loadings; holiday pay; salary on costs; supervision costs; utilisation (non-billable activities); c</w:t>
      </w:r>
      <w:r w:rsidR="00E87D3F" w:rsidRPr="00CA1271">
        <w:t xml:space="preserve">orporate overheads and margin. </w:t>
      </w:r>
      <w:r w:rsidRPr="00CA1271">
        <w:t xml:space="preserve">Base rates of pay under the model are set in accordance with the </w:t>
      </w:r>
      <w:r w:rsidRPr="00CA1271">
        <w:rPr>
          <w:i/>
        </w:rPr>
        <w:t>Social, Community, Home Care and Disability Services Industry Award 2010</w:t>
      </w:r>
      <w:r w:rsidRPr="00CA1271">
        <w:t xml:space="preserve">. The cost model also contains a range of key assumptions and parameters that determine the level of the price limits. </w:t>
      </w:r>
    </w:p>
    <w:p w:rsidR="00932DD6" w:rsidRPr="00CA1271" w:rsidRDefault="00932DD6" w:rsidP="00932DD6">
      <w:r w:rsidRPr="00CA1271">
        <w:t>The cost model also varies according to a range of factors, including: the intensity of support, the level of skills and experience of the worker delivering the support, whether the worker is permitted to sleep over, the time of day and day of the week the support is delivered and whether or not the provider claims</w:t>
      </w:r>
      <w:r w:rsidR="00FE19DD" w:rsidRPr="00CA1271">
        <w:t xml:space="preserve"> the</w:t>
      </w:r>
      <w:r w:rsidRPr="00CA1271">
        <w:t xml:space="preserve"> Temporary Transformation Payment</w:t>
      </w:r>
      <w:r w:rsidR="00A6443D" w:rsidRPr="00CA1271">
        <w:t xml:space="preserve"> (TTP)</w:t>
      </w:r>
      <w:r w:rsidRPr="00CA1271">
        <w:t xml:space="preserve">. </w:t>
      </w:r>
    </w:p>
    <w:p w:rsidR="00932DD6" w:rsidRPr="00CA1271" w:rsidRDefault="00932DD6" w:rsidP="00932DD6">
      <w:r w:rsidRPr="00CA1271">
        <w:t>The Review does not support the request by some providers that the price limit for support items should be determined by the complexity of the participant’s needs rather than by the skills and experience of the support worker, as currently. The Review accepts that participants with complex needs will often require more funding, both for more supports and for more skilled or experienced support workers. However</w:t>
      </w:r>
      <w:r w:rsidR="00FE19DD" w:rsidRPr="00CA1271">
        <w:t>,</w:t>
      </w:r>
      <w:r w:rsidRPr="00CA1271">
        <w:t xml:space="preserve"> this is a planning issue, not a pricing issue. From a price control perspective the important issue is the input costs of the provider, which are largely determined by the skills and experience of the support worker who delivers the support.</w:t>
      </w:r>
    </w:p>
    <w:p w:rsidR="00932DD6" w:rsidRPr="00CA1271" w:rsidRDefault="00932DD6" w:rsidP="00932DD6">
      <w:r w:rsidRPr="00CA1271">
        <w:t>The Review also does not support the request by some providers that the price limit should be determined by the shift of the worker rather than by the time of day that the support is delivered. It is important that participants know what price limit applies to each support that they purchase and they cannot know this if the price limit can also vary according to the shift that the employer has engaged the employee to work. In the end, workforce rostering is a matter for providers to manage.</w:t>
      </w:r>
      <w:r w:rsidR="00E87D3F" w:rsidRPr="00CA1271">
        <w:t xml:space="preserve"> </w:t>
      </w:r>
      <w:r w:rsidRPr="00CA1271">
        <w:t xml:space="preserve">It is important to note, however, that when a particular support crosses a shift boundary and the same worker delivers the entire support then the provider is entitled to use the highest price limit for the entire support. </w:t>
      </w:r>
    </w:p>
    <w:p w:rsidR="00932DD6" w:rsidRPr="00CA1271" w:rsidRDefault="00932DD6" w:rsidP="00932DD6">
      <w:r w:rsidRPr="00CA1271">
        <w:t xml:space="preserve">Given that baseline price limits are intended to represent efficient costs the TTP survey results, taken on their own, provide some evidence that the </w:t>
      </w:r>
      <w:r w:rsidR="00170F62" w:rsidRPr="00CA1271">
        <w:t>NDIS Disability Support Worker Cost Model</w:t>
      </w:r>
      <w:r w:rsidRPr="00CA1271">
        <w:t xml:space="preserve"> may not be correctly estimating efficient costs – although some of the effects are countervailing.</w:t>
      </w:r>
    </w:p>
    <w:p w:rsidR="00932DD6" w:rsidRPr="00CA1271" w:rsidRDefault="00932DD6" w:rsidP="00932DD6">
      <w:pPr>
        <w:pStyle w:val="DotPoint"/>
      </w:pPr>
      <w:r w:rsidRPr="00CA1271">
        <w:t>The average Permanent Share of the workforce</w:t>
      </w:r>
      <w:r w:rsidR="00E80A7C" w:rsidRPr="00CA1271">
        <w:t xml:space="preserve"> among survey respondents (43.8%</w:t>
      </w:r>
      <w:r w:rsidRPr="00CA1271">
        <w:t>) is considerably lower than the current Model assumption (90%). Moreover, the efficient</w:t>
      </w:r>
      <w:r w:rsidR="00DE306E" w:rsidRPr="00CA1271">
        <w:t xml:space="preserve"> 25</w:t>
      </w:r>
      <w:r w:rsidR="00DE306E" w:rsidRPr="00CA1271">
        <w:rPr>
          <w:vertAlign w:val="superscript"/>
        </w:rPr>
        <w:t>th</w:t>
      </w:r>
      <w:r w:rsidR="00DE306E" w:rsidRPr="00CA1271">
        <w:t xml:space="preserve"> percenti</w:t>
      </w:r>
      <w:r w:rsidR="00E80A7C" w:rsidRPr="00CA1271">
        <w:t>le estimate (71.7%</w:t>
      </w:r>
      <w:r w:rsidRPr="00CA1271">
        <w:t>) is also lower than the Model assumption.</w:t>
      </w:r>
    </w:p>
    <w:p w:rsidR="00932DD6" w:rsidRPr="00CA1271" w:rsidRDefault="00932DD6" w:rsidP="00932DD6">
      <w:pPr>
        <w:pStyle w:val="DotPoint"/>
      </w:pPr>
      <w:r w:rsidRPr="00CA1271">
        <w:t>The average utilisation rate</w:t>
      </w:r>
      <w:r w:rsidR="00E80A7C" w:rsidRPr="00CA1271">
        <w:t xml:space="preserve"> among survey respondents (79.8%</w:t>
      </w:r>
      <w:r w:rsidRPr="00CA1271">
        <w:t xml:space="preserve">) is lower than the </w:t>
      </w:r>
      <w:r w:rsidR="00E80A7C" w:rsidRPr="00CA1271">
        <w:t xml:space="preserve">current Model assumptions (87.7% </w:t>
      </w:r>
      <w:r w:rsidRPr="00CA1271">
        <w:t>to 92.0%). However, the efficient 25</w:t>
      </w:r>
      <w:r w:rsidRPr="00CA1271">
        <w:rPr>
          <w:vertAlign w:val="superscript"/>
        </w:rPr>
        <w:t>th</w:t>
      </w:r>
      <w:r w:rsidR="00DE306E" w:rsidRPr="00CA1271">
        <w:t xml:space="preserve"> percenti</w:t>
      </w:r>
      <w:r w:rsidRPr="00CA1271">
        <w:t>le estimate (90.0%) is in line with the current Model assumptions.</w:t>
      </w:r>
    </w:p>
    <w:p w:rsidR="00932DD6" w:rsidRPr="00CA1271" w:rsidRDefault="00932DD6" w:rsidP="00932DD6">
      <w:pPr>
        <w:pStyle w:val="DotPoint"/>
      </w:pPr>
      <w:r w:rsidRPr="00CA1271">
        <w:t>The average overhead</w:t>
      </w:r>
      <w:r w:rsidR="00F0327C" w:rsidRPr="00CA1271">
        <w:t>s</w:t>
      </w:r>
      <w:r w:rsidR="00F37B73" w:rsidRPr="00CA1271">
        <w:t xml:space="preserve"> percent</w:t>
      </w:r>
      <w:r w:rsidRPr="00CA1271">
        <w:t>age (as a loading on direct care costs) among survey respondents (27.7%) is higher than the current Model assumptions (10.5%). Moreover, the efficient 25</w:t>
      </w:r>
      <w:r w:rsidRPr="00CA1271">
        <w:rPr>
          <w:vertAlign w:val="superscript"/>
        </w:rPr>
        <w:t>th</w:t>
      </w:r>
      <w:r w:rsidR="00F37B73" w:rsidRPr="00CA1271">
        <w:t xml:space="preserve"> percent</w:t>
      </w:r>
      <w:r w:rsidRPr="00CA1271">
        <w:t>ile estimate (19.8%) is also higher than the current Model assumption.</w:t>
      </w:r>
    </w:p>
    <w:p w:rsidR="00932DD6" w:rsidRPr="00CA1271" w:rsidRDefault="00932DD6" w:rsidP="00932DD6">
      <w:pPr>
        <w:pStyle w:val="DotPoint"/>
      </w:pPr>
      <w:r w:rsidRPr="00CA1271">
        <w:t>The average span of control among survey respondents (11.8:1) is slightly higher than the current Model assumptions (11:1). Moreover, the efficient 25</w:t>
      </w:r>
      <w:r w:rsidRPr="00CA1271">
        <w:rPr>
          <w:vertAlign w:val="superscript"/>
        </w:rPr>
        <w:t>th</w:t>
      </w:r>
      <w:r w:rsidR="00DE306E" w:rsidRPr="00CA1271">
        <w:t xml:space="preserve"> percent</w:t>
      </w:r>
      <w:r w:rsidRPr="00CA1271">
        <w:t>ile estimate (15:1) is considerably higher than the current Model assumption.</w:t>
      </w:r>
    </w:p>
    <w:p w:rsidR="00932DD6" w:rsidRPr="00CA1271" w:rsidRDefault="00932DD6" w:rsidP="00932DD6">
      <w:pPr>
        <w:pStyle w:val="DotPoint"/>
      </w:pPr>
      <w:r w:rsidRPr="00CA1271">
        <w:t xml:space="preserve">The </w:t>
      </w:r>
      <w:r w:rsidR="00170F62" w:rsidRPr="00CA1271">
        <w:t>NDIS Disability Support Worker Cost Model</w:t>
      </w:r>
      <w:r w:rsidRPr="00CA1271">
        <w:t xml:space="preserve"> does not currently provide for allowances paid to workers on top of their salaries (other than shift loadings and superannuation). This in not in line with the TTP Benchmarking Survey which indicates that these allowances can typically be in the order of 1.0</w:t>
      </w:r>
      <w:r w:rsidR="00E80A7C" w:rsidRPr="00CA1271">
        <w:t>%</w:t>
      </w:r>
      <w:r w:rsidRPr="00CA1271">
        <w:t xml:space="preserve"> of the </w:t>
      </w:r>
      <w:r w:rsidR="00FE19DD" w:rsidRPr="00CA1271">
        <w:t xml:space="preserve">base </w:t>
      </w:r>
      <w:r w:rsidRPr="00CA1271">
        <w:t>salary payable to the worker.</w:t>
      </w:r>
    </w:p>
    <w:p w:rsidR="00932DD6" w:rsidRPr="00CA1271" w:rsidRDefault="00932DD6" w:rsidP="00932DD6">
      <w:r w:rsidRPr="00CA1271">
        <w:t>However, the TTP survey does not include results for providers who are not accessing the higher TTP price limits, and who, prima facie, are likely to have lower costs (and hence be more efficient) since they have not chosen to access the higher TTP price limits. Only around half of eligible providers (59.6%) claim the TTP and then less than half of TTP claimants completed the survey by the due date. Thus</w:t>
      </w:r>
      <w:r w:rsidR="00FE19DD" w:rsidRPr="00CA1271">
        <w:t>,</w:t>
      </w:r>
      <w:r w:rsidRPr="00CA1271">
        <w:t xml:space="preserve"> the survey provides results for only around a quarter of those NDIS providers who employ Disability Support Workers. Assuming that the distribution of overheads among non-TTP claiming providers is similar to the distribution among TTP claiming providers, but with a lower average representing their lower costs then it is possible to generate a mixed statistical distribution of all providers. </w:t>
      </w:r>
      <w:r w:rsidR="006D7957" w:rsidRPr="00CA1271">
        <w:t>The Review estimates that in this distribution the efficient (25</w:t>
      </w:r>
      <w:r w:rsidR="006D7957" w:rsidRPr="00CA1271">
        <w:rPr>
          <w:vertAlign w:val="superscript"/>
        </w:rPr>
        <w:t>th</w:t>
      </w:r>
      <w:r w:rsidR="006D7957" w:rsidRPr="00CA1271">
        <w:t xml:space="preserve"> percentile) provider would have overheads of between 14.4% and 16.7% of direct costs (with a median estimate of 15.2%).</w:t>
      </w:r>
    </w:p>
    <w:p w:rsidR="00932DD6" w:rsidRPr="00CA1271" w:rsidRDefault="00932DD6" w:rsidP="00932DD6">
      <w:r w:rsidRPr="00CA1271">
        <w:t>Moreover, some of these overheads relate to provider transport non-labour costs</w:t>
      </w:r>
      <w:r w:rsidR="00FE19DD" w:rsidRPr="00CA1271">
        <w:t>,</w:t>
      </w:r>
      <w:r w:rsidRPr="00CA1271">
        <w:t xml:space="preserve"> which are currently not separately claimable by providers. The TTP benchmarking survey found that the average cost of travel expenses across respondents was $1,000 per worker per year. A DSW Level 1 paid at $27.61 per hour, with a 38</w:t>
      </w:r>
      <w:r w:rsidR="00FE19DD" w:rsidRPr="00CA1271">
        <w:t>-</w:t>
      </w:r>
      <w:r w:rsidRPr="00CA1271">
        <w:t>hour week, has an annual income of $54,557. With salary related on costs and supervision costs this equates to direct care expenditure of about $70,000. Travel expenses of $1,000 would represent a 1.4</w:t>
      </w:r>
      <w:r w:rsidR="00E80A7C" w:rsidRPr="00CA1271">
        <w:t>%</w:t>
      </w:r>
      <w:r w:rsidRPr="00CA1271">
        <w:t xml:space="preserve"> increase on this, and would currently be shown in the overhead</w:t>
      </w:r>
      <w:r w:rsidR="00F0327C" w:rsidRPr="00CA1271">
        <w:t>s</w:t>
      </w:r>
      <w:r w:rsidRPr="00CA1271">
        <w:t xml:space="preserve"> of the provider.</w:t>
      </w:r>
    </w:p>
    <w:p w:rsidR="00932DD6" w:rsidRPr="00CA1271" w:rsidRDefault="00932DD6" w:rsidP="00932DD6">
      <w:r w:rsidRPr="00CA1271">
        <w:t>There is also strong evidence that some providers are managing to operate at or below the current price limits, with almost 40</w:t>
      </w:r>
      <w:r w:rsidR="00E80A7C" w:rsidRPr="00CA1271">
        <w:t>%</w:t>
      </w:r>
      <w:r w:rsidRPr="00CA1271">
        <w:t xml:space="preserve"> of eligible providers choosing not to access the higher TTP price limits. Moreover, more than 25</w:t>
      </w:r>
      <w:r w:rsidR="00E80A7C" w:rsidRPr="00CA1271">
        <w:t>%</w:t>
      </w:r>
      <w:r w:rsidRPr="00CA1271">
        <w:t xml:space="preserve"> of all claims by these providers were below the relevant lower non-TTP price limit and about 9</w:t>
      </w:r>
      <w:r w:rsidR="00E80A7C" w:rsidRPr="00CA1271">
        <w:t>%</w:t>
      </w:r>
      <w:r w:rsidRPr="00CA1271">
        <w:t xml:space="preserve"> of claims were more than 10</w:t>
      </w:r>
      <w:r w:rsidR="00E80A7C" w:rsidRPr="00CA1271">
        <w:t>%</w:t>
      </w:r>
      <w:r w:rsidRPr="00CA1271">
        <w:t xml:space="preserve"> below the relevant lower non-TTP price limits.</w:t>
      </w:r>
    </w:p>
    <w:p w:rsidR="00932DD6" w:rsidRPr="00CA1271" w:rsidRDefault="00932DD6" w:rsidP="008B6F0D">
      <w:r w:rsidRPr="00CA1271">
        <w:t xml:space="preserve">Finally, the current price limits in the NDIS </w:t>
      </w:r>
      <w:r w:rsidR="003D12BD" w:rsidRPr="00CA1271">
        <w:t>are higher than some of</w:t>
      </w:r>
      <w:r w:rsidRPr="00CA1271">
        <w:t xml:space="preserve"> those that apply in other schemes</w:t>
      </w:r>
      <w:r w:rsidR="00686B5F" w:rsidRPr="00CA1271">
        <w:t>. However, it is not clear to what extent these fees can be compared to NDIS price limits, given that</w:t>
      </w:r>
      <w:r w:rsidRPr="00CA1271">
        <w:t xml:space="preserve"> fees can operate differently in different contexts (e.g. according to whether or not services are commissioned, and what</w:t>
      </w:r>
      <w:r w:rsidR="006E68FF" w:rsidRPr="00CA1271">
        <w:t xml:space="preserve"> other fees – including co-payme</w:t>
      </w:r>
      <w:r w:rsidR="003D12BD" w:rsidRPr="00CA1271">
        <w:t>nts –</w:t>
      </w:r>
      <w:r w:rsidR="006E68FF" w:rsidRPr="00CA1271">
        <w:t xml:space="preserve"> are also billable).</w:t>
      </w:r>
    </w:p>
    <w:p w:rsidR="00932DD6" w:rsidRPr="00CA1271" w:rsidRDefault="00932DD6" w:rsidP="00932DD6">
      <w:r w:rsidRPr="00CA1271">
        <w:t xml:space="preserve">On balance, therefore, the Review considers that there is no reason to increase the current set of price limits, although it would be appropriate to make some minor modifications to the </w:t>
      </w:r>
      <w:r w:rsidR="00170F62" w:rsidRPr="00CA1271">
        <w:t>NDIS Disability Support Worker Cost Model</w:t>
      </w:r>
      <w:r w:rsidRPr="00CA1271">
        <w:t xml:space="preserve"> to:</w:t>
      </w:r>
    </w:p>
    <w:p w:rsidR="00932DD6" w:rsidRPr="00CA1271" w:rsidRDefault="00932DD6" w:rsidP="00932DD6">
      <w:pPr>
        <w:pStyle w:val="DotPoint"/>
      </w:pPr>
      <w:r w:rsidRPr="00CA1271">
        <w:t>Decrease the ratio of permanent to casual staff assumed in the cost model to 70/30</w:t>
      </w:r>
      <w:r w:rsidR="00E80A7C" w:rsidRPr="00CA1271">
        <w:t>%</w:t>
      </w:r>
      <w:r w:rsidRPr="00CA1271">
        <w:t xml:space="preserve"> in line with the 25</w:t>
      </w:r>
      <w:r w:rsidRPr="00CA1271">
        <w:rPr>
          <w:vertAlign w:val="superscript"/>
        </w:rPr>
        <w:t>th</w:t>
      </w:r>
      <w:r w:rsidR="004D6147" w:rsidRPr="00CA1271">
        <w:t xml:space="preserve"> percent</w:t>
      </w:r>
      <w:r w:rsidRPr="00CA1271">
        <w:t>ile of the TTP Benchmarking Survey;</w:t>
      </w:r>
    </w:p>
    <w:p w:rsidR="00932DD6" w:rsidRPr="00CA1271" w:rsidRDefault="00932DD6" w:rsidP="00932DD6">
      <w:pPr>
        <w:pStyle w:val="DotPoint"/>
      </w:pPr>
      <w:r w:rsidRPr="00CA1271">
        <w:t>Increase the share of staff assumed to take up their long service leave entitlements to 100</w:t>
      </w:r>
      <w:r w:rsidR="00E80A7C" w:rsidRPr="00CA1271">
        <w:t>%</w:t>
      </w:r>
      <w:r w:rsidRPr="00CA1271">
        <w:t xml:space="preserve"> in recognition of </w:t>
      </w:r>
      <w:r w:rsidR="00B12045" w:rsidRPr="00CA1271">
        <w:t>the existence of</w:t>
      </w:r>
      <w:r w:rsidRPr="00CA1271">
        <w:t xml:space="preserve"> portable long service leave scheme</w:t>
      </w:r>
      <w:r w:rsidR="004D3716" w:rsidRPr="00CA1271">
        <w:t>s</w:t>
      </w:r>
      <w:r w:rsidR="00CE07B1" w:rsidRPr="00CA1271">
        <w:t xml:space="preserve"> i</w:t>
      </w:r>
      <w:r w:rsidRPr="00CA1271">
        <w:t>n some states and territories;</w:t>
      </w:r>
    </w:p>
    <w:p w:rsidR="00932DD6" w:rsidRPr="00CA1271" w:rsidRDefault="00932DD6" w:rsidP="00932DD6">
      <w:pPr>
        <w:pStyle w:val="DotPoint"/>
      </w:pPr>
      <w:r w:rsidRPr="00CA1271">
        <w:t>Decrease the assumed workers compensation premium</w:t>
      </w:r>
      <w:r w:rsidR="00F37B73" w:rsidRPr="00CA1271">
        <w:t xml:space="preserve"> percent</w:t>
      </w:r>
      <w:r w:rsidRPr="00CA1271">
        <w:t>age from 3.0</w:t>
      </w:r>
      <w:r w:rsidR="00E80A7C" w:rsidRPr="00CA1271">
        <w:t>%</w:t>
      </w:r>
      <w:r w:rsidRPr="00CA1271">
        <w:t xml:space="preserve"> to 1.7</w:t>
      </w:r>
      <w:r w:rsidR="00E80A7C" w:rsidRPr="00CA1271">
        <w:t>%</w:t>
      </w:r>
      <w:r w:rsidRPr="00CA1271">
        <w:t xml:space="preserve"> in line with the 25</w:t>
      </w:r>
      <w:r w:rsidRPr="00CA1271">
        <w:rPr>
          <w:vertAlign w:val="superscript"/>
        </w:rPr>
        <w:t>th</w:t>
      </w:r>
      <w:r w:rsidR="004D6147" w:rsidRPr="00CA1271">
        <w:t xml:space="preserve"> percent</w:t>
      </w:r>
      <w:r w:rsidRPr="00CA1271">
        <w:t>ile observed in the TTP Benchmarking Survey, noting that this is equal to the average premium</w:t>
      </w:r>
      <w:r w:rsidR="00F37B73" w:rsidRPr="00CA1271">
        <w:t xml:space="preserve"> percent</w:t>
      </w:r>
      <w:r w:rsidRPr="00CA1271">
        <w:t>age observed across the health and community sector;</w:t>
      </w:r>
    </w:p>
    <w:p w:rsidR="00932DD6" w:rsidRPr="00CA1271" w:rsidRDefault="00932DD6" w:rsidP="00932DD6">
      <w:pPr>
        <w:pStyle w:val="DotPoint"/>
      </w:pPr>
      <w:r w:rsidRPr="00CA1271">
        <w:t>Increase the assumed overheads</w:t>
      </w:r>
      <w:r w:rsidR="00F37B73" w:rsidRPr="00CA1271">
        <w:t xml:space="preserve"> percent</w:t>
      </w:r>
      <w:r w:rsidRPr="00CA1271">
        <w:t>age to 12.0</w:t>
      </w:r>
      <w:r w:rsidR="00E80A7C" w:rsidRPr="00CA1271">
        <w:t>%</w:t>
      </w:r>
      <w:r w:rsidRPr="00CA1271">
        <w:t xml:space="preserve"> to better align with the estimated overheads of efficient providers in the sector, noting that other recommendations being made by the Review will directly address some of the costs that providers are currently carrying in their overheads;</w:t>
      </w:r>
    </w:p>
    <w:p w:rsidR="00932DD6" w:rsidRPr="00CA1271" w:rsidRDefault="00932DD6" w:rsidP="00932DD6">
      <w:pPr>
        <w:pStyle w:val="DotPoint"/>
      </w:pPr>
      <w:r w:rsidRPr="00CA1271">
        <w:t>Increase the supervision ratio from 11 to 15 in line with the 25</w:t>
      </w:r>
      <w:r w:rsidRPr="00CA1271">
        <w:rPr>
          <w:vertAlign w:val="superscript"/>
        </w:rPr>
        <w:t>th</w:t>
      </w:r>
      <w:r w:rsidR="004D6147" w:rsidRPr="00CA1271">
        <w:t xml:space="preserve"> percent</w:t>
      </w:r>
      <w:r w:rsidRPr="00CA1271">
        <w:t>ile observed in the TTP Benchmarking Survey, noting that the non-face-to-face claiming rules permit some interactions between supervisors and staff to be claimed directly when they relate to the specific direct care needs of a participant; and</w:t>
      </w:r>
    </w:p>
    <w:p w:rsidR="00932DD6" w:rsidRPr="00CA1271" w:rsidRDefault="00932DD6" w:rsidP="00932DD6">
      <w:pPr>
        <w:pStyle w:val="DotPoint"/>
      </w:pPr>
      <w:r w:rsidRPr="00CA1271">
        <w:t xml:space="preserve">Increase the provision of allowances </w:t>
      </w:r>
      <w:r w:rsidR="00686B5F" w:rsidRPr="00CA1271">
        <w:t xml:space="preserve">(other than travel allowances) </w:t>
      </w:r>
      <w:r w:rsidRPr="00CA1271">
        <w:t>for support workers and supervisors to 1.0</w:t>
      </w:r>
      <w:r w:rsidR="00E80A7C" w:rsidRPr="00CA1271">
        <w:t>%</w:t>
      </w:r>
      <w:r w:rsidRPr="00CA1271">
        <w:t xml:space="preserve"> of salary, in line with the average level observed in the TTP Benchmarking Survey.</w:t>
      </w:r>
    </w:p>
    <w:p w:rsidR="00932DD6" w:rsidRPr="00CA1271" w:rsidRDefault="00932DD6" w:rsidP="00932DD6">
      <w:r w:rsidRPr="00CA1271">
        <w:t xml:space="preserve">The level of the </w:t>
      </w:r>
      <w:r w:rsidR="00FE19DD" w:rsidRPr="00CA1271">
        <w:t>TTP</w:t>
      </w:r>
      <w:r w:rsidRPr="00CA1271">
        <w:t xml:space="preserve"> loading was set at 7.5% for 2019-20 to be reduced by 1.5</w:t>
      </w:r>
      <w:r w:rsidR="00F37B73" w:rsidRPr="00CA1271">
        <w:t>%</w:t>
      </w:r>
      <w:r w:rsidRPr="00CA1271">
        <w:t>age points each 1 July thereafter in line with the NDIS Pricing Strategy. The Review considers that there is more than sufficient evidence that the market for disability supports is continuing to grow and become more efficient, noting again that more than 40</w:t>
      </w:r>
      <w:r w:rsidR="00E80A7C" w:rsidRPr="00CA1271">
        <w:t>%</w:t>
      </w:r>
      <w:r w:rsidRPr="00CA1271">
        <w:t xml:space="preserve"> of providers chose not to access the </w:t>
      </w:r>
      <w:r w:rsidR="00FE19DD" w:rsidRPr="00CA1271">
        <w:t>TTP</w:t>
      </w:r>
      <w:r w:rsidRPr="00CA1271">
        <w:t xml:space="preserve"> accounting for almost half of all claims (by dollar) against releva</w:t>
      </w:r>
      <w:r w:rsidR="00E87D3F" w:rsidRPr="00CA1271">
        <w:t>nt support items, and that</w:t>
      </w:r>
      <w:r w:rsidRPr="00CA1271">
        <w:t xml:space="preserve"> of those providers who chose to operate under the lower non-</w:t>
      </w:r>
      <w:r w:rsidR="00FE19DD" w:rsidRPr="00CA1271">
        <w:t xml:space="preserve">TTP </w:t>
      </w:r>
      <w:r w:rsidRPr="00CA1271">
        <w:t>price limits, more than 25</w:t>
      </w:r>
      <w:r w:rsidR="00E80A7C" w:rsidRPr="00CA1271">
        <w:t>%</w:t>
      </w:r>
      <w:r w:rsidRPr="00CA1271">
        <w:t xml:space="preserve"> of all claims were below the relevant lower price limit.</w:t>
      </w:r>
    </w:p>
    <w:p w:rsidR="00932DD6" w:rsidRPr="00CA1271" w:rsidRDefault="00932DD6" w:rsidP="00932DD6">
      <w:r w:rsidRPr="00CA1271">
        <w:t xml:space="preserve">The Review also considers that the assurance arrangements around claiming the higher TTP price limits should be strengthened and that Plan Managers should be required to receive an attestation from a provider who is seeking to make a claim against an item subject to the higher </w:t>
      </w:r>
      <w:r w:rsidR="00FE19DD" w:rsidRPr="00CA1271">
        <w:t>TTP</w:t>
      </w:r>
      <w:r w:rsidRPr="00CA1271">
        <w:t xml:space="preserve"> price limits that they are eligible to access the higher price limits before the Plan Manager processes the claim.</w:t>
      </w:r>
    </w:p>
    <w:p w:rsidR="00932DD6" w:rsidRPr="00CA1271" w:rsidRDefault="00170F62" w:rsidP="00686B5F">
      <w:pPr>
        <w:pStyle w:val="REcommendation"/>
        <w:ind w:left="2126" w:hanging="2126"/>
        <w:rPr>
          <w:b/>
        </w:rPr>
      </w:pPr>
      <w:r w:rsidRPr="00CA1271">
        <w:rPr>
          <w:b/>
        </w:rPr>
        <w:t>NDIS Disability Support Worker Cost Model</w:t>
      </w:r>
    </w:p>
    <w:p w:rsidR="004F2243" w:rsidRPr="00CA1271" w:rsidRDefault="0008512C" w:rsidP="007A045B">
      <w:pPr>
        <w:pStyle w:val="REcommendation"/>
        <w:numPr>
          <w:ilvl w:val="1"/>
          <w:numId w:val="11"/>
        </w:numPr>
        <w:rPr>
          <w:rFonts w:cstheme="minorHAnsi"/>
        </w:rPr>
      </w:pPr>
      <w:r w:rsidRPr="00CA1271">
        <w:rPr>
          <w:rFonts w:cstheme="minorHAnsi"/>
        </w:rPr>
        <w:t>The NDIA</w:t>
      </w:r>
      <w:r w:rsidR="004F2243" w:rsidRPr="00CA1271">
        <w:rPr>
          <w:rFonts w:cstheme="minorHAnsi"/>
        </w:rPr>
        <w:t xml:space="preserve"> should continue to use the NDIS Disability Support Worker Cost Model to determine the base (non-TTP) price limits for supports delivered by Disability Support Workers</w:t>
      </w:r>
      <w:r w:rsidR="00EB1008" w:rsidRPr="00CA1271">
        <w:rPr>
          <w:rFonts w:cstheme="minorHAnsi"/>
        </w:rPr>
        <w:t xml:space="preserve"> based on the performance of efficient providers</w:t>
      </w:r>
      <w:r w:rsidR="004F2243" w:rsidRPr="00CA1271">
        <w:rPr>
          <w:rFonts w:cstheme="minorHAnsi"/>
        </w:rPr>
        <w:t>.</w:t>
      </w:r>
    </w:p>
    <w:p w:rsidR="00932DD6" w:rsidRPr="00CA1271" w:rsidRDefault="0008512C" w:rsidP="007A045B">
      <w:pPr>
        <w:pStyle w:val="REcommendation"/>
        <w:numPr>
          <w:ilvl w:val="1"/>
          <w:numId w:val="11"/>
        </w:numPr>
      </w:pPr>
      <w:r w:rsidRPr="00CA1271">
        <w:t>The NDIA</w:t>
      </w:r>
      <w:r w:rsidR="00932DD6" w:rsidRPr="00CA1271">
        <w:t xml:space="preserve"> should amend the </w:t>
      </w:r>
      <w:r w:rsidR="00170F62" w:rsidRPr="00CA1271">
        <w:t>NDIS Disability Support Worker Cost Model</w:t>
      </w:r>
      <w:r w:rsidR="00932DD6" w:rsidRPr="00CA1271">
        <w:t xml:space="preserve"> (and the price limits determined by the cost model), from 1 July 2020, by:</w:t>
      </w:r>
    </w:p>
    <w:p w:rsidR="00932DD6" w:rsidRPr="00CA1271" w:rsidRDefault="00932DD6" w:rsidP="007A045B">
      <w:pPr>
        <w:pStyle w:val="REcommendation"/>
        <w:keepNext w:val="0"/>
        <w:numPr>
          <w:ilvl w:val="2"/>
          <w:numId w:val="11"/>
        </w:numPr>
      </w:pPr>
      <w:r w:rsidRPr="00CA1271">
        <w:t>Decreasing the ratio of permanent to casual staff to 70/30</w:t>
      </w:r>
      <w:r w:rsidR="00E80A7C" w:rsidRPr="00CA1271">
        <w:t>%</w:t>
      </w:r>
      <w:r w:rsidRPr="00CA1271">
        <w:t>;</w:t>
      </w:r>
    </w:p>
    <w:p w:rsidR="00932DD6" w:rsidRPr="00CA1271" w:rsidRDefault="00932DD6" w:rsidP="007A045B">
      <w:pPr>
        <w:pStyle w:val="REcommendation"/>
        <w:keepNext w:val="0"/>
        <w:numPr>
          <w:ilvl w:val="2"/>
          <w:numId w:val="11"/>
        </w:numPr>
      </w:pPr>
      <w:r w:rsidRPr="00CA1271">
        <w:t>Increasing the share of staff assumed to take up their long service leave entitlements to 100</w:t>
      </w:r>
      <w:r w:rsidR="00E80A7C" w:rsidRPr="00CA1271">
        <w:t>%</w:t>
      </w:r>
      <w:r w:rsidRPr="00CA1271">
        <w:t>;</w:t>
      </w:r>
    </w:p>
    <w:p w:rsidR="00932DD6" w:rsidRPr="00CA1271" w:rsidRDefault="00932DD6" w:rsidP="007A045B">
      <w:pPr>
        <w:pStyle w:val="REcommendation"/>
        <w:keepNext w:val="0"/>
        <w:numPr>
          <w:ilvl w:val="2"/>
          <w:numId w:val="11"/>
        </w:numPr>
      </w:pPr>
      <w:r w:rsidRPr="00CA1271">
        <w:t>Decreasing the workers compensation premium</w:t>
      </w:r>
      <w:r w:rsidR="00F37B73" w:rsidRPr="00CA1271">
        <w:t xml:space="preserve"> percenta</w:t>
      </w:r>
      <w:r w:rsidRPr="00CA1271">
        <w:t>ge to 1.7</w:t>
      </w:r>
      <w:r w:rsidR="00E80A7C" w:rsidRPr="00CA1271">
        <w:t>%</w:t>
      </w:r>
      <w:r w:rsidRPr="00CA1271">
        <w:t>;</w:t>
      </w:r>
    </w:p>
    <w:p w:rsidR="00932DD6" w:rsidRPr="00CA1271" w:rsidRDefault="00932DD6" w:rsidP="007A045B">
      <w:pPr>
        <w:pStyle w:val="REcommendation"/>
        <w:keepNext w:val="0"/>
        <w:numPr>
          <w:ilvl w:val="2"/>
          <w:numId w:val="11"/>
        </w:numPr>
      </w:pPr>
      <w:r w:rsidRPr="00CA1271">
        <w:t>Increasing the overhead</w:t>
      </w:r>
      <w:r w:rsidR="00F0327C" w:rsidRPr="00CA1271">
        <w:t>s</w:t>
      </w:r>
      <w:r w:rsidR="00F37B73" w:rsidRPr="00CA1271">
        <w:t xml:space="preserve"> percent</w:t>
      </w:r>
      <w:r w:rsidRPr="00CA1271">
        <w:t>age to 12.0</w:t>
      </w:r>
      <w:r w:rsidR="00E80A7C" w:rsidRPr="00CA1271">
        <w:t>%</w:t>
      </w:r>
      <w:r w:rsidRPr="00CA1271">
        <w:t>;</w:t>
      </w:r>
    </w:p>
    <w:p w:rsidR="00932DD6" w:rsidRPr="00CA1271" w:rsidRDefault="00932DD6" w:rsidP="007A045B">
      <w:pPr>
        <w:pStyle w:val="REcommendation"/>
        <w:keepNext w:val="0"/>
        <w:numPr>
          <w:ilvl w:val="2"/>
          <w:numId w:val="11"/>
        </w:numPr>
      </w:pPr>
      <w:r w:rsidRPr="00CA1271">
        <w:t>Increasing the supervision ratio to 15:1;</w:t>
      </w:r>
      <w:r w:rsidR="00E87D3F" w:rsidRPr="00CA1271">
        <w:t xml:space="preserve"> and</w:t>
      </w:r>
    </w:p>
    <w:p w:rsidR="00932DD6" w:rsidRPr="00CA1271" w:rsidRDefault="00932DD6" w:rsidP="007A045B">
      <w:pPr>
        <w:pStyle w:val="REcommendation"/>
        <w:keepNext w:val="0"/>
        <w:numPr>
          <w:ilvl w:val="2"/>
          <w:numId w:val="11"/>
        </w:numPr>
      </w:pPr>
      <w:r w:rsidRPr="00CA1271">
        <w:t>Increasing the allowance provision for support workers and supervisors to 1.0</w:t>
      </w:r>
      <w:r w:rsidR="00E80A7C" w:rsidRPr="00CA1271">
        <w:t>%</w:t>
      </w:r>
      <w:r w:rsidRPr="00CA1271">
        <w:t xml:space="preserve"> of salary.</w:t>
      </w:r>
    </w:p>
    <w:p w:rsidR="00932DD6" w:rsidRPr="00CA1271" w:rsidRDefault="00932DD6" w:rsidP="00932DD6">
      <w:pPr>
        <w:pStyle w:val="REcommendation"/>
        <w:keepNext w:val="0"/>
        <w:rPr>
          <w:b/>
        </w:rPr>
      </w:pPr>
      <w:r w:rsidRPr="00CA1271">
        <w:rPr>
          <w:b/>
        </w:rPr>
        <w:t>Temporary Transformation Payment</w:t>
      </w:r>
    </w:p>
    <w:p w:rsidR="00932DD6" w:rsidRPr="00CA1271" w:rsidRDefault="0008512C" w:rsidP="00932DD6">
      <w:pPr>
        <w:pStyle w:val="REcommendation"/>
        <w:keepNext w:val="0"/>
        <w:numPr>
          <w:ilvl w:val="0"/>
          <w:numId w:val="0"/>
        </w:numPr>
        <w:ind w:left="851"/>
      </w:pPr>
      <w:r w:rsidRPr="00CA1271">
        <w:t>The NDIA</w:t>
      </w:r>
      <w:r w:rsidR="00932DD6" w:rsidRPr="00CA1271">
        <w:t xml:space="preserve"> should reduce the level of the Temporary Transformation Payment from 7.5</w:t>
      </w:r>
      <w:r w:rsidR="00E80A7C" w:rsidRPr="00CA1271">
        <w:t>%</w:t>
      </w:r>
      <w:r w:rsidR="00932DD6" w:rsidRPr="00CA1271">
        <w:t xml:space="preserve"> to 6.0</w:t>
      </w:r>
      <w:r w:rsidR="00E80A7C" w:rsidRPr="00CA1271">
        <w:t>%</w:t>
      </w:r>
      <w:r w:rsidR="00932DD6" w:rsidRPr="00CA1271">
        <w:t xml:space="preserve"> on 1 July 2020 as previously announced.</w:t>
      </w:r>
    </w:p>
    <w:p w:rsidR="00C63652" w:rsidRPr="00CA1271" w:rsidRDefault="00C63652" w:rsidP="003D12BD">
      <w:pPr>
        <w:pStyle w:val="REcommendation"/>
        <w:ind w:left="2126" w:hanging="2126"/>
        <w:rPr>
          <w:b/>
        </w:rPr>
      </w:pPr>
      <w:r w:rsidRPr="00CA1271">
        <w:rPr>
          <w:b/>
        </w:rPr>
        <w:t>Definition of the Levels of High Intensity Supports</w:t>
      </w:r>
    </w:p>
    <w:p w:rsidR="00C63652" w:rsidRPr="00CA1271" w:rsidRDefault="00C63652" w:rsidP="00C63652">
      <w:pPr>
        <w:pStyle w:val="REcommendation"/>
        <w:keepNext w:val="0"/>
        <w:numPr>
          <w:ilvl w:val="0"/>
          <w:numId w:val="0"/>
        </w:numPr>
        <w:ind w:left="851"/>
      </w:pPr>
      <w:r w:rsidRPr="00CA1271">
        <w:t xml:space="preserve">That the definitions of Level 1, Level 2 and Level 3 supports in the </w:t>
      </w:r>
      <w:r w:rsidRPr="00CA1271">
        <w:rPr>
          <w:i/>
        </w:rPr>
        <w:t>NDIS Price Guide</w:t>
      </w:r>
      <w:r w:rsidRPr="00CA1271">
        <w:t xml:space="preserve"> should be amended as follows:</w:t>
      </w:r>
    </w:p>
    <w:p w:rsidR="00C63652" w:rsidRPr="00CA1271" w:rsidRDefault="00C63652" w:rsidP="00F37B73">
      <w:pPr>
        <w:pStyle w:val="Quote1"/>
        <w:ind w:left="1134"/>
      </w:pPr>
      <w:r w:rsidRPr="00CA1271">
        <w:t>Level 1 support items should be used if the worker who delivers the support is someone who has the skills and experience that would mean that they would be classified as a Social and Community Services Employee level 2 (below the maximum pay point) if they were employed under the SCHADS Award.</w:t>
      </w:r>
    </w:p>
    <w:p w:rsidR="00C63652" w:rsidRPr="00CA1271" w:rsidRDefault="00C63652" w:rsidP="00F37B73">
      <w:pPr>
        <w:pStyle w:val="Quote1"/>
        <w:ind w:left="1134"/>
      </w:pPr>
      <w:r w:rsidRPr="00CA1271">
        <w:t>Level 2 support items should be used if the worker who delivers the support is someone who has the skills and experience that would mean that they would be classified as a Social and Community Services Employee level 2 (at the maximum pay point) or as a Social and Community Serv</w:t>
      </w:r>
      <w:r w:rsidR="00532B35">
        <w:t>ices Employee level 3 (at the min</w:t>
      </w:r>
      <w:r w:rsidRPr="00CA1271">
        <w:t>imum pay point) if they were employed under the SCHADS Award.</w:t>
      </w:r>
    </w:p>
    <w:p w:rsidR="00C63652" w:rsidRPr="00CA1271" w:rsidRDefault="00C63652" w:rsidP="00F37B73">
      <w:pPr>
        <w:pStyle w:val="Quote1"/>
        <w:ind w:left="1134"/>
      </w:pPr>
      <w:r w:rsidRPr="00CA1271">
        <w:t>Level 3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rsidR="00F37B73" w:rsidRPr="00CA1271" w:rsidRDefault="00F37B73" w:rsidP="00F37B73">
      <w:pPr>
        <w:pStyle w:val="REcommendation"/>
        <w:keepNext w:val="0"/>
        <w:rPr>
          <w:b/>
        </w:rPr>
      </w:pPr>
      <w:r w:rsidRPr="00CA1271">
        <w:rPr>
          <w:b/>
        </w:rPr>
        <w:t>Definitions of Time of Day and Day of Week</w:t>
      </w:r>
    </w:p>
    <w:p w:rsidR="00F37B73" w:rsidRPr="00CA1271" w:rsidRDefault="00F37B73" w:rsidP="00F37B73">
      <w:pPr>
        <w:pStyle w:val="REcommendation"/>
        <w:keepNext w:val="0"/>
        <w:numPr>
          <w:ilvl w:val="0"/>
          <w:numId w:val="0"/>
        </w:numPr>
        <w:ind w:left="851"/>
      </w:pPr>
      <w:r w:rsidRPr="00CA1271">
        <w:t xml:space="preserve">That the definitions of Time of Day and Day of Week in the </w:t>
      </w:r>
      <w:r w:rsidRPr="00CA1271">
        <w:rPr>
          <w:i/>
        </w:rPr>
        <w:t>NDIS Price Guide</w:t>
      </w:r>
      <w:r w:rsidRPr="00CA1271">
        <w:t xml:space="preserve"> should be amended as follows:</w:t>
      </w:r>
    </w:p>
    <w:p w:rsidR="00F37B73" w:rsidRPr="00CA1271" w:rsidRDefault="00F37B73" w:rsidP="00F37B73">
      <w:pPr>
        <w:pStyle w:val="Quote1"/>
        <w:keepNext/>
        <w:ind w:left="1134"/>
        <w:rPr>
          <w:b/>
        </w:rPr>
      </w:pPr>
      <w:r w:rsidRPr="00CA1271">
        <w:rPr>
          <w:b/>
        </w:rPr>
        <w:t>Time of Day and Day of Week</w:t>
      </w:r>
    </w:p>
    <w:p w:rsidR="00F37B73" w:rsidRPr="00CA1271" w:rsidRDefault="00F37B73" w:rsidP="00F37B73">
      <w:pPr>
        <w:pStyle w:val="Quote1"/>
        <w:ind w:left="1134"/>
      </w:pPr>
      <w:r w:rsidRPr="00CA1271">
        <w:t xml:space="preserve">In determining which price limit is applicable to a support, the important consideration is when the support is provided to the participant, not the shift of the worker used to deliver that support as determined by the applicable Industry Award or Enterprise Bargaining Agreement (EBA). </w:t>
      </w:r>
    </w:p>
    <w:p w:rsidR="00F37B73" w:rsidRPr="00CA1271" w:rsidRDefault="00F37B73" w:rsidP="00F37B73">
      <w:pPr>
        <w:pStyle w:val="Quote1"/>
        <w:ind w:left="1134"/>
      </w:pPr>
      <w:r w:rsidRPr="00CA1271">
        <w:t>For NDIS billing purposes the provider must first determine the day of the week on which the support was provided on and then the time of the day during which the support was delivered. (Note: weekday means Monday, Tuesday, Wednesday, Thursday or Friday).</w:t>
      </w:r>
    </w:p>
    <w:p w:rsidR="00F37B73" w:rsidRPr="00CA1271" w:rsidRDefault="00F37B73" w:rsidP="007A045B">
      <w:pPr>
        <w:pStyle w:val="Quote1"/>
        <w:numPr>
          <w:ilvl w:val="0"/>
          <w:numId w:val="20"/>
        </w:numPr>
        <w:ind w:left="1701" w:hanging="283"/>
      </w:pPr>
      <w:r w:rsidRPr="00CA1271">
        <w:t xml:space="preserve">A </w:t>
      </w:r>
      <w:r w:rsidRPr="00CA1271">
        <w:rPr>
          <w:b/>
        </w:rPr>
        <w:t>Night-time Sleepover Support</w:t>
      </w:r>
      <w:r w:rsidRPr="00CA1271">
        <w:t xml:space="preserve"> is any support to an individual participant delivered on a weekday, a Saturday, a Sunday or a Public Holiday that:</w:t>
      </w:r>
    </w:p>
    <w:p w:rsidR="00F37B73" w:rsidRPr="00CA1271" w:rsidRDefault="00F37B73" w:rsidP="007A045B">
      <w:pPr>
        <w:pStyle w:val="DotPoint"/>
        <w:numPr>
          <w:ilvl w:val="0"/>
          <w:numId w:val="21"/>
        </w:numPr>
        <w:ind w:left="2268" w:hanging="283"/>
      </w:pPr>
      <w:r w:rsidRPr="00CA1271">
        <w:t>commences before midnight on a given day and finishes after midnight on that day; and</w:t>
      </w:r>
    </w:p>
    <w:p w:rsidR="00F37B73" w:rsidRPr="00CA1271" w:rsidRDefault="00F37B73" w:rsidP="007A045B">
      <w:pPr>
        <w:pStyle w:val="DotPoint"/>
        <w:numPr>
          <w:ilvl w:val="0"/>
          <w:numId w:val="21"/>
        </w:numPr>
        <w:ind w:left="2268" w:hanging="283"/>
      </w:pPr>
      <w:r w:rsidRPr="00CA1271">
        <w:t>is for a continuous period of eight (8) hours or more; and</w:t>
      </w:r>
    </w:p>
    <w:p w:rsidR="00F37B73" w:rsidRPr="00CA1271" w:rsidRDefault="00F37B73" w:rsidP="007A045B">
      <w:pPr>
        <w:pStyle w:val="DotPoint"/>
        <w:numPr>
          <w:ilvl w:val="0"/>
          <w:numId w:val="21"/>
        </w:numPr>
        <w:ind w:left="2268" w:hanging="283"/>
      </w:pPr>
      <w:proofErr w:type="gramStart"/>
      <w:r w:rsidRPr="00CA1271">
        <w:t>the</w:t>
      </w:r>
      <w:proofErr w:type="gramEnd"/>
      <w:r w:rsidRPr="00CA1271">
        <w:t xml:space="preserve"> worker is allowed to sleep when they are not providing support.</w:t>
      </w:r>
    </w:p>
    <w:p w:rsidR="00F37B73" w:rsidRPr="00CA1271" w:rsidRDefault="00F37B73" w:rsidP="007A045B">
      <w:pPr>
        <w:pStyle w:val="Quote1"/>
        <w:numPr>
          <w:ilvl w:val="0"/>
          <w:numId w:val="20"/>
        </w:numPr>
        <w:ind w:left="1701" w:hanging="283"/>
      </w:pPr>
      <w:r w:rsidRPr="00CA1271">
        <w:t xml:space="preserve">A </w:t>
      </w:r>
      <w:r w:rsidRPr="00CA1271">
        <w:rPr>
          <w:b/>
        </w:rPr>
        <w:t>Public Holiday Support</w:t>
      </w:r>
      <w:r w:rsidRPr="00CA1271">
        <w:t xml:space="preserve"> is any support to an individual participant that starts at or after midnight on the night prior to a Public Holiday and ends before or at midnight of that Public Holiday (unless that support is a Night-time Sleepover Support).</w:t>
      </w:r>
    </w:p>
    <w:p w:rsidR="00F37B73" w:rsidRPr="00CA1271" w:rsidRDefault="00F37B73" w:rsidP="007A045B">
      <w:pPr>
        <w:pStyle w:val="Quote1"/>
        <w:numPr>
          <w:ilvl w:val="0"/>
          <w:numId w:val="20"/>
        </w:numPr>
        <w:ind w:left="1701" w:hanging="283"/>
      </w:pPr>
      <w:r w:rsidRPr="00CA1271">
        <w:t xml:space="preserve">A </w:t>
      </w:r>
      <w:r w:rsidRPr="00CA1271">
        <w:rPr>
          <w:b/>
        </w:rPr>
        <w:t>Saturday Support</w:t>
      </w:r>
      <w:r w:rsidRPr="00CA1271">
        <w:t xml:space="preserve"> is any support to an individual participant that starts at or after midnight on the night prior to a Saturday and ends before or at midnight of that Saturday (unless that support is a Public Holiday Support or a Night-time Sleepover Support).</w:t>
      </w:r>
    </w:p>
    <w:p w:rsidR="00F37B73" w:rsidRPr="00CA1271" w:rsidRDefault="00F37B73" w:rsidP="007A045B">
      <w:pPr>
        <w:pStyle w:val="Quote1"/>
        <w:numPr>
          <w:ilvl w:val="0"/>
          <w:numId w:val="20"/>
        </w:numPr>
        <w:ind w:left="1701" w:hanging="283"/>
      </w:pPr>
      <w:r w:rsidRPr="00CA1271">
        <w:t xml:space="preserve">A </w:t>
      </w:r>
      <w:r w:rsidRPr="00CA1271">
        <w:rPr>
          <w:b/>
        </w:rPr>
        <w:t>Sunday Support</w:t>
      </w:r>
      <w:r w:rsidRPr="00CA1271">
        <w:t xml:space="preserve"> is any support to an individual participant that starts at or after midnight on the night prior to a Sunday and ends before or at midnight of that Sunday (unless that support is a Public Holiday Support or a Night-time Sleepover Support).</w:t>
      </w:r>
    </w:p>
    <w:p w:rsidR="00F37B73" w:rsidRPr="00CA1271" w:rsidRDefault="00F37B73" w:rsidP="007A045B">
      <w:pPr>
        <w:pStyle w:val="Quote1"/>
        <w:numPr>
          <w:ilvl w:val="0"/>
          <w:numId w:val="20"/>
        </w:numPr>
        <w:ind w:left="1701" w:hanging="283"/>
      </w:pPr>
      <w:r w:rsidRPr="00CA1271">
        <w:t xml:space="preserve">A </w:t>
      </w:r>
      <w:r w:rsidRPr="00CA1271">
        <w:rPr>
          <w:b/>
        </w:rPr>
        <w:t>Standard Day Support</w:t>
      </w:r>
      <w:r w:rsidRPr="00CA1271">
        <w:t xml:space="preserve"> is any other support, and is either:</w:t>
      </w:r>
    </w:p>
    <w:p w:rsidR="00F37B73" w:rsidRPr="00CA1271" w:rsidRDefault="00F37B73" w:rsidP="007A045B">
      <w:pPr>
        <w:pStyle w:val="DotPoint"/>
        <w:numPr>
          <w:ilvl w:val="0"/>
          <w:numId w:val="21"/>
        </w:numPr>
        <w:ind w:left="2268" w:hanging="283"/>
      </w:pPr>
      <w:r w:rsidRPr="00CA1271">
        <w:t xml:space="preserve">A </w:t>
      </w:r>
      <w:r w:rsidRPr="00CA1271">
        <w:rPr>
          <w:b/>
        </w:rPr>
        <w:t>Weekday Support</w:t>
      </w:r>
      <w:r w:rsidRPr="00CA1271">
        <w:t xml:space="preserve"> is any support to an individual participant that starts at or after 6:00 am and ends before or at 8:00 pm on a single weekday (unless that support is a Public Holiday Support or a Night-time Sleepover Support).</w:t>
      </w:r>
    </w:p>
    <w:p w:rsidR="00F37B73" w:rsidRPr="00CA1271" w:rsidRDefault="00F37B73" w:rsidP="007A045B">
      <w:pPr>
        <w:pStyle w:val="DotPoint"/>
        <w:numPr>
          <w:ilvl w:val="0"/>
          <w:numId w:val="21"/>
        </w:numPr>
        <w:ind w:left="2268" w:hanging="283"/>
      </w:pPr>
      <w:r w:rsidRPr="00CA1271">
        <w:t xml:space="preserve">An </w:t>
      </w:r>
      <w:r w:rsidRPr="00CA1271">
        <w:rPr>
          <w:b/>
        </w:rPr>
        <w:t>Evening Support</w:t>
      </w:r>
      <w:r w:rsidRPr="00CA1271">
        <w:t xml:space="preserve"> is any support to an individual participant that finishes after 8:00 pm and at or before midnight on a single weekday (unless that support is a Public Holiday Support or a Night-time Sleepover Support).</w:t>
      </w:r>
    </w:p>
    <w:p w:rsidR="00F37B73" w:rsidRPr="00CA1271" w:rsidRDefault="00F37B73" w:rsidP="007A045B">
      <w:pPr>
        <w:pStyle w:val="DotPoint"/>
        <w:numPr>
          <w:ilvl w:val="0"/>
          <w:numId w:val="21"/>
        </w:numPr>
        <w:ind w:left="2268" w:hanging="283"/>
      </w:pPr>
      <w:r w:rsidRPr="00CA1271">
        <w:t xml:space="preserve">An </w:t>
      </w:r>
      <w:r w:rsidRPr="00CA1271">
        <w:rPr>
          <w:b/>
        </w:rPr>
        <w:t>Active Overnight Support</w:t>
      </w:r>
      <w:r w:rsidRPr="00CA1271">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rsidR="00F37B73" w:rsidRPr="00CA1271" w:rsidRDefault="00F37B73" w:rsidP="00F37B73">
      <w:pPr>
        <w:pStyle w:val="Quote1"/>
        <w:ind w:left="1134"/>
      </w:pPr>
      <w:r w:rsidRPr="00CA1271">
        <w:t xml:space="preserve">If a support to an individual participant does not meet one of the above criteria then it needs to be billed as two or more separate supports. </w:t>
      </w:r>
    </w:p>
    <w:p w:rsidR="00F37B73" w:rsidRPr="00CA1271" w:rsidRDefault="00F37B73" w:rsidP="00B10EF0">
      <w:pPr>
        <w:pStyle w:val="Quote1"/>
        <w:keepNext/>
        <w:ind w:left="1134"/>
        <w:rPr>
          <w:b/>
        </w:rPr>
      </w:pPr>
      <w:r w:rsidRPr="00CA1271">
        <w:rPr>
          <w:b/>
        </w:rPr>
        <w:t>Night-time Sleepover Supports</w:t>
      </w:r>
    </w:p>
    <w:p w:rsidR="00F37B73" w:rsidRPr="00CA1271" w:rsidRDefault="00F37B73" w:rsidP="00F37B73">
      <w:pPr>
        <w:pStyle w:val="Quote1"/>
        <w:ind w:left="1134"/>
      </w:pPr>
      <w:r w:rsidRPr="00CA1271">
        <w:t>Night-time Sleepover Supports have a price limit that is inclusive of the cost of two hours of any supports provided to the participant for the duration of the period. Providers may claim for third or additional hour at Saturday rates on weekdays, or at applicable rates on other days (Saturday, Sunday or Public Holidays)</w:t>
      </w:r>
    </w:p>
    <w:p w:rsidR="00F37B73" w:rsidRPr="00CA1271" w:rsidRDefault="00F37B73" w:rsidP="00F37B73">
      <w:pPr>
        <w:pStyle w:val="Quote1"/>
        <w:ind w:left="1134"/>
      </w:pPr>
      <w:r w:rsidRPr="00CA1271">
        <w:t>Note, Night-time Sleepover Supports apply to any day of the week and on public holidays, pending criteria met as described previously.</w:t>
      </w:r>
    </w:p>
    <w:p w:rsidR="00932DD6" w:rsidRPr="00CA1271" w:rsidRDefault="00932DD6" w:rsidP="00932DD6">
      <w:pPr>
        <w:pStyle w:val="Heading3"/>
      </w:pPr>
      <w:r w:rsidRPr="00CA1271">
        <w:t>Price limits for group-based core supports</w:t>
      </w:r>
    </w:p>
    <w:p w:rsidR="00932DD6" w:rsidRPr="00CA1271" w:rsidRDefault="00327F61" w:rsidP="00932DD6">
      <w:r w:rsidRPr="00CA1271">
        <w:t>The Review was required by its Terms of Reference to examine the methodology for deriving the price controls for group-based supports from the price controls for 1:1 supports. Currently, t</w:t>
      </w:r>
      <w:r w:rsidR="00932DD6" w:rsidRPr="00CA1271">
        <w:t xml:space="preserve">he price limit for community-based group supports apply to each hour of support and are based on the price limit of the relevant 1:1 community participation support (for each level of support and time of day and day of week). The price limit for the relevant 1:1 support is P then the price limit </w:t>
      </w:r>
      <w:proofErr w:type="spellStart"/>
      <w:r w:rsidR="00932DD6" w:rsidRPr="00CA1271">
        <w:t>P</w:t>
      </w:r>
      <w:r w:rsidR="00932DD6" w:rsidRPr="00CA1271">
        <w:rPr>
          <w:vertAlign w:val="subscript"/>
        </w:rPr>
        <w:t>n</w:t>
      </w:r>
      <w:proofErr w:type="spellEnd"/>
      <w:r w:rsidR="00932DD6" w:rsidRPr="00CA1271">
        <w:t xml:space="preserve"> for the 1</w:t>
      </w:r>
      <w:proofErr w:type="gramStart"/>
      <w:r w:rsidR="00932DD6" w:rsidRPr="00CA1271">
        <w:t>:n</w:t>
      </w:r>
      <w:proofErr w:type="gramEnd"/>
      <w:r w:rsidR="00932DD6" w:rsidRPr="00CA1271">
        <w:t xml:space="preserve"> community based support is given by the following </w:t>
      </w:r>
      <w:r w:rsidR="00A61B06" w:rsidRPr="00CA1271">
        <w:t>equation</w:t>
      </w:r>
      <w:r w:rsidR="00932DD6" w:rsidRPr="00CA1271">
        <w:t>:</w:t>
      </w:r>
    </w:p>
    <w:p w:rsidR="00932DD6" w:rsidRPr="00CA1271" w:rsidRDefault="00F30779" w:rsidP="00A61B06">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n-1</m:t>
                  </m:r>
                </m:e>
              </m:d>
              <m:r>
                <w:rPr>
                  <w:rFonts w:ascii="Cambria Math" w:hAnsi="Cambria Math"/>
                </w:rPr>
                <m:t>×0.12×P</m:t>
              </m:r>
            </m:num>
            <m:den>
              <m:r>
                <w:rPr>
                  <w:rFonts w:ascii="Cambria Math" w:hAnsi="Cambria Math"/>
                </w:rPr>
                <m:t>n</m:t>
              </m:r>
            </m:den>
          </m:f>
        </m:oMath>
      </m:oMathPara>
    </w:p>
    <w:p w:rsidR="00932DD6" w:rsidRPr="00CA1271" w:rsidRDefault="00932DD6" w:rsidP="00932DD6">
      <w:r w:rsidRPr="00CA1271">
        <w:t>For each additional person in the group (after the first) an additional 12</w:t>
      </w:r>
      <w:r w:rsidR="00E80A7C" w:rsidRPr="00CA1271">
        <w:t>%</w:t>
      </w:r>
      <w:r w:rsidRPr="00CA1271">
        <w:t xml:space="preserve"> of the 1:1 price limit (essentially seven minutes) is added to the price limit. This reflects the time that the provider may need to spend writing a report on each participant in the group after the group has finished. Because of this built-in loading, providers of group based supports are not permitted to </w:t>
      </w:r>
      <w:r w:rsidR="00C4242B" w:rsidRPr="00CA1271">
        <w:t>claim</w:t>
      </w:r>
      <w:r w:rsidRPr="00CA1271">
        <w:t xml:space="preserve"> for non-face-to-face time. For 1:1 supports, non-face-to-face activities are part of delivering a specific disability support to that participant (rather than a general activity such as enrolment, administration or staff rostering).</w:t>
      </w:r>
    </w:p>
    <w:p w:rsidR="00932DD6" w:rsidRPr="00CA1271" w:rsidRDefault="00932DD6" w:rsidP="00932DD6">
      <w:r w:rsidRPr="00CA1271">
        <w:t>The price limit for centre-based group supports are calculated by adding a fixed capital allowance amount to the relevant community based group support. In 2019-20, the amount of the fixed capital allowance was $2.10 per participant per hour. The amount of the fixed capital allowance is indexed on 1 July each year in line with movements in the Consumer Price Index (CPI).</w:t>
      </w:r>
    </w:p>
    <w:p w:rsidR="00932DD6" w:rsidRPr="00CA1271" w:rsidRDefault="00932DD6" w:rsidP="00932DD6">
      <w:r w:rsidRPr="00CA1271">
        <w:t xml:space="preserve">The Review considers that there is considerable merit in replacing the current group based pricing arrangements with simplified arrangements, whereby providers can </w:t>
      </w:r>
      <w:r w:rsidR="00C4242B" w:rsidRPr="00CA1271">
        <w:t>claim</w:t>
      </w:r>
      <w:r w:rsidRPr="00CA1271">
        <w:t xml:space="preserve"> for both direct service provision and no</w:t>
      </w:r>
      <w:r w:rsidR="00980790" w:rsidRPr="00CA1271">
        <w:t>n</w:t>
      </w:r>
      <w:r w:rsidRPr="00CA1271">
        <w:t>-face-to-face supports as they are provided. Providers would divide the number of worker hours by the number of participant hours to derive their own fractions of hours to charge participants and would claim for these hours against the 1:1 support item and subject to the standard price limit. For example, one worker to three participants for a one</w:t>
      </w:r>
      <w:r w:rsidR="00FE19DD" w:rsidRPr="00CA1271">
        <w:t>-</w:t>
      </w:r>
      <w:r w:rsidRPr="00CA1271">
        <w:t xml:space="preserve">hour session would be claimed as 1/3 of an hour per participant subject to the 1:1 price limit rather than as currently where hour is claimed for each participant but subject to a reduced 1:3 price limit. </w:t>
      </w:r>
      <w:r w:rsidR="00B7547D" w:rsidRPr="00CA1271">
        <w:t>Providers of centre based care would claim for the fixed capital allowance for each participant through a separate support item.</w:t>
      </w:r>
    </w:p>
    <w:p w:rsidR="00932DD6" w:rsidRPr="00CA1271" w:rsidRDefault="00932DD6" w:rsidP="00932DD6">
      <w:r w:rsidRPr="00CA1271">
        <w:t xml:space="preserve">The Review notes that when this change was suggested last year the sector did not accept it. It appears, however, that the sector has become much more comfortable with the non-face-to-face </w:t>
      </w:r>
      <w:r w:rsidR="00C4242B" w:rsidRPr="00CA1271">
        <w:t>claim</w:t>
      </w:r>
      <w:r w:rsidRPr="00CA1271">
        <w:t xml:space="preserve">ing </w:t>
      </w:r>
      <w:r w:rsidR="00F44E36" w:rsidRPr="00CA1271">
        <w:t>arrangements</w:t>
      </w:r>
      <w:r w:rsidRPr="00CA1271">
        <w:t xml:space="preserve"> and can now see the opportunities that can arise from the proposed simplification. Currently there are over 220 support items for group</w:t>
      </w:r>
      <w:r w:rsidR="00FE19DD" w:rsidRPr="00CA1271">
        <w:t>-</w:t>
      </w:r>
      <w:r w:rsidRPr="00CA1271">
        <w:t xml:space="preserve">based supports in the </w:t>
      </w:r>
      <w:r w:rsidRPr="00CA1271">
        <w:rPr>
          <w:i/>
        </w:rPr>
        <w:t>NDIS Support Catalogue</w:t>
      </w:r>
      <w:r w:rsidRPr="00CA1271">
        <w:t>. Under the proposed amendments, some 200 of these support items would no longer be needed.</w:t>
      </w:r>
      <w:r w:rsidR="005B1178" w:rsidRPr="00CA1271">
        <w:t xml:space="preserve"> The proposed new arrangements for “programs of supports” </w:t>
      </w:r>
      <w:r w:rsidR="006A7531" w:rsidRPr="00CA1271">
        <w:t>would</w:t>
      </w:r>
      <w:r w:rsidR="005B1178" w:rsidRPr="00CA1271">
        <w:t xml:space="preserve"> also reduce the administrative burden of providers.</w:t>
      </w:r>
    </w:p>
    <w:p w:rsidR="00932DD6" w:rsidRPr="00CA1271" w:rsidRDefault="00932DD6" w:rsidP="00932DD6">
      <w:r w:rsidRPr="00CA1271">
        <w:t>The Review does not consider that the evidence about the capital costs of centre</w:t>
      </w:r>
      <w:r w:rsidR="00FE19DD" w:rsidRPr="00CA1271">
        <w:t>-</w:t>
      </w:r>
      <w:r w:rsidRPr="00CA1271">
        <w:t xml:space="preserve">based care is sufficiently strong to justify a change </w:t>
      </w:r>
      <w:r w:rsidR="00B7547D" w:rsidRPr="00CA1271">
        <w:t>in the amount of the fixed capital allowance</w:t>
      </w:r>
      <w:r w:rsidRPr="00CA1271">
        <w:t xml:space="preserve">, but </w:t>
      </w:r>
      <w:r w:rsidR="00B7547D" w:rsidRPr="00CA1271">
        <w:t>could be investigated further in a future Annual Pricing Review</w:t>
      </w:r>
      <w:r w:rsidRPr="00CA1271">
        <w:t>.</w:t>
      </w:r>
    </w:p>
    <w:p w:rsidR="00932DD6" w:rsidRPr="00CA1271" w:rsidRDefault="00932DD6" w:rsidP="00932DD6">
      <w:pPr>
        <w:pStyle w:val="REcommendation"/>
        <w:keepNext w:val="0"/>
        <w:ind w:left="2126" w:hanging="2126"/>
        <w:rPr>
          <w:b/>
        </w:rPr>
      </w:pPr>
      <w:r w:rsidRPr="00CA1271">
        <w:rPr>
          <w:b/>
        </w:rPr>
        <w:t>Group Based Supports</w:t>
      </w:r>
    </w:p>
    <w:p w:rsidR="00932DD6" w:rsidRPr="00CA1271" w:rsidRDefault="0008512C" w:rsidP="007A045B">
      <w:pPr>
        <w:pStyle w:val="REcommendation"/>
        <w:keepNext w:val="0"/>
        <w:numPr>
          <w:ilvl w:val="1"/>
          <w:numId w:val="11"/>
        </w:numPr>
      </w:pPr>
      <w:r w:rsidRPr="00CA1271">
        <w:t>The NDIA</w:t>
      </w:r>
      <w:r w:rsidR="00932DD6" w:rsidRPr="00CA1271">
        <w:t xml:space="preserve"> should amend the pricing arrangements for group based supports so that providers no longer use the various worker to participant ratio support items but instead </w:t>
      </w:r>
      <w:r w:rsidR="00C4242B" w:rsidRPr="00CA1271">
        <w:t>claim</w:t>
      </w:r>
      <w:r w:rsidR="00932DD6" w:rsidRPr="00CA1271">
        <w:t xml:space="preserve"> all supports against the appropriate 1:1 support items by apportioning the time spent with the group among the members of the group.</w:t>
      </w:r>
      <w:r w:rsidR="00B7547D" w:rsidRPr="00CA1271">
        <w:t xml:space="preserve"> Providers of centre based care would claim for the fixed capital allowance for each participant in a group through a separate support item.</w:t>
      </w:r>
    </w:p>
    <w:p w:rsidR="00932DD6" w:rsidRPr="00CA1271" w:rsidRDefault="0008512C" w:rsidP="007A045B">
      <w:pPr>
        <w:pStyle w:val="REcommendation"/>
        <w:keepNext w:val="0"/>
        <w:numPr>
          <w:ilvl w:val="1"/>
          <w:numId w:val="11"/>
        </w:numPr>
      </w:pPr>
      <w:r w:rsidRPr="00CA1271">
        <w:t>The NDIA</w:t>
      </w:r>
      <w:r w:rsidR="00932DD6" w:rsidRPr="00CA1271">
        <w:t xml:space="preserve"> should also amend the pricing arrangements for group based supports so that providers can claim for non-face-to-face supports under the usual conditions</w:t>
      </w:r>
      <w:r w:rsidR="00E4574B" w:rsidRPr="00CA1271">
        <w:t>, rather than having an allowance for non-face-to-face supports built into the price limit</w:t>
      </w:r>
      <w:r w:rsidR="00932DD6" w:rsidRPr="00CA1271">
        <w:t>.</w:t>
      </w:r>
    </w:p>
    <w:p w:rsidR="00932DD6" w:rsidRPr="00CA1271" w:rsidRDefault="00932DD6" w:rsidP="00932DD6">
      <w:pPr>
        <w:pStyle w:val="Heading3"/>
      </w:pPr>
      <w:r w:rsidRPr="00CA1271">
        <w:t>Capacity Building Supports</w:t>
      </w:r>
    </w:p>
    <w:p w:rsidR="00327F61" w:rsidRPr="00CA1271" w:rsidRDefault="00327F61" w:rsidP="00327F61">
      <w:r w:rsidRPr="00CA1271">
        <w:t>The Review was required by the its Terms of Reference to review the price control framework for capacity building supports, including therapy supports, by examining:</w:t>
      </w:r>
    </w:p>
    <w:p w:rsidR="00327F61" w:rsidRPr="00CA1271" w:rsidRDefault="00327F61" w:rsidP="00327F61">
      <w:pPr>
        <w:pStyle w:val="DotPoint"/>
      </w:pPr>
      <w:r w:rsidRPr="00CA1271">
        <w:t>how price limits for capacity building supports, other than therapy supports, should be indexed or otherwise determined annually;</w:t>
      </w:r>
    </w:p>
    <w:p w:rsidR="00327F61" w:rsidRPr="00CA1271" w:rsidRDefault="00327F61" w:rsidP="00327F61">
      <w:pPr>
        <w:pStyle w:val="DotPoint"/>
      </w:pPr>
      <w:r w:rsidRPr="00CA1271">
        <w:t>how price limits for therapy supports should be adjusted annually, given the outcomes of the Review of Therapy Pricing Arrangements;</w:t>
      </w:r>
    </w:p>
    <w:p w:rsidR="00327F61" w:rsidRPr="00CA1271" w:rsidRDefault="00327F61" w:rsidP="00327F61">
      <w:pPr>
        <w:pStyle w:val="DotPoint"/>
      </w:pPr>
      <w:r w:rsidRPr="00CA1271">
        <w:t>whether different price limits might be appropriate for different times of the day, or days of the week, for some capacity building supports, including for therapists, therapy assistants and for capacity building supports delivered by disability support workers; and</w:t>
      </w:r>
    </w:p>
    <w:p w:rsidR="00327F61" w:rsidRPr="00CA1271" w:rsidRDefault="00327F61" w:rsidP="00327F61">
      <w:pPr>
        <w:pStyle w:val="DotPoint"/>
      </w:pPr>
      <w:proofErr w:type="gramStart"/>
      <w:r w:rsidRPr="00CA1271">
        <w:t>whether</w:t>
      </w:r>
      <w:proofErr w:type="gramEnd"/>
      <w:r w:rsidRPr="00CA1271">
        <w:t xml:space="preserve"> therapists and other capacity building providers should be able to recover the costs of consumables provided to participants as part of a support.</w:t>
      </w:r>
    </w:p>
    <w:p w:rsidR="00536AD6" w:rsidRPr="00CA1271" w:rsidRDefault="00536AD6" w:rsidP="00536AD6">
      <w:r w:rsidRPr="00CA1271">
        <w:t xml:space="preserve">The </w:t>
      </w:r>
      <w:r w:rsidRPr="00CA1271">
        <w:rPr>
          <w:i/>
        </w:rPr>
        <w:t>Review of NDIS Therapy Pricing Arrangements</w:t>
      </w:r>
      <w:r w:rsidR="005220B7" w:rsidRPr="00CA1271">
        <w:t xml:space="preserve"> (“the Therapy Review”)</w:t>
      </w:r>
      <w:r w:rsidRPr="00CA1271">
        <w:t xml:space="preserve">, which reported in 2019, found that the NDIS accounts for </w:t>
      </w:r>
      <w:r w:rsidR="005220B7" w:rsidRPr="00CA1271">
        <w:t>about</w:t>
      </w:r>
      <w:r w:rsidRPr="00CA1271">
        <w:t xml:space="preserve"> 2.4</w:t>
      </w:r>
      <w:r w:rsidR="00E80A7C" w:rsidRPr="00CA1271">
        <w:t>%</w:t>
      </w:r>
      <w:r w:rsidRPr="00CA1271">
        <w:t xml:space="preserve"> of Australia’s established national therapy market, suggesting that it has limited capacity to influence market prices for therapy services and is instead a “price taker”. The Therapy Review also found that while there are early signs of some competition in the NDIS market for therapy services, around 70</w:t>
      </w:r>
      <w:r w:rsidR="00E80A7C" w:rsidRPr="00CA1271">
        <w:t>%</w:t>
      </w:r>
      <w:r w:rsidRPr="00CA1271">
        <w:t xml:space="preserve"> of claims continued to be made at the price cap. It found that the distribution of claims also remains significantly different from the private market distribution. On the basis of the evidence on market conditions and the sector consultations and benchmarking analysis outlined above, and in line with the principles of the </w:t>
      </w:r>
      <w:r w:rsidRPr="00CA1271">
        <w:rPr>
          <w:i/>
        </w:rPr>
        <w:t>National Disability Insurance Scheme Act 2013</w:t>
      </w:r>
      <w:r w:rsidRPr="00CA1271">
        <w:t xml:space="preserve">, including that a funded support must represent “value for money in that the costs of the support are reasonable, relative to both the benefits achieved and the cost of alternative support”, the Therapy Review recommended that the NDIA should maintain price caps on therapy services at least until the transition to the NDIS is complete and there is evidence that the distribution of NDIS payment claims is broadly in line with the distribution of prices observed in the private billing market. </w:t>
      </w:r>
    </w:p>
    <w:p w:rsidR="00932DD6" w:rsidRPr="00CA1271" w:rsidRDefault="00932DD6" w:rsidP="00932DD6">
      <w:r w:rsidRPr="00CA1271">
        <w:t>The current Review agrees with the conclusion</w:t>
      </w:r>
      <w:r w:rsidR="00E87D3F" w:rsidRPr="00CA1271">
        <w:t>s</w:t>
      </w:r>
      <w:r w:rsidRPr="00CA1271">
        <w:t xml:space="preserve"> of the Therapy Review</w:t>
      </w:r>
      <w:r w:rsidR="005220B7" w:rsidRPr="00CA1271">
        <w:t>. It is also</w:t>
      </w:r>
      <w:r w:rsidRPr="00CA1271">
        <w:t xml:space="preserve"> concerned that there is some evidence that the NDIS price limits for therapy service may be distorting the market for therapy services. NDIS price limits appear high compared to </w:t>
      </w:r>
      <w:r w:rsidR="00C31762" w:rsidRPr="00CA1271">
        <w:t xml:space="preserve">some </w:t>
      </w:r>
      <w:r w:rsidRPr="00CA1271">
        <w:t xml:space="preserve">other </w:t>
      </w:r>
      <w:r w:rsidR="00C31762" w:rsidRPr="00CA1271">
        <w:t xml:space="preserve">state compensable </w:t>
      </w:r>
      <w:r w:rsidRPr="00CA1271">
        <w:t>schemes, which warrants further investigation. The Review therefore considers that a comprehensive</w:t>
      </w:r>
      <w:r w:rsidR="00432986" w:rsidRPr="00CA1271">
        <w:t xml:space="preserve"> review</w:t>
      </w:r>
      <w:r w:rsidRPr="00CA1271">
        <w:t xml:space="preserve"> of therapy pricing should be undertaken as part of the next Annual Pricing Review and every two years thereafter. </w:t>
      </w:r>
    </w:p>
    <w:p w:rsidR="00932DD6" w:rsidRPr="00CA1271" w:rsidRDefault="00932DD6" w:rsidP="00932DD6">
      <w:r w:rsidRPr="00CA1271">
        <w:t>The proposed comprehensive review of therapy pricing should also give further consideration to the question of whether different support items (and price limits) need to be created to encourage the delivery of therapy supports outside of usual business hours, with a particular focus on the impacts that the current arrangements have on best practice delivery, especially for Early Childhood Early Intervention supports.</w:t>
      </w:r>
      <w:r w:rsidR="005B1178" w:rsidRPr="00CA1271">
        <w:t xml:space="preserve"> The current Review received mixed evidence on this issue and does not consider that it can be resolved in isolation from an analysis of the entire billing practices of other schemes. The Review notes, for example, that most other schemes do not include different payment rates for out of business hours consultations, but structure their billing arr</w:t>
      </w:r>
      <w:r w:rsidR="00FE19DD" w:rsidRPr="00CA1271">
        <w:t>an</w:t>
      </w:r>
      <w:r w:rsidR="005B1178" w:rsidRPr="00CA1271">
        <w:t>gements around the complexity of the consultation (say 30-60 minutes) rather than the precise duration.</w:t>
      </w:r>
      <w:r w:rsidR="00647B74" w:rsidRPr="00CA1271">
        <w:t xml:space="preserve"> </w:t>
      </w:r>
    </w:p>
    <w:p w:rsidR="00932DD6" w:rsidRPr="00CA1271" w:rsidRDefault="00932DD6" w:rsidP="00932DD6">
      <w:r w:rsidRPr="00CA1271">
        <w:t>The Review also considers, given the disparity between NDIS price limits and the rates payable in other schemes, that therapy price limits should not be indexed this financial year</w:t>
      </w:r>
      <w:r w:rsidR="00432986" w:rsidRPr="00CA1271">
        <w:t>.</w:t>
      </w:r>
    </w:p>
    <w:p w:rsidR="00932DD6" w:rsidRPr="00CA1271" w:rsidRDefault="00932DD6" w:rsidP="00932DD6">
      <w:r w:rsidRPr="00CA1271">
        <w:t xml:space="preserve">Currently the price limits for capacity building supports are indexed on 1 July each year by </w:t>
      </w:r>
      <w:r w:rsidR="00F0327C" w:rsidRPr="00CA1271">
        <w:t xml:space="preserve">the 80/20 weighted average of the </w:t>
      </w:r>
      <w:r w:rsidRPr="00CA1271">
        <w:t xml:space="preserve">movements in </w:t>
      </w:r>
      <w:r w:rsidR="00E0007F" w:rsidRPr="00CA1271">
        <w:t>the ABS Wage Price Index</w:t>
      </w:r>
      <w:r w:rsidRPr="00CA1271">
        <w:t xml:space="preserve"> </w:t>
      </w:r>
      <w:r w:rsidR="00F0327C" w:rsidRPr="00CA1271">
        <w:t xml:space="preserve">and the ABS Consumer Price Index </w:t>
      </w:r>
      <w:r w:rsidRPr="00CA1271">
        <w:t xml:space="preserve">over the 12 months to the March Quarter preceding the indexation date. However, </w:t>
      </w:r>
      <w:r w:rsidR="00E529D5">
        <w:t>15</w:t>
      </w:r>
      <w:r w:rsidRPr="00CA1271">
        <w:t xml:space="preserve"> Capacity Building supports are delivered by workers employed under the SC</w:t>
      </w:r>
      <w:r w:rsidR="00432986" w:rsidRPr="00CA1271">
        <w:t>H</w:t>
      </w:r>
      <w:r w:rsidRPr="00CA1271">
        <w:t xml:space="preserve">ADS Award or a similar industrial agreement. These workers are subject to the Fair Work Commission’s increase to minimum wage that occurs every year, which is included in the current methodology for applicable core supports. The Review considers that it would therefore be more appropriate for the price limits of these supports to be set by the </w:t>
      </w:r>
      <w:r w:rsidR="0000645A" w:rsidRPr="00CA1271">
        <w:t>Disability Support Worker Cost Model</w:t>
      </w:r>
      <w:r w:rsidRPr="00CA1271">
        <w:t>.</w:t>
      </w:r>
    </w:p>
    <w:p w:rsidR="006A46D7" w:rsidRPr="00CA1271" w:rsidRDefault="005220B7" w:rsidP="00932DD6">
      <w:r w:rsidRPr="00CA1271">
        <w:t>The Review received a number of submissions about the cost of</w:t>
      </w:r>
      <w:r w:rsidR="00932DD6" w:rsidRPr="00CA1271">
        <w:t xml:space="preserve"> consumables</w:t>
      </w:r>
      <w:r w:rsidRPr="00CA1271">
        <w:t xml:space="preserve"> used by therapists. T</w:t>
      </w:r>
      <w:r w:rsidR="00932DD6" w:rsidRPr="00CA1271">
        <w:t xml:space="preserve">he Review considers that it is important to distinguish between “tools of the trade” of the therapist and consumables used in the treatment of the specific participant. </w:t>
      </w:r>
      <w:r w:rsidR="00026096" w:rsidRPr="00CA1271">
        <w:t>This is in line with the approaches taken by some other schemes. Worksafe Victoria, for example, “expects that health professionals will not invoice for consumables (i</w:t>
      </w:r>
      <w:r w:rsidR="00647B74" w:rsidRPr="00CA1271">
        <w:t>.</w:t>
      </w:r>
      <w:r w:rsidR="00026096" w:rsidRPr="00CA1271">
        <w:t xml:space="preserve">e. tape, ultrasound gel, dry needles, wax therapy) used as a part of in-rooms treatment” but does permit billing for items “intended to be supplied for the worker to take home to assist with the management of their work-related injury or illness”. The Review understands that consumables </w:t>
      </w:r>
      <w:r w:rsidR="00A61B06" w:rsidRPr="00CA1271">
        <w:t xml:space="preserve">that are provided to the participant </w:t>
      </w:r>
      <w:r w:rsidR="00026096" w:rsidRPr="00CA1271">
        <w:t>are, in general, claimable against the participant’s NDIS plan. The Review considers that tools of the trade are already accounted for within the price limits for therapy support items. The Review notes, for example, that the NDIS Nursing Cost Model inc</w:t>
      </w:r>
      <w:r w:rsidR="00A61B06" w:rsidRPr="00CA1271">
        <w:t>ludes an overheads</w:t>
      </w:r>
      <w:r w:rsidR="00026096" w:rsidRPr="00CA1271">
        <w:t xml:space="preserve"> provision of 20</w:t>
      </w:r>
      <w:r w:rsidR="00E80A7C" w:rsidRPr="00CA1271">
        <w:t>%</w:t>
      </w:r>
      <w:r w:rsidR="00026096" w:rsidRPr="00CA1271">
        <w:t>.</w:t>
      </w:r>
    </w:p>
    <w:p w:rsidR="00932DD6" w:rsidRPr="00CA1271" w:rsidRDefault="00932DD6" w:rsidP="00932DD6">
      <w:pPr>
        <w:pStyle w:val="REcommendation"/>
        <w:keepNext w:val="0"/>
        <w:rPr>
          <w:b/>
        </w:rPr>
      </w:pPr>
      <w:r w:rsidRPr="00CA1271">
        <w:rPr>
          <w:b/>
        </w:rPr>
        <w:t>Capacity Building Supports</w:t>
      </w:r>
    </w:p>
    <w:p w:rsidR="00CF506C" w:rsidRPr="00CA1271" w:rsidRDefault="00CF506C" w:rsidP="00CF506C">
      <w:pPr>
        <w:pStyle w:val="REcommendation"/>
        <w:keepNext w:val="0"/>
        <w:numPr>
          <w:ilvl w:val="1"/>
          <w:numId w:val="11"/>
        </w:numPr>
      </w:pPr>
      <w:r w:rsidRPr="00CA1271">
        <w:t>The NDIA should undertake a comprehensive review of therapy pricing arrangements as a part of the Annual Pricing Review every two years, with the next comprehensive review to commence in July 2021. Pending the outcomes of that review:</w:t>
      </w:r>
    </w:p>
    <w:p w:rsidR="00CF506C" w:rsidRPr="00CA1271" w:rsidRDefault="00CF506C" w:rsidP="00CF506C">
      <w:pPr>
        <w:pStyle w:val="REcommendation"/>
        <w:keepNext w:val="0"/>
        <w:numPr>
          <w:ilvl w:val="2"/>
          <w:numId w:val="11"/>
        </w:numPr>
      </w:pPr>
      <w:r w:rsidRPr="00CA1271">
        <w:t>the NDIA should not index the price limits for therapy supports on 1 July 2020; and</w:t>
      </w:r>
    </w:p>
    <w:p w:rsidR="00CF506C" w:rsidRPr="00CA1271" w:rsidRDefault="00CF506C" w:rsidP="00CF506C">
      <w:pPr>
        <w:pStyle w:val="REcommendation"/>
        <w:keepNext w:val="0"/>
        <w:numPr>
          <w:ilvl w:val="2"/>
          <w:numId w:val="11"/>
        </w:numPr>
      </w:pPr>
      <w:proofErr w:type="gramStart"/>
      <w:r w:rsidRPr="00CA1271">
        <w:t>the</w:t>
      </w:r>
      <w:proofErr w:type="gramEnd"/>
      <w:r w:rsidRPr="00CA1271">
        <w:t xml:space="preserve"> NDIA should index the price limits for therapy supports on 1 July 2021 in accordance with the indexation methodology set out in Recommendation 2.1(iii).</w:t>
      </w:r>
    </w:p>
    <w:p w:rsidR="00932DD6" w:rsidRPr="00CA1271" w:rsidRDefault="0008512C" w:rsidP="007A045B">
      <w:pPr>
        <w:pStyle w:val="REcommendation"/>
        <w:keepNext w:val="0"/>
        <w:numPr>
          <w:ilvl w:val="1"/>
          <w:numId w:val="11"/>
        </w:numPr>
      </w:pPr>
      <w:r w:rsidRPr="00CA1271">
        <w:t>The NDIA</w:t>
      </w:r>
      <w:r w:rsidR="00932DD6" w:rsidRPr="00CA1271">
        <w:t xml:space="preserve"> should index the price limits for capacity building supports that are delivered by Disability Support Workers by reference to the </w:t>
      </w:r>
      <w:r w:rsidR="005220B7" w:rsidRPr="00CA1271">
        <w:t xml:space="preserve">NDIS </w:t>
      </w:r>
      <w:r w:rsidR="0000645A" w:rsidRPr="00CA1271">
        <w:t>Disability Support Worker Cost Model</w:t>
      </w:r>
      <w:r w:rsidR="00932DD6" w:rsidRPr="00CA1271">
        <w:t>.</w:t>
      </w:r>
    </w:p>
    <w:p w:rsidR="00932DD6" w:rsidRPr="00CA1271" w:rsidRDefault="00932DD6" w:rsidP="00932DD6">
      <w:pPr>
        <w:pStyle w:val="Heading3"/>
      </w:pPr>
      <w:r w:rsidRPr="00CA1271">
        <w:t>Plan Management Supports</w:t>
      </w:r>
    </w:p>
    <w:p w:rsidR="00932DD6" w:rsidRPr="00CA1271" w:rsidRDefault="00932DD6" w:rsidP="00932DD6">
      <w:r w:rsidRPr="00CA1271">
        <w:t xml:space="preserve">NDIS participants can choose to have a registered Plan Management provider to manage their funding and budget for the supports in their plan. Plan Managers are bound to the </w:t>
      </w:r>
      <w:r w:rsidRPr="00CA1271">
        <w:rPr>
          <w:i/>
        </w:rPr>
        <w:t>NDIS Price Guide</w:t>
      </w:r>
      <w:r w:rsidRPr="00CA1271">
        <w:t xml:space="preserve"> and are able to connect participants with both NDIS registered providers and providers that are not registered with the NDIS. </w:t>
      </w:r>
      <w:r w:rsidR="00327F61" w:rsidRPr="00CA1271">
        <w:t>The Review was required by its Terms of Reference to examine the price control framework for plan management supports.</w:t>
      </w:r>
      <w:r w:rsidR="00327F61" w:rsidRPr="00CA1271">
        <w:tab/>
      </w:r>
    </w:p>
    <w:p w:rsidR="00932DD6" w:rsidRPr="00CA1271" w:rsidRDefault="00932DD6" w:rsidP="00932DD6">
      <w:pPr>
        <w:rPr>
          <w:noProof/>
          <w:lang w:eastAsia="en-AU"/>
        </w:rPr>
      </w:pPr>
      <w:r w:rsidRPr="00CA1271">
        <w:t xml:space="preserve">In 2018-19, claims for plan management supports totalled </w:t>
      </w:r>
      <w:r w:rsidRPr="00CA1271">
        <w:rPr>
          <w:noProof/>
          <w:lang w:eastAsia="en-AU"/>
        </w:rPr>
        <w:t>$86 million – of this 28</w:t>
      </w:r>
      <w:r w:rsidR="00E80A7C" w:rsidRPr="00CA1271">
        <w:rPr>
          <w:noProof/>
          <w:lang w:eastAsia="en-AU"/>
        </w:rPr>
        <w:t>%</w:t>
      </w:r>
      <w:r w:rsidRPr="00CA1271">
        <w:rPr>
          <w:noProof/>
          <w:lang w:eastAsia="en-AU"/>
        </w:rPr>
        <w:t xml:space="preserve"> was claimed by the top </w:t>
      </w:r>
      <w:r w:rsidR="00FE19DD" w:rsidRPr="00CA1271">
        <w:rPr>
          <w:noProof/>
          <w:lang w:eastAsia="en-AU"/>
        </w:rPr>
        <w:t xml:space="preserve">five </w:t>
      </w:r>
      <w:r w:rsidRPr="00CA1271">
        <w:rPr>
          <w:noProof/>
          <w:lang w:eastAsia="en-AU"/>
        </w:rPr>
        <w:t>(</w:t>
      </w:r>
      <w:r w:rsidR="00FE19DD" w:rsidRPr="00CA1271">
        <w:rPr>
          <w:noProof/>
          <w:lang w:eastAsia="en-AU"/>
        </w:rPr>
        <w:t>5</w:t>
      </w:r>
      <w:r w:rsidRPr="00CA1271">
        <w:rPr>
          <w:noProof/>
          <w:lang w:eastAsia="en-AU"/>
        </w:rPr>
        <w:t xml:space="preserve">) plan management providers. There are currently </w:t>
      </w:r>
      <w:r w:rsidRPr="00CA1271">
        <w:t>809 active registered providers offering plan management services (</w:t>
      </w:r>
      <w:r w:rsidR="00327F61" w:rsidRPr="00CA1271">
        <w:t>7</w:t>
      </w:r>
      <w:r w:rsidR="00F37B73" w:rsidRPr="00CA1271">
        <w:t>%</w:t>
      </w:r>
      <w:r w:rsidRPr="00CA1271">
        <w:t xml:space="preserve"> of all NDIS registered providers.)</w:t>
      </w:r>
      <w:r w:rsidR="00647B74" w:rsidRPr="00CA1271">
        <w:t xml:space="preserve"> </w:t>
      </w:r>
      <w:r w:rsidRPr="00CA1271">
        <w:t>Some 33</w:t>
      </w:r>
      <w:r w:rsidR="00E80A7C" w:rsidRPr="00CA1271">
        <w:t>%</w:t>
      </w:r>
      <w:r w:rsidR="00327F61" w:rsidRPr="00CA1271">
        <w:t xml:space="preserve"> of NDIS participants </w:t>
      </w:r>
      <w:r w:rsidRPr="00CA1271">
        <w:t>have their funds managed by a plan manager, with total managed funds totalling approximately $5.5 billion.</w:t>
      </w:r>
    </w:p>
    <w:p w:rsidR="00932DD6" w:rsidRPr="00CA1271" w:rsidRDefault="00932DD6" w:rsidP="00932DD6">
      <w:r w:rsidRPr="00CA1271">
        <w:t>The Review found little evidence that current price limits for plan management are inadequate. The number of NDIS registered providers offering plan management services increased from less than 50 to just over 800 between 2016 and 2019. The revenue earned by plan man</w:t>
      </w:r>
      <w:r w:rsidR="00FB5740" w:rsidRPr="00CA1271">
        <w:t>a</w:t>
      </w:r>
      <w:r w:rsidRPr="00CA1271">
        <w:t xml:space="preserve">gers from the monthly account fee has also grown significantly, in line with the growth of the Scheme. The scale of plan management organisations is also growing with the average number of participants per plan management organisation increasing from </w:t>
      </w:r>
      <w:r w:rsidR="004F7314" w:rsidRPr="00CA1271">
        <w:t xml:space="preserve">18 </w:t>
      </w:r>
      <w:r w:rsidRPr="00CA1271">
        <w:t xml:space="preserve">in </w:t>
      </w:r>
      <w:r w:rsidR="004F7314" w:rsidRPr="00CA1271">
        <w:t xml:space="preserve">the third quarter of </w:t>
      </w:r>
      <w:r w:rsidRPr="00CA1271">
        <w:t xml:space="preserve">2016, to </w:t>
      </w:r>
      <w:r w:rsidR="004F7314" w:rsidRPr="00CA1271">
        <w:t xml:space="preserve">133 </w:t>
      </w:r>
      <w:r w:rsidRPr="00CA1271">
        <w:t xml:space="preserve">in </w:t>
      </w:r>
      <w:r w:rsidR="004F7314" w:rsidRPr="00CA1271">
        <w:t xml:space="preserve">the fourth quarter of </w:t>
      </w:r>
      <w:r w:rsidRPr="00CA1271">
        <w:t>2019. The largest five plan management providers now service approximately 30</w:t>
      </w:r>
      <w:r w:rsidR="00E80A7C" w:rsidRPr="00CA1271">
        <w:t>%</w:t>
      </w:r>
      <w:r w:rsidRPr="00CA1271">
        <w:t xml:space="preserve"> of the market. </w:t>
      </w:r>
      <w:r w:rsidR="004F7314" w:rsidRPr="00CA1271">
        <w:t xml:space="preserve">At least two </w:t>
      </w:r>
      <w:r w:rsidRPr="00CA1271">
        <w:t xml:space="preserve">of these five providers were established in the last </w:t>
      </w:r>
      <w:r w:rsidR="004F7314" w:rsidRPr="00CA1271">
        <w:t xml:space="preserve">36 </w:t>
      </w:r>
      <w:r w:rsidRPr="00CA1271">
        <w:t>months. Few plan management providers have exited the market and early research indicates that those who have exited may not have had the growth required to operate at sustainable margins. Most providers that have exited made a total of less than 2</w:t>
      </w:r>
      <w:r w:rsidR="004F7314" w:rsidRPr="00CA1271">
        <w:t>5</w:t>
      </w:r>
      <w:r w:rsidRPr="00CA1271">
        <w:t xml:space="preserve"> claims over their lifetime of up to 3.5 years. </w:t>
      </w:r>
    </w:p>
    <w:p w:rsidR="00932DD6" w:rsidRPr="00CA1271" w:rsidRDefault="00932DD6" w:rsidP="00932DD6">
      <w:r w:rsidRPr="00CA1271">
        <w:t>On balance, the Review concludes that there is no evidence of a gap in supply for plan management services. Competition is strong</w:t>
      </w:r>
      <w:r w:rsidRPr="00CA1271">
        <w:rPr>
          <w:color w:val="1F497D"/>
        </w:rPr>
        <w:t xml:space="preserve"> </w:t>
      </w:r>
      <w:r w:rsidRPr="00CA1271">
        <w:rPr>
          <w:color w:val="000000"/>
        </w:rPr>
        <w:t>with</w:t>
      </w:r>
      <w:r w:rsidRPr="00CA1271">
        <w:t xml:space="preserve"> new competitors entering the market</w:t>
      </w:r>
      <w:r w:rsidR="004F7314" w:rsidRPr="00CA1271">
        <w:t>;</w:t>
      </w:r>
      <w:r w:rsidRPr="00CA1271">
        <w:t xml:space="preserve"> there is </w:t>
      </w:r>
      <w:r w:rsidRPr="00CA1271">
        <w:rPr>
          <w:color w:val="000000"/>
        </w:rPr>
        <w:t xml:space="preserve">also </w:t>
      </w:r>
      <w:r w:rsidRPr="00CA1271">
        <w:t xml:space="preserve">strong growth in the sector both in terms of revenue and customer numbers. </w:t>
      </w:r>
      <w:r w:rsidR="004F7314" w:rsidRPr="00CA1271">
        <w:t>Some</w:t>
      </w:r>
      <w:r w:rsidRPr="00CA1271">
        <w:t xml:space="preserve"> early signs of innovation</w:t>
      </w:r>
      <w:r w:rsidR="004F7314" w:rsidRPr="00CA1271">
        <w:t xml:space="preserve"> can also be seen</w:t>
      </w:r>
      <w:r w:rsidRPr="00CA1271">
        <w:t xml:space="preserve">. The current flat fee structure is simple, has been iterated over time from less successful arrangements including quoting, and has been implemented on a national scale. A flat fee structure (as opposed to hourly rate) is appropriate for financial administration tasks as it can encourage efficiency. </w:t>
      </w:r>
    </w:p>
    <w:p w:rsidR="00932DD6" w:rsidRPr="00CA1271" w:rsidRDefault="00932DD6" w:rsidP="00932DD6">
      <w:r w:rsidRPr="00CA1271">
        <w:t xml:space="preserve">There is some evidence that the </w:t>
      </w:r>
      <w:r w:rsidRPr="00CA1271">
        <w:rPr>
          <w:i/>
        </w:rPr>
        <w:t xml:space="preserve">capacity building and training in plan administration and management </w:t>
      </w:r>
      <w:r w:rsidRPr="00CA1271">
        <w:t>support item may not be functioning as intended. There are strong arguments why providers should be able to claim for non-face-to-face time and provider travel for this support item. The argument for an increase in the price limit for this item is less strong, given that it is already higher than the standard Disability Support Worker price limit and is aligned with the Level 1: Support Connection price limit.</w:t>
      </w:r>
    </w:p>
    <w:p w:rsidR="00932DD6" w:rsidRPr="00CA1271" w:rsidRDefault="00932DD6" w:rsidP="00932DD6">
      <w:pPr>
        <w:pStyle w:val="REcommendation"/>
        <w:keepNext w:val="0"/>
        <w:rPr>
          <w:b/>
        </w:rPr>
      </w:pPr>
      <w:r w:rsidRPr="00CA1271">
        <w:rPr>
          <w:b/>
        </w:rPr>
        <w:t>Plan Management</w:t>
      </w:r>
    </w:p>
    <w:p w:rsidR="00932DD6" w:rsidRPr="00CA1271" w:rsidRDefault="0008512C" w:rsidP="00932DD6">
      <w:pPr>
        <w:pStyle w:val="REcommendation"/>
        <w:keepNext w:val="0"/>
        <w:numPr>
          <w:ilvl w:val="0"/>
          <w:numId w:val="0"/>
        </w:numPr>
        <w:ind w:left="851"/>
      </w:pPr>
      <w:r w:rsidRPr="00CA1271">
        <w:t>The NDIA</w:t>
      </w:r>
      <w:r w:rsidR="00932DD6" w:rsidRPr="00CA1271">
        <w:t xml:space="preserve"> should amend the conditions attached to the support items:</w:t>
      </w:r>
    </w:p>
    <w:p w:rsidR="00932DD6" w:rsidRDefault="00932DD6" w:rsidP="007A045B">
      <w:pPr>
        <w:pStyle w:val="REcommendation"/>
        <w:keepNext w:val="0"/>
        <w:numPr>
          <w:ilvl w:val="2"/>
          <w:numId w:val="11"/>
        </w:numPr>
      </w:pPr>
      <w:r w:rsidRPr="00CA1271">
        <w:t>07_003_0117_8_3 (Capacity Building and Training in Plan and Financial Manag</w:t>
      </w:r>
      <w:r w:rsidR="00654A17">
        <w:t xml:space="preserve">ement by a Support Coordinator); and </w:t>
      </w:r>
    </w:p>
    <w:p w:rsidR="00654A17" w:rsidRPr="00CA1271" w:rsidRDefault="00654A17" w:rsidP="00654A17">
      <w:pPr>
        <w:pStyle w:val="REcommendation"/>
        <w:keepNext w:val="0"/>
        <w:numPr>
          <w:ilvl w:val="2"/>
          <w:numId w:val="11"/>
        </w:numPr>
      </w:pPr>
      <w:r>
        <w:t>1</w:t>
      </w:r>
      <w:r w:rsidRPr="00CA1271">
        <w:t>4_031_0127_8_3 (Capacity Building and Training in Plan and Financial Ma</w:t>
      </w:r>
      <w:r>
        <w:t>nagement by a Plan Manager)</w:t>
      </w:r>
    </w:p>
    <w:p w:rsidR="00932DD6" w:rsidRPr="00CA1271" w:rsidRDefault="00932DD6" w:rsidP="00932DD6">
      <w:pPr>
        <w:pStyle w:val="REcommendation"/>
        <w:keepNext w:val="0"/>
        <w:numPr>
          <w:ilvl w:val="0"/>
          <w:numId w:val="0"/>
        </w:numPr>
        <w:ind w:left="851"/>
      </w:pPr>
      <w:r w:rsidRPr="00CA1271">
        <w:t xml:space="preserve">In the </w:t>
      </w:r>
      <w:r w:rsidRPr="00CA1271">
        <w:rPr>
          <w:i/>
        </w:rPr>
        <w:t>NDIS Support Catalogue</w:t>
      </w:r>
      <w:r w:rsidRPr="00CA1271">
        <w:t xml:space="preserve"> so that providers can </w:t>
      </w:r>
      <w:r w:rsidR="00C4242B" w:rsidRPr="00CA1271">
        <w:t>claim</w:t>
      </w:r>
      <w:r w:rsidRPr="00CA1271">
        <w:t xml:space="preserve"> for provider travel and non-face-to-face supports with respect to these supports.</w:t>
      </w:r>
    </w:p>
    <w:p w:rsidR="00932DD6" w:rsidRPr="00CA1271" w:rsidRDefault="00932DD6" w:rsidP="00932DD6">
      <w:pPr>
        <w:pStyle w:val="Heading3"/>
      </w:pPr>
      <w:r w:rsidRPr="00CA1271">
        <w:t>Classifying Regional, Remote and Very Remote</w:t>
      </w:r>
    </w:p>
    <w:p w:rsidR="00932DD6" w:rsidRPr="00CA1271" w:rsidRDefault="00932DD6" w:rsidP="00932DD6">
      <w:r w:rsidRPr="00CA1271">
        <w:t>The Review was required by its Terms of Reference to examine the geographic classification component of the NDIS price control framework to examine whether modifications are required to the NDIA’s implementation of the Modified Monash Model (MMM) to account for specific disability service-related costs, including the treatment of “isolated locations” and islands under the MMM.</w:t>
      </w:r>
    </w:p>
    <w:p w:rsidR="009241A1" w:rsidRPr="00CA1271" w:rsidRDefault="00932DD6" w:rsidP="009241A1">
      <w:r w:rsidRPr="00CA1271">
        <w:t xml:space="preserve">The Review considers that the MMM is explicitly based on distance to the nearest labour supply centre and so should </w:t>
      </w:r>
      <w:r w:rsidR="009241A1" w:rsidRPr="00CA1271">
        <w:t xml:space="preserve">in general </w:t>
      </w:r>
      <w:r w:rsidRPr="00CA1271">
        <w:t xml:space="preserve">be well suited as a mechanism to estimate the availability of the disability support workforce and the need for higher price limits to compensate providers for the higher costs associated with attracting workers. </w:t>
      </w:r>
      <w:r w:rsidR="009241A1" w:rsidRPr="00CA1271">
        <w:t xml:space="preserve">Note the NDIS Review of the WA Market did find that the cost of service delivery in isolated centres – centres that are currently not classified as remote or very remote by the MMM but that are completely surrounded by remote or very remote areas – were, in general, higher than in other non-remote areas. </w:t>
      </w:r>
      <w:r w:rsidR="004F7314" w:rsidRPr="00CA1271">
        <w:t>Consequently</w:t>
      </w:r>
      <w:r w:rsidR="009241A1" w:rsidRPr="00CA1271">
        <w:t xml:space="preserve">, the NDIA has modified the MMM so that </w:t>
      </w:r>
      <w:r w:rsidR="00C63652" w:rsidRPr="00CA1271">
        <w:t>areas (or groups of areas)</w:t>
      </w:r>
      <w:r w:rsidR="009241A1" w:rsidRPr="00CA1271">
        <w:t xml:space="preserve"> that are currently not classified as remote or very remote by the MMM but that are completely surrounded by remote or very remote areas (“Isolated towns”) are classified as remote areas for planning and pricing purposes.</w:t>
      </w:r>
    </w:p>
    <w:p w:rsidR="00932DD6" w:rsidRPr="00CA1271" w:rsidRDefault="00932DD6" w:rsidP="00932DD6">
      <w:r w:rsidRPr="00CA1271">
        <w:t>The Review recognises that thin markets operate in remote, very remote and some regional areas, especially for more specialised services. However, the Review considers that the solution to this issue lies through a greater use of commissioning, rather than through increases in price limits, especially where the thinness of the market is due to the low number of participants. In these circumstances</w:t>
      </w:r>
      <w:r w:rsidR="004F7314" w:rsidRPr="00CA1271">
        <w:t>,</w:t>
      </w:r>
      <w:r w:rsidRPr="00CA1271">
        <w:t xml:space="preserve"> individual participants will never have sufficient purchasing power to attract service provision with the efficiencies of aggregation that can be generated through commissioning.</w:t>
      </w:r>
    </w:p>
    <w:p w:rsidR="00932DD6" w:rsidRPr="00CA1271" w:rsidRDefault="00932DD6" w:rsidP="00932DD6">
      <w:r w:rsidRPr="00CA1271">
        <w:t xml:space="preserve">The Review also considers that the argument for a delay in implementing any change in the MMM rating of a region is not strong, given that both price limits and plan funding loadings are driven by the same loadings. Thus, while participants who might be reclassified into non-remote areas might have smaller plans they would also face lower price limits. </w:t>
      </w:r>
    </w:p>
    <w:p w:rsidR="00932DD6" w:rsidRPr="00CA1271" w:rsidRDefault="00932DD6" w:rsidP="00932DD6">
      <w:pPr>
        <w:pStyle w:val="REcommendation"/>
        <w:keepNext w:val="0"/>
        <w:rPr>
          <w:b/>
        </w:rPr>
      </w:pPr>
      <w:r w:rsidRPr="00CA1271">
        <w:rPr>
          <w:b/>
        </w:rPr>
        <w:t>Geographic Classification</w:t>
      </w:r>
    </w:p>
    <w:p w:rsidR="00932DD6" w:rsidRPr="00CA1271" w:rsidRDefault="0008512C" w:rsidP="00932DD6">
      <w:pPr>
        <w:pStyle w:val="REcommendation"/>
        <w:keepNext w:val="0"/>
        <w:numPr>
          <w:ilvl w:val="0"/>
          <w:numId w:val="0"/>
        </w:numPr>
        <w:ind w:left="851"/>
      </w:pPr>
      <w:r w:rsidRPr="00CA1271">
        <w:t>The NDIA</w:t>
      </w:r>
      <w:r w:rsidR="00932DD6" w:rsidRPr="00CA1271">
        <w:t xml:space="preserve"> should adopt the MMM 2019 classification system, and any future updates to the MMM classification system as released by the Department of Health, (subject to the NDIS Isolated Town arrangements) as the basis of determining the pricing arrangements in the NDIS Price Guide, including:</w:t>
      </w:r>
    </w:p>
    <w:p w:rsidR="00932DD6" w:rsidRPr="00CA1271" w:rsidRDefault="00932DD6" w:rsidP="007A045B">
      <w:pPr>
        <w:pStyle w:val="REcommendation"/>
        <w:keepNext w:val="0"/>
        <w:numPr>
          <w:ilvl w:val="2"/>
          <w:numId w:val="11"/>
        </w:numPr>
      </w:pPr>
      <w:r w:rsidRPr="00CA1271">
        <w:t>whether remote and very remote loadings should be applied to price limits and plan funding amounts; and</w:t>
      </w:r>
    </w:p>
    <w:p w:rsidR="00932DD6" w:rsidRPr="00CA1271" w:rsidRDefault="00932DD6" w:rsidP="007A045B">
      <w:pPr>
        <w:pStyle w:val="REcommendation"/>
        <w:keepNext w:val="0"/>
        <w:numPr>
          <w:ilvl w:val="2"/>
          <w:numId w:val="11"/>
        </w:numPr>
      </w:pPr>
      <w:proofErr w:type="gramStart"/>
      <w:r w:rsidRPr="00CA1271">
        <w:t>which</w:t>
      </w:r>
      <w:proofErr w:type="gramEnd"/>
      <w:r w:rsidRPr="00CA1271">
        <w:t xml:space="preserve"> travel time limits apply to the supports delivered to participants. </w:t>
      </w:r>
    </w:p>
    <w:p w:rsidR="00932DD6" w:rsidRPr="00CA1271" w:rsidRDefault="00932DD6" w:rsidP="00932DD6">
      <w:pPr>
        <w:pStyle w:val="Heading3"/>
      </w:pPr>
      <w:r w:rsidRPr="00CA1271">
        <w:t xml:space="preserve">Costs in Outer Regional Areas </w:t>
      </w:r>
    </w:p>
    <w:p w:rsidR="00932DD6" w:rsidRPr="00CA1271" w:rsidRDefault="00932DD6" w:rsidP="00932DD6">
      <w:r w:rsidRPr="00CA1271">
        <w:t>The Review was required by its Terms of Reference to examine whether a loading should be applied to price limits and plan funding amounts in outer regional areas to account for the higher cost of service delivery, if any, in those areas</w:t>
      </w:r>
      <w:r w:rsidR="003A4D40" w:rsidRPr="00CA1271">
        <w:t>.</w:t>
      </w:r>
      <w:r w:rsidR="00B4271B" w:rsidRPr="00CA1271">
        <w:t xml:space="preserve"> </w:t>
      </w:r>
      <w:r w:rsidRPr="00CA1271">
        <w:t xml:space="preserve">The Review does not consider that there is sufficient evidence to conclude that the costs of service delivery are higher in regional areas than in metropolitan areas, except in respect of travel costs. It therefore considers that any supply issues in these areas are better addressed through the revised travel and </w:t>
      </w:r>
      <w:r w:rsidR="00CD5993" w:rsidRPr="00CA1271">
        <w:t xml:space="preserve">coordinated </w:t>
      </w:r>
      <w:r w:rsidRPr="00CA1271">
        <w:t>commissioning arrangements proposed elsewhere in the Review.</w:t>
      </w:r>
    </w:p>
    <w:p w:rsidR="00932DD6" w:rsidRPr="00CA1271" w:rsidRDefault="00932DD6" w:rsidP="00932DD6">
      <w:pPr>
        <w:pStyle w:val="Heading3"/>
      </w:pPr>
      <w:r w:rsidRPr="00CA1271">
        <w:t>Cancellation Rules</w:t>
      </w:r>
    </w:p>
    <w:p w:rsidR="00932DD6" w:rsidRPr="00CA1271" w:rsidRDefault="00932DD6" w:rsidP="00932DD6">
      <w:r w:rsidRPr="00CA1271">
        <w:t xml:space="preserve">NDIS providers are not permitted to collect deposits or bonds from participants, or to retain these funds in the event of the participant cancelling a service booking for a support or failing to turn up for a support. </w:t>
      </w:r>
      <w:r w:rsidR="00B4271B" w:rsidRPr="00CA1271">
        <w:t>T</w:t>
      </w:r>
      <w:r w:rsidRPr="00CA1271">
        <w:t>hey are permitted to charge cancellation fees in certain circumstances.</w:t>
      </w:r>
      <w:r w:rsidR="00327F61" w:rsidRPr="00CA1271">
        <w:t xml:space="preserve"> The Review was required by its Terms of Reference to examine the current price control arrangements for cancellations within the Scheme.</w:t>
      </w:r>
    </w:p>
    <w:p w:rsidR="00932DD6" w:rsidRPr="00CA1271" w:rsidRDefault="00932DD6" w:rsidP="00932DD6">
      <w:r w:rsidRPr="00CA1271">
        <w:t>In 2018-19, cancellation payments totalled $12.3 million or 0.1</w:t>
      </w:r>
      <w:r w:rsidR="00E80A7C" w:rsidRPr="00CA1271">
        <w:t>%</w:t>
      </w:r>
      <w:r w:rsidRPr="00CA1271">
        <w:t xml:space="preserve"> of Scheme expenditure. Only 27.9</w:t>
      </w:r>
      <w:r w:rsidR="00E80A7C" w:rsidRPr="00CA1271">
        <w:t>%</w:t>
      </w:r>
      <w:r w:rsidRPr="00CA1271">
        <w:t xml:space="preserve"> of providers made a cancellation claim. For these providers, cancellation claims represented, on average, 4.9</w:t>
      </w:r>
      <w:r w:rsidR="00E80A7C" w:rsidRPr="00CA1271">
        <w:t>%</w:t>
      </w:r>
      <w:r w:rsidRPr="00CA1271">
        <w:t xml:space="preserve"> of all their claims (by number) and 3.6</w:t>
      </w:r>
      <w:r w:rsidR="00E80A7C" w:rsidRPr="00CA1271">
        <w:t>%</w:t>
      </w:r>
      <w:r w:rsidRPr="00CA1271">
        <w:t xml:space="preserve"> of all their claims (by value). For 1 in 10 providers who claimed for cancellations, cancellation claims represented, more than 11.1</w:t>
      </w:r>
      <w:r w:rsidR="00E80A7C" w:rsidRPr="00CA1271">
        <w:t>%</w:t>
      </w:r>
      <w:r w:rsidRPr="00CA1271">
        <w:t xml:space="preserve"> of all their claims (by number) and 8.3</w:t>
      </w:r>
      <w:r w:rsidR="00E80A7C" w:rsidRPr="00CA1271">
        <w:t>%</w:t>
      </w:r>
      <w:r w:rsidRPr="00CA1271">
        <w:t xml:space="preserve"> of all their claims (by value).</w:t>
      </w:r>
    </w:p>
    <w:p w:rsidR="00932DD6" w:rsidRPr="00CA1271" w:rsidRDefault="00932DD6" w:rsidP="00932DD6">
      <w:pPr>
        <w:rPr>
          <w:rFonts w:cs="Arial"/>
        </w:rPr>
      </w:pPr>
      <w:r w:rsidRPr="00CA1271">
        <w:rPr>
          <w:rFonts w:cs="Arial"/>
        </w:rPr>
        <w:t>The Review heard evidence that:</w:t>
      </w:r>
    </w:p>
    <w:p w:rsidR="00932DD6" w:rsidRPr="00CA1271" w:rsidRDefault="00932DD6" w:rsidP="00932DD6">
      <w:pPr>
        <w:pStyle w:val="DotPoint"/>
      </w:pPr>
      <w:r w:rsidRPr="00CA1271">
        <w:t xml:space="preserve">The current arrangements </w:t>
      </w:r>
      <w:r w:rsidRPr="00CA1271">
        <w:noBreakHyphen/>
        <w:t xml:space="preserve"> whereby providers are required to </w:t>
      </w:r>
      <w:r w:rsidR="00C4242B" w:rsidRPr="00CA1271">
        <w:t>claim</w:t>
      </w:r>
      <w:r w:rsidRPr="00CA1271">
        <w:t xml:space="preserve"> for 100</w:t>
      </w:r>
      <w:r w:rsidR="00E80A7C" w:rsidRPr="00CA1271">
        <w:t>%</w:t>
      </w:r>
      <w:r w:rsidRPr="00CA1271">
        <w:t xml:space="preserve"> of the agreed fee for a cancelled service but the NDIS only pays them 90</w:t>
      </w:r>
      <w:r w:rsidR="00E80A7C" w:rsidRPr="00CA1271">
        <w:t>%</w:t>
      </w:r>
      <w:r w:rsidRPr="00CA1271">
        <w:t xml:space="preserve"> of the agreed fee </w:t>
      </w:r>
      <w:r w:rsidRPr="00CA1271">
        <w:noBreakHyphen/>
        <w:t xml:space="preserve"> results in accounting anomalies in their accounts showing the NDIS as bad debtor. </w:t>
      </w:r>
    </w:p>
    <w:p w:rsidR="00932DD6" w:rsidRPr="00CA1271" w:rsidRDefault="00932DD6" w:rsidP="00932DD6">
      <w:pPr>
        <w:pStyle w:val="DotPoint"/>
      </w:pPr>
      <w:r w:rsidRPr="00CA1271">
        <w:t xml:space="preserve">Plan managers faced difficulties in balancing their accounts when the invoices presented by providers, which they pass onto the NDIS, do not match the payments made by the NDIS. </w:t>
      </w:r>
    </w:p>
    <w:p w:rsidR="00932DD6" w:rsidRPr="00CA1271" w:rsidRDefault="00932DD6" w:rsidP="00932DD6">
      <w:pPr>
        <w:pStyle w:val="DotPoint"/>
      </w:pPr>
      <w:r w:rsidRPr="00CA1271">
        <w:t>Providers should be able to recover the full cost of the service that was cancelled, where they have not been able to replace the participant, as they face all of the costs associated with the appointment.</w:t>
      </w:r>
    </w:p>
    <w:p w:rsidR="00932DD6" w:rsidRPr="00CA1271" w:rsidRDefault="00932DD6" w:rsidP="00932DD6">
      <w:r w:rsidRPr="00CA1271">
        <w:t>The Review therefore considers providers should be able to claim 100</w:t>
      </w:r>
      <w:r w:rsidR="00E80A7C" w:rsidRPr="00CA1271">
        <w:t>%</w:t>
      </w:r>
      <w:r w:rsidRPr="00CA1271">
        <w:t xml:space="preserve"> of the agreed fee when a support is cancelled without sufficient notice.</w:t>
      </w:r>
    </w:p>
    <w:p w:rsidR="00932DD6" w:rsidRPr="00CA1271" w:rsidRDefault="00932DD6" w:rsidP="00D55DBD">
      <w:r w:rsidRPr="00CA1271">
        <w:t xml:space="preserve">There was little consensus among submissions as to whether the current cancellation periods were adequate. It is therefore not proposed to change these at this time. </w:t>
      </w:r>
      <w:r w:rsidR="00D55DBD" w:rsidRPr="00CA1271">
        <w:t>Note, to help providers to continue to deliver supports to participants through the COVID-19 pandemic, the NDIA amended the definition</w:t>
      </w:r>
      <w:r w:rsidR="003406C9" w:rsidRPr="00CA1271">
        <w:t xml:space="preserve"> of short notice cancellation so that f</w:t>
      </w:r>
      <w:r w:rsidR="00D55DBD" w:rsidRPr="00CA1271">
        <w:t>rom 2</w:t>
      </w:r>
      <w:r w:rsidR="003406C9" w:rsidRPr="00CA1271">
        <w:t>5 </w:t>
      </w:r>
      <w:r w:rsidR="00D55DBD" w:rsidRPr="00CA1271">
        <w:t>March 2020, participants are required to give 10 business days’ notice for a cancellation if they want to avoid paying the full fee for a cancelled service. This change in the definition of short notice cancellations is for a six-month period (25 March 2020 to 25 September 2020), with an initial review at three months to determine if it continues to be appropriate. When reviewing, the NDIA will consider a range of factors, including the current status of the COVID-19 pandemic.</w:t>
      </w:r>
    </w:p>
    <w:p w:rsidR="00932DD6" w:rsidRPr="00CA1271" w:rsidRDefault="00932DD6" w:rsidP="00D55DBD">
      <w:pPr>
        <w:pStyle w:val="REcommendation"/>
        <w:ind w:left="2126" w:hanging="2126"/>
        <w:rPr>
          <w:b/>
        </w:rPr>
      </w:pPr>
      <w:r w:rsidRPr="00CA1271">
        <w:rPr>
          <w:b/>
        </w:rPr>
        <w:t>Cancellation Fees</w:t>
      </w:r>
    </w:p>
    <w:p w:rsidR="00932DD6" w:rsidRPr="00CA1271" w:rsidRDefault="0008512C" w:rsidP="00932DD6">
      <w:pPr>
        <w:pStyle w:val="REcommendation"/>
        <w:keepNext w:val="0"/>
        <w:numPr>
          <w:ilvl w:val="0"/>
          <w:numId w:val="0"/>
        </w:numPr>
        <w:ind w:left="851"/>
      </w:pPr>
      <w:r w:rsidRPr="00CA1271">
        <w:t>The NDIA</w:t>
      </w:r>
      <w:r w:rsidR="00932DD6" w:rsidRPr="00CA1271">
        <w:t xml:space="preserve"> should permanently amend the </w:t>
      </w:r>
      <w:r w:rsidR="00C4242B" w:rsidRPr="00CA1271">
        <w:t>claim</w:t>
      </w:r>
      <w:r w:rsidR="00932DD6" w:rsidRPr="00CA1271">
        <w:t xml:space="preserve">ing rules in the </w:t>
      </w:r>
      <w:r w:rsidR="00932DD6" w:rsidRPr="00CA1271">
        <w:rPr>
          <w:i/>
        </w:rPr>
        <w:t>NDIS Price Guide</w:t>
      </w:r>
      <w:r w:rsidR="00932DD6" w:rsidRPr="00CA1271">
        <w:t xml:space="preserve"> to allow providers to claim for 100</w:t>
      </w:r>
      <w:r w:rsidR="00E80A7C" w:rsidRPr="00CA1271">
        <w:t>%</w:t>
      </w:r>
      <w:r w:rsidR="00932DD6" w:rsidRPr="00CA1271">
        <w:t xml:space="preserve"> of the agreed fee for a short-notice cancellation.</w:t>
      </w:r>
    </w:p>
    <w:p w:rsidR="00932DD6" w:rsidRPr="00CA1271" w:rsidRDefault="00932DD6" w:rsidP="00932DD6">
      <w:pPr>
        <w:pStyle w:val="Heading3"/>
      </w:pPr>
      <w:r w:rsidRPr="00CA1271">
        <w:t>Provider Travel Rules</w:t>
      </w:r>
    </w:p>
    <w:p w:rsidR="00327F61" w:rsidRPr="00CA1271" w:rsidRDefault="00932DD6" w:rsidP="00327F61">
      <w:r w:rsidRPr="00CA1271">
        <w:t>The NDIA recognises that supports are often best delivered in the community or the participant’s own home. The price control arrangements therefore allow providers to charge for the time spent travelling to participants to deliver supports in some case.</w:t>
      </w:r>
      <w:r w:rsidR="00327F61" w:rsidRPr="00CA1271">
        <w:t xml:space="preserve"> The Review was required by its Terms of Reference to examine the current claiming rules for provider travel within the Scheme, including:</w:t>
      </w:r>
    </w:p>
    <w:p w:rsidR="00327F61" w:rsidRPr="00CA1271" w:rsidRDefault="00327F61" w:rsidP="00327F61">
      <w:pPr>
        <w:pStyle w:val="DotPoint"/>
      </w:pPr>
      <w:r w:rsidRPr="00CA1271">
        <w:t>Provider travel time limits, including examining whether it is possible to develop an approach that is more sensitive to local conditions; and</w:t>
      </w:r>
    </w:p>
    <w:p w:rsidR="00327F61" w:rsidRPr="00CA1271" w:rsidRDefault="00327F61" w:rsidP="00327F61">
      <w:pPr>
        <w:pStyle w:val="DotPoint"/>
      </w:pPr>
      <w:r w:rsidRPr="00CA1271">
        <w:t>Non-labour costs associated with provider travel.</w:t>
      </w:r>
    </w:p>
    <w:p w:rsidR="00932DD6" w:rsidRPr="00CA1271" w:rsidRDefault="00932DD6" w:rsidP="00932DD6">
      <w:r w:rsidRPr="00CA1271">
        <w:t xml:space="preserve">In general, the Review considers that, because </w:t>
      </w:r>
      <w:r w:rsidR="003406C9" w:rsidRPr="00CA1271">
        <w:t>t</w:t>
      </w:r>
      <w:r w:rsidRPr="00CA1271">
        <w:t>he Modified Monash Model geographical classification is based on distance from labour supply centres, it should form a reasonable basis for the time limits on provider travel, which are meant to encourage participants to access providers closer to them where possible. Indeed, the Review considers that the fundamental difficulty in the supply of services in outer regional, remote and very remote areas is the sparsity of participants requiring services and that this is a problem not best resolved through increasing price limits or provider travel time limits as these solutions do nothing to aggregate demand and ensure efficient delivery of services.</w:t>
      </w:r>
    </w:p>
    <w:p w:rsidR="00932DD6" w:rsidRPr="00CA1271" w:rsidRDefault="00932DD6" w:rsidP="00932DD6">
      <w:r w:rsidRPr="00CA1271">
        <w:t>The Review considers that there would be considerable advantages in the NDIS adopting a commissioning approach for the provision of travel funding to visiting service providers in outer regional, remote and very remote areas and other thin markets. This approach could ameliorate the need to commission other services, or assist in the commissioning of those services. It could also simplify the planning process</w:t>
      </w:r>
      <w:r w:rsidR="004F7314" w:rsidRPr="00CA1271">
        <w:t>,</w:t>
      </w:r>
      <w:r w:rsidRPr="00CA1271">
        <w:t xml:space="preserve"> as it would not be necessary for planners to work out travel amounts for plans.</w:t>
      </w:r>
    </w:p>
    <w:p w:rsidR="00932DD6" w:rsidRPr="00CA1271" w:rsidRDefault="00932DD6" w:rsidP="00932DD6">
      <w:r w:rsidRPr="00CA1271">
        <w:t xml:space="preserve">The Review recognises that providers incur significant non-labour costs associated with provider travel either because they maintain their own fleets or because they are required by the SCHADS Award </w:t>
      </w:r>
      <w:r w:rsidR="004128DF" w:rsidRPr="00CA1271">
        <w:t xml:space="preserve">to </w:t>
      </w:r>
      <w:r w:rsidRPr="00CA1271">
        <w:t>reimburse their employees when they use their own cars to deliver supports to participants. These costs can either be recognised within the overheads of providers or as a separate expense similar to the arrangements for non-labour costs of Activity Based Transport. On balance, the Review considers that it is more appropriate to recognise these costs as they occur</w:t>
      </w:r>
      <w:r w:rsidR="00BD14D1" w:rsidRPr="00CA1271">
        <w:t xml:space="preserve"> rather than as part of the provider’s overhead</w:t>
      </w:r>
      <w:r w:rsidRPr="00CA1271">
        <w:t>, since they are not evenly distributed between providers. Recognising these costs separately also ensures that providers do not have an incentive to cut community based supports in order to lower their overheads.</w:t>
      </w:r>
    </w:p>
    <w:p w:rsidR="00932DD6" w:rsidRPr="00CA1271" w:rsidRDefault="00932DD6" w:rsidP="008E6A7F">
      <w:pPr>
        <w:pStyle w:val="REcommendation"/>
        <w:ind w:left="2126" w:hanging="2126"/>
        <w:rPr>
          <w:b/>
        </w:rPr>
      </w:pPr>
      <w:r w:rsidRPr="00CA1271">
        <w:rPr>
          <w:b/>
        </w:rPr>
        <w:t>Provider Travel</w:t>
      </w:r>
    </w:p>
    <w:p w:rsidR="00932DD6" w:rsidRPr="00CA1271" w:rsidRDefault="00B10EF0" w:rsidP="007A045B">
      <w:pPr>
        <w:pStyle w:val="REcommendation"/>
        <w:keepNext w:val="0"/>
        <w:numPr>
          <w:ilvl w:val="1"/>
          <w:numId w:val="11"/>
        </w:numPr>
      </w:pPr>
      <w:r w:rsidRPr="00CA1271">
        <w:t>T</w:t>
      </w:r>
      <w:r w:rsidR="00932DD6" w:rsidRPr="00CA1271">
        <w:t xml:space="preserve">he </w:t>
      </w:r>
      <w:r w:rsidR="00932DD6" w:rsidRPr="00CA1271">
        <w:rPr>
          <w:i/>
        </w:rPr>
        <w:t>NDIS Price Guide</w:t>
      </w:r>
      <w:r w:rsidR="00932DD6" w:rsidRPr="00CA1271">
        <w:t xml:space="preserve"> and the </w:t>
      </w:r>
      <w:r w:rsidR="00932DD6" w:rsidRPr="00CA1271">
        <w:rPr>
          <w:i/>
        </w:rPr>
        <w:t>NDIS Support Catalogue</w:t>
      </w:r>
      <w:r w:rsidR="00932DD6" w:rsidRPr="00CA1271">
        <w:t xml:space="preserve"> should be amended from </w:t>
      </w:r>
      <w:r w:rsidRPr="00CA1271">
        <w:t>1 </w:t>
      </w:r>
      <w:r w:rsidR="00932DD6" w:rsidRPr="00CA1271">
        <w:t>July 2020 so that providers can claim for the non-labour costs associated with provider travel in line with the activity based transport arrangements.</w:t>
      </w:r>
      <w:r w:rsidR="004B10C1" w:rsidRPr="00CA1271">
        <w:t xml:space="preserve"> Claims should only be able to be made for the non-labour costs associated with provider travel where the rules governing provider travel allow a claim for provider travel to be made.</w:t>
      </w:r>
    </w:p>
    <w:p w:rsidR="00932DD6" w:rsidRPr="00CA1271" w:rsidRDefault="0008512C" w:rsidP="007A045B">
      <w:pPr>
        <w:pStyle w:val="REcommendation"/>
        <w:keepNext w:val="0"/>
        <w:numPr>
          <w:ilvl w:val="1"/>
          <w:numId w:val="11"/>
        </w:numPr>
      </w:pPr>
      <w:r w:rsidRPr="00CA1271">
        <w:t>The NDIA</w:t>
      </w:r>
      <w:r w:rsidR="00932DD6" w:rsidRPr="00CA1271">
        <w:t xml:space="preserve"> should </w:t>
      </w:r>
      <w:r w:rsidR="00B10EF0" w:rsidRPr="00CA1271">
        <w:t>further examine the option of the</w:t>
      </w:r>
      <w:r w:rsidR="00932DD6" w:rsidRPr="00CA1271">
        <w:t xml:space="preserve"> commissioning of </w:t>
      </w:r>
      <w:r w:rsidR="00971030" w:rsidRPr="00CA1271">
        <w:t>t</w:t>
      </w:r>
      <w:r w:rsidR="00932DD6" w:rsidRPr="00CA1271">
        <w:t>ravel broker arrangement</w:t>
      </w:r>
      <w:r w:rsidR="00971030" w:rsidRPr="00CA1271">
        <w:t>s</w:t>
      </w:r>
      <w:r w:rsidR="00B10EF0" w:rsidRPr="00CA1271">
        <w:t xml:space="preserve"> </w:t>
      </w:r>
      <w:r w:rsidR="00932DD6" w:rsidRPr="00CA1271">
        <w:t>to coordinate participants and providers and pay for travel costs.</w:t>
      </w:r>
    </w:p>
    <w:p w:rsidR="00932DD6" w:rsidRPr="00CA1271" w:rsidRDefault="00932DD6" w:rsidP="00932DD6">
      <w:pPr>
        <w:pStyle w:val="Heading3"/>
      </w:pPr>
      <w:r w:rsidRPr="00CA1271">
        <w:t>Establishment Fees</w:t>
      </w:r>
    </w:p>
    <w:p w:rsidR="00327F61" w:rsidRPr="00CA1271" w:rsidRDefault="00327F61" w:rsidP="00327F61">
      <w:r w:rsidRPr="00CA1271">
        <w:t>The Review was required by its Terms of Reference to examine the current arrangements for Establishment Fees within the Scheme.</w:t>
      </w:r>
    </w:p>
    <w:p w:rsidR="00932DD6" w:rsidRPr="00CA1271" w:rsidRDefault="00932DD6" w:rsidP="00932DD6">
      <w:r w:rsidRPr="00CA1271">
        <w:t xml:space="preserve">NDIS providers who are providing a significant amount (at least 20 hours per month) of daily activity and community participation supports to a participant are permitted to charge that participant’s plan an Establishment Fee when they commence providing services to the participant. This recognises the non-ongoing and not otherwise </w:t>
      </w:r>
      <w:r w:rsidR="00C4242B" w:rsidRPr="00CA1271">
        <w:t>claim</w:t>
      </w:r>
      <w:r w:rsidRPr="00CA1271">
        <w:t>able costs that providers incur in establishing arrangements and assisting participants in implementing their plan, including assessing the participant’s needs, agreeing a service agreement with the participant and setting up service bookings in the NDIA system.</w:t>
      </w:r>
    </w:p>
    <w:p w:rsidR="00932DD6" w:rsidRPr="00CA1271" w:rsidRDefault="00932DD6" w:rsidP="00932DD6">
      <w:r w:rsidRPr="00CA1271">
        <w:t>In 2018-19, Establishment Fees were claimed in respect of 17,157 participants, at a total cost of $6.39 million (19,357 total individual claims). Establishment Fees were claimed by 984 different providers in 2018-19. Some 88 providers claimed 50</w:t>
      </w:r>
      <w:r w:rsidR="004F7314" w:rsidRPr="00CA1271">
        <w:t xml:space="preserve"> or more</w:t>
      </w:r>
      <w:r w:rsidRPr="00CA1271">
        <w:t xml:space="preserve"> Establishment Fees. These providers accounted for 54.3</w:t>
      </w:r>
      <w:r w:rsidR="00E80A7C" w:rsidRPr="00CA1271">
        <w:t>%</w:t>
      </w:r>
      <w:r w:rsidRPr="00CA1271">
        <w:t xml:space="preserve"> of the total number of Establishment Fees claimed by providers and for 51.8</w:t>
      </w:r>
      <w:r w:rsidR="00E80A7C" w:rsidRPr="00CA1271">
        <w:t>%</w:t>
      </w:r>
      <w:r w:rsidRPr="00CA1271">
        <w:t xml:space="preserve"> of the total value of all Establishment Fees claimed by providers ($3.3 million of $6.39 million).</w:t>
      </w:r>
    </w:p>
    <w:p w:rsidR="00932DD6" w:rsidRPr="00CA1271" w:rsidRDefault="00932DD6" w:rsidP="00932DD6">
      <w:r w:rsidRPr="00CA1271">
        <w:t>The Review has identified some technical deficiencies in the current arrangements</w:t>
      </w:r>
      <w:r w:rsidR="004F7314" w:rsidRPr="00CA1271">
        <w:t>,</w:t>
      </w:r>
      <w:r w:rsidRPr="00CA1271">
        <w:t xml:space="preserve"> which prevent some providers from claiming the Establishment Fees that they should have been able to claim. The Review also considers that Establishment Fees should be able to be claimed from a participant’s plan in second and subsequent plans if they choose to change providers. This will also help empower participants w</w:t>
      </w:r>
      <w:r w:rsidR="00026096" w:rsidRPr="00CA1271">
        <w:t>ithin the NDIS provider market.</w:t>
      </w:r>
    </w:p>
    <w:p w:rsidR="00932DD6" w:rsidRPr="00CA1271" w:rsidRDefault="00932DD6" w:rsidP="00932DD6">
      <w:r w:rsidRPr="00CA1271">
        <w:t xml:space="preserve">Finally, the Review considers that the current level of the Establishment Fee is </w:t>
      </w:r>
      <w:r w:rsidR="005215B6" w:rsidRPr="00CA1271">
        <w:t>appropriate</w:t>
      </w:r>
      <w:r w:rsidRPr="00CA1271">
        <w:t xml:space="preserve">, but that it would be better expressed through a link to the standard hourly rate of Disability Support Worker support items. </w:t>
      </w:r>
    </w:p>
    <w:p w:rsidR="00932DD6" w:rsidRPr="00CA1271" w:rsidRDefault="00932DD6" w:rsidP="00220FD9">
      <w:pPr>
        <w:pStyle w:val="REcommendation"/>
        <w:ind w:left="2126" w:hanging="2126"/>
        <w:rPr>
          <w:b/>
        </w:rPr>
      </w:pPr>
      <w:r w:rsidRPr="00CA1271">
        <w:rPr>
          <w:b/>
        </w:rPr>
        <w:t>Establishment Fees</w:t>
      </w:r>
    </w:p>
    <w:p w:rsidR="00932DD6" w:rsidRPr="00CA1271" w:rsidRDefault="0008512C" w:rsidP="007A045B">
      <w:pPr>
        <w:pStyle w:val="REcommendation"/>
        <w:keepNext w:val="0"/>
        <w:numPr>
          <w:ilvl w:val="1"/>
          <w:numId w:val="11"/>
        </w:numPr>
      </w:pPr>
      <w:r w:rsidRPr="00CA1271">
        <w:t>The NDIA</w:t>
      </w:r>
      <w:r w:rsidR="00932DD6" w:rsidRPr="00CA1271">
        <w:t xml:space="preserve"> should</w:t>
      </w:r>
      <w:r w:rsidR="004F7314" w:rsidRPr="00CA1271">
        <w:t xml:space="preserve"> amend</w:t>
      </w:r>
      <w:r w:rsidR="00932DD6" w:rsidRPr="00CA1271">
        <w:t xml:space="preserve"> the current Establishment Fee arrangements in the </w:t>
      </w:r>
      <w:r w:rsidR="00932DD6" w:rsidRPr="00CA1271">
        <w:rPr>
          <w:i/>
        </w:rPr>
        <w:t>NDIS Price Guide</w:t>
      </w:r>
      <w:r w:rsidR="00932DD6" w:rsidRPr="00CA1271">
        <w:t xml:space="preserve"> so that:</w:t>
      </w:r>
    </w:p>
    <w:p w:rsidR="00932DD6" w:rsidRPr="00CA1271" w:rsidRDefault="00932DD6" w:rsidP="007A045B">
      <w:pPr>
        <w:pStyle w:val="REcommendation"/>
        <w:keepNext w:val="0"/>
        <w:numPr>
          <w:ilvl w:val="2"/>
          <w:numId w:val="11"/>
        </w:numPr>
      </w:pPr>
      <w:r w:rsidRPr="00CA1271">
        <w:t xml:space="preserve">An Establishment Fee to assist with </w:t>
      </w:r>
      <w:r w:rsidR="00220FD9" w:rsidRPr="00CA1271">
        <w:t xml:space="preserve">the </w:t>
      </w:r>
      <w:r w:rsidRPr="00CA1271">
        <w:t xml:space="preserve">non-ongoing costs </w:t>
      </w:r>
      <w:r w:rsidR="00220FD9" w:rsidRPr="00CA1271">
        <w:t xml:space="preserve">of </w:t>
      </w:r>
      <w:r w:rsidRPr="00CA1271">
        <w:t>establishing arrangements and assisting participants in implementing their plan is claimable from a participant’s plan by a provider who:</w:t>
      </w:r>
    </w:p>
    <w:p w:rsidR="00932DD6" w:rsidRPr="00CA1271" w:rsidRDefault="00932DD6" w:rsidP="007A045B">
      <w:pPr>
        <w:pStyle w:val="REcommendation"/>
        <w:keepNext w:val="0"/>
        <w:numPr>
          <w:ilvl w:val="3"/>
          <w:numId w:val="11"/>
        </w:numPr>
      </w:pPr>
      <w:r w:rsidRPr="00CA1271">
        <w:t xml:space="preserve">is in one or more of the Registration Groups </w:t>
      </w:r>
      <w:r w:rsidR="004F7314" w:rsidRPr="00CA1271">
        <w:t xml:space="preserve">0104 </w:t>
      </w:r>
      <w:r w:rsidRPr="00CA1271">
        <w:t xml:space="preserve">(High Intensity Daily Personal Activities), </w:t>
      </w:r>
      <w:r w:rsidR="004F7314" w:rsidRPr="00CA1271">
        <w:t xml:space="preserve">0107 (Daily Personal Activities), </w:t>
      </w:r>
      <w:r w:rsidRPr="00CA1271">
        <w:t>0125 (Participation in community, social and civic activities) and 0136 (Group and Centre Based Activities);</w:t>
      </w:r>
    </w:p>
    <w:p w:rsidR="00932DD6" w:rsidRPr="00CA1271" w:rsidRDefault="00932DD6" w:rsidP="007A045B">
      <w:pPr>
        <w:pStyle w:val="REcommendation"/>
        <w:keepNext w:val="0"/>
        <w:numPr>
          <w:ilvl w:val="3"/>
          <w:numId w:val="11"/>
        </w:numPr>
      </w:pPr>
      <w:r w:rsidRPr="00CA1271">
        <w:t xml:space="preserve">has made an agreement with the participant to supply at least 20 hours of support </w:t>
      </w:r>
      <w:r w:rsidRPr="00CA1271">
        <w:softHyphen/>
      </w:r>
      <w:r w:rsidRPr="00CA1271">
        <w:softHyphen/>
        <w:t>– in Support Categories 1 (Assistance with Daily Life) and/or Support Category 4 (Assistance with Social and Community Participation) – to the participant per month for the duration of the plan;</w:t>
      </w:r>
    </w:p>
    <w:p w:rsidR="00932DD6" w:rsidRPr="00CA1271" w:rsidRDefault="00932DD6" w:rsidP="007A045B">
      <w:pPr>
        <w:pStyle w:val="REcommendation"/>
        <w:keepNext w:val="0"/>
        <w:numPr>
          <w:ilvl w:val="3"/>
          <w:numId w:val="11"/>
        </w:numPr>
      </w:pPr>
      <w:proofErr w:type="gramStart"/>
      <w:r w:rsidRPr="00CA1271">
        <w:t>assists</w:t>
      </w:r>
      <w:proofErr w:type="gramEnd"/>
      <w:r w:rsidRPr="00CA1271">
        <w:t xml:space="preserve"> the participant with the implementation of their NDIS Plan.</w:t>
      </w:r>
    </w:p>
    <w:p w:rsidR="00932DD6" w:rsidRPr="00CA1271" w:rsidRDefault="00932DD6" w:rsidP="007A045B">
      <w:pPr>
        <w:pStyle w:val="REcommendation"/>
        <w:keepNext w:val="0"/>
        <w:numPr>
          <w:ilvl w:val="2"/>
          <w:numId w:val="11"/>
        </w:numPr>
      </w:pPr>
      <w:r w:rsidRPr="00CA1271">
        <w:t>Each provider can only claim an Establishment Fee in respect of a participant once across all plans</w:t>
      </w:r>
      <w:r w:rsidR="004F7314" w:rsidRPr="00CA1271">
        <w:t>.</w:t>
      </w:r>
    </w:p>
    <w:p w:rsidR="00932DD6" w:rsidRPr="00CA1271" w:rsidRDefault="00932DD6" w:rsidP="007A045B">
      <w:pPr>
        <w:pStyle w:val="REcommendation"/>
        <w:keepNext w:val="0"/>
        <w:numPr>
          <w:ilvl w:val="2"/>
          <w:numId w:val="11"/>
        </w:numPr>
      </w:pPr>
      <w:r w:rsidRPr="00CA1271">
        <w:t xml:space="preserve">More than one provider is able to </w:t>
      </w:r>
      <w:r w:rsidR="00C4242B" w:rsidRPr="00CA1271">
        <w:t>claim</w:t>
      </w:r>
      <w:r w:rsidRPr="00CA1271">
        <w:t xml:space="preserve"> for an Establishment Fee against a given plan provided each provider meets the other criteria above.</w:t>
      </w:r>
    </w:p>
    <w:p w:rsidR="00932DD6" w:rsidRPr="00CA1271" w:rsidRDefault="00932DD6" w:rsidP="007A045B">
      <w:pPr>
        <w:pStyle w:val="REcommendation"/>
        <w:keepNext w:val="0"/>
        <w:numPr>
          <w:ilvl w:val="2"/>
          <w:numId w:val="11"/>
        </w:numPr>
      </w:pPr>
      <w:r w:rsidRPr="00CA1271">
        <w:t xml:space="preserve">The amount of the Establishment Fee should be negotiated by the participant and the provider but cannot be greater than an amount equal to ten times the hourly weekday price limit for a disability support worker as determined by the Standard </w:t>
      </w:r>
      <w:r w:rsidR="00170F62" w:rsidRPr="00CA1271">
        <w:t>NDIS Disability Support Worker Cost Model</w:t>
      </w:r>
      <w:r w:rsidRPr="00CA1271">
        <w:t xml:space="preserve"> with the standard parameters ($528.50 in 2019-20).</w:t>
      </w:r>
    </w:p>
    <w:p w:rsidR="00932DD6" w:rsidRPr="00CA1271" w:rsidRDefault="0008512C" w:rsidP="007A045B">
      <w:pPr>
        <w:pStyle w:val="REcommendation"/>
        <w:keepNext w:val="0"/>
        <w:numPr>
          <w:ilvl w:val="1"/>
          <w:numId w:val="11"/>
        </w:numPr>
      </w:pPr>
      <w:r w:rsidRPr="00CA1271">
        <w:t>The NDIA</w:t>
      </w:r>
      <w:r w:rsidR="00932DD6" w:rsidRPr="00CA1271">
        <w:t xml:space="preserve"> should add several price-limited support items to the </w:t>
      </w:r>
      <w:r w:rsidR="00932DD6" w:rsidRPr="00CA1271">
        <w:rPr>
          <w:i/>
        </w:rPr>
        <w:t>NDIS Support Catalogue</w:t>
      </w:r>
      <w:r w:rsidR="00932DD6" w:rsidRPr="00CA1271">
        <w:t xml:space="preserve"> to allow providers in the Registration Groups 0104 (High Intensity Daily Personal Activities, </w:t>
      </w:r>
      <w:r w:rsidR="004F7314" w:rsidRPr="00CA1271">
        <w:t xml:space="preserve">0107 (Daily Personal Activities), </w:t>
      </w:r>
      <w:r w:rsidR="00932DD6" w:rsidRPr="00CA1271">
        <w:t>0125 (Participation in communit</w:t>
      </w:r>
      <w:r w:rsidR="00220FD9" w:rsidRPr="00CA1271">
        <w:t>y, social and civic activities)</w:t>
      </w:r>
      <w:r w:rsidR="00932DD6" w:rsidRPr="00CA1271">
        <w:t xml:space="preserve"> and 0136 (Group and Centre Based Activities) who are delivering services in Support Categories 1 (Assistance with Daily Life) and/or Support Category 4 (Assistance with Social and Community Participation) to be able to claim Establishment Fees and Maintenance Establishment Fees.</w:t>
      </w:r>
    </w:p>
    <w:p w:rsidR="00F64B52" w:rsidRPr="00CA1271" w:rsidRDefault="00F64B52" w:rsidP="002A437A"/>
    <w:p w:rsidR="00F64B52" w:rsidRPr="00CA1271" w:rsidRDefault="00F64B52" w:rsidP="00F35C26">
      <w:pPr>
        <w:pStyle w:val="Heading1"/>
        <w:numPr>
          <w:ilvl w:val="0"/>
          <w:numId w:val="5"/>
        </w:numPr>
        <w:ind w:left="567" w:hanging="567"/>
        <w:sectPr w:rsidR="00F64B52" w:rsidRPr="00CA1271" w:rsidSect="00CA5B7E">
          <w:headerReference w:type="default" r:id="rId13"/>
          <w:type w:val="oddPage"/>
          <w:pgSz w:w="11907" w:h="16839" w:code="9"/>
          <w:pgMar w:top="1418" w:right="1418" w:bottom="1418" w:left="1418" w:header="709" w:footer="709" w:gutter="0"/>
          <w:cols w:space="708"/>
          <w:titlePg/>
          <w:docGrid w:linePitch="360"/>
        </w:sectPr>
      </w:pPr>
    </w:p>
    <w:p w:rsidR="00CE091F" w:rsidRPr="00CA1271" w:rsidRDefault="00520EA3" w:rsidP="00F35C26">
      <w:pPr>
        <w:pStyle w:val="Heading1"/>
        <w:ind w:left="567" w:hanging="567"/>
      </w:pPr>
      <w:bookmarkStart w:id="10" w:name="_Toc42014714"/>
      <w:r w:rsidRPr="00CA1271">
        <w:t>Introduction</w:t>
      </w:r>
      <w:bookmarkEnd w:id="10"/>
    </w:p>
    <w:p w:rsidR="00520EA3" w:rsidRPr="00CA1271" w:rsidRDefault="00520EA3" w:rsidP="002A437A">
      <w:r w:rsidRPr="00CA1271">
        <w:t>The National Dis</w:t>
      </w:r>
      <w:r w:rsidR="00EB0074" w:rsidRPr="00CA1271">
        <w:t>ability Insurance Agency (NDIA</w:t>
      </w:r>
      <w:r w:rsidRPr="00CA1271">
        <w:t xml:space="preserve">) has responsibility for administering the </w:t>
      </w:r>
      <w:r w:rsidR="003D1CFA" w:rsidRPr="00CA1271">
        <w:t>National Disability Insurance Scheme (NDIS)</w:t>
      </w:r>
      <w:r w:rsidRPr="00CA1271">
        <w:t xml:space="preserve">, including </w:t>
      </w:r>
      <w:r w:rsidR="003C6C7D" w:rsidRPr="00CA1271">
        <w:t xml:space="preserve">managing </w:t>
      </w:r>
      <w:r w:rsidRPr="00CA1271">
        <w:t>the markets for</w:t>
      </w:r>
      <w:r w:rsidR="00BF4E99" w:rsidRPr="00CA1271">
        <w:t xml:space="preserve"> disability goods and services. </w:t>
      </w:r>
      <w:r w:rsidRPr="00CA1271">
        <w:t xml:space="preserve">As part of its market stewardship role, the NDIA </w:t>
      </w:r>
      <w:r w:rsidR="002F51A0" w:rsidRPr="00CA1271">
        <w:t>limit</w:t>
      </w:r>
      <w:r w:rsidRPr="00CA1271">
        <w:t>s the prices that registered providers can charge for some supports and applies other price controls, including rules</w:t>
      </w:r>
      <w:r w:rsidR="00193D3E" w:rsidRPr="00CA1271">
        <w:t xml:space="preserve"> about the circumstances in which providers can claim payments from the NDIA for supports that they have delivered</w:t>
      </w:r>
      <w:r w:rsidRPr="00CA1271">
        <w:t xml:space="preserve">. During transition, price controls are in place to ensure that participants receive value for money in the supports that they receive. In the short to medium term, price controls are required for some disability supports because the markets for disability goods and services are not yet fully developed. The longer-term goal of the NDIA is to remove </w:t>
      </w:r>
      <w:r w:rsidR="00067E8C" w:rsidRPr="00CA1271">
        <w:t xml:space="preserve">the </w:t>
      </w:r>
      <w:r w:rsidR="00F15311" w:rsidRPr="00CA1271">
        <w:t xml:space="preserve">need for price controls </w:t>
      </w:r>
      <w:r w:rsidRPr="00CA1271">
        <w:t xml:space="preserve">for disability supports. </w:t>
      </w:r>
    </w:p>
    <w:p w:rsidR="00556048" w:rsidRPr="00CA1271" w:rsidRDefault="00EB0074" w:rsidP="002A437A">
      <w:r w:rsidRPr="00CA1271">
        <w:t>The</w:t>
      </w:r>
      <w:r w:rsidR="00696BE9" w:rsidRPr="00CA1271">
        <w:t xml:space="preserve"> NDIA has recently published the</w:t>
      </w:r>
      <w:r w:rsidRPr="00CA1271">
        <w:t xml:space="preserve"> </w:t>
      </w:r>
      <w:r w:rsidRPr="00CA1271">
        <w:rPr>
          <w:i/>
        </w:rPr>
        <w:t xml:space="preserve">NDIS Pricing Strategy </w:t>
      </w:r>
      <w:r w:rsidR="00696BE9" w:rsidRPr="00CA1271">
        <w:t xml:space="preserve">and the </w:t>
      </w:r>
      <w:r w:rsidR="00696BE9" w:rsidRPr="00CA1271">
        <w:rPr>
          <w:i/>
        </w:rPr>
        <w:t>Review of</w:t>
      </w:r>
      <w:r w:rsidR="00696BE9" w:rsidRPr="00CA1271">
        <w:t xml:space="preserve"> </w:t>
      </w:r>
      <w:r w:rsidR="00696BE9" w:rsidRPr="00CA1271">
        <w:rPr>
          <w:i/>
        </w:rPr>
        <w:t>Therapy Pricing Arrangements</w:t>
      </w:r>
      <w:r w:rsidR="002F51A0" w:rsidRPr="00CA1271">
        <w:rPr>
          <w:i/>
        </w:rPr>
        <w:t>.</w:t>
      </w:r>
      <w:r w:rsidR="00B77140" w:rsidRPr="00CA1271">
        <w:rPr>
          <w:rStyle w:val="FootnoteReference"/>
        </w:rPr>
        <w:footnoteReference w:id="1"/>
      </w:r>
      <w:r w:rsidR="002F51A0" w:rsidRPr="00CA1271">
        <w:rPr>
          <w:i/>
        </w:rPr>
        <w:t xml:space="preserve"> </w:t>
      </w:r>
      <w:r w:rsidR="002F51A0" w:rsidRPr="00CA1271">
        <w:t>T</w:t>
      </w:r>
      <w:r w:rsidR="00696BE9" w:rsidRPr="00CA1271">
        <w:t xml:space="preserve">ogether </w:t>
      </w:r>
      <w:r w:rsidR="002F51A0" w:rsidRPr="00CA1271">
        <w:t xml:space="preserve">they </w:t>
      </w:r>
      <w:r w:rsidR="00696BE9" w:rsidRPr="00CA1271">
        <w:t xml:space="preserve">detail </w:t>
      </w:r>
      <w:r w:rsidRPr="00CA1271">
        <w:t xml:space="preserve">the important role that pricing plays in the NDIS </w:t>
      </w:r>
      <w:r w:rsidR="002F51A0" w:rsidRPr="00CA1271">
        <w:t>by</w:t>
      </w:r>
      <w:r w:rsidRPr="00CA1271">
        <w:t xml:space="preserve"> empowering people supported by the NDIS to exercise choice and control; maintaining and expanding the supply of high quality disability supports; driving efficiency and innovation in the market for those supports; and supporting the transition of the NDIS over the longer term to a more dere</w:t>
      </w:r>
      <w:r w:rsidR="00696BE9" w:rsidRPr="00CA1271">
        <w:t>gulated outcomes-based approach.</w:t>
      </w:r>
      <w:r w:rsidR="00193D3E" w:rsidRPr="00CA1271">
        <w:t xml:space="preserve"> </w:t>
      </w:r>
      <w:r w:rsidR="00556048" w:rsidRPr="00CA1271">
        <w:t>Currently, the NDIA varies its approach to the regulation of prices, depending on market conditions, between:</w:t>
      </w:r>
    </w:p>
    <w:p w:rsidR="00556048" w:rsidRPr="00CA1271" w:rsidRDefault="00556048" w:rsidP="00B77140">
      <w:pPr>
        <w:pStyle w:val="DotPoint"/>
        <w:ind w:left="568"/>
      </w:pPr>
      <w:r w:rsidRPr="00CA1271">
        <w:rPr>
          <w:b/>
        </w:rPr>
        <w:t>No regulation</w:t>
      </w:r>
      <w:r w:rsidRPr="00CA1271">
        <w:t xml:space="preserve"> (deregulated markets): this is typically used in cases where markets are highly competitive – for example, transport.</w:t>
      </w:r>
    </w:p>
    <w:p w:rsidR="00BF4E99" w:rsidRPr="00CA1271" w:rsidRDefault="00556048" w:rsidP="00BF4E99">
      <w:pPr>
        <w:pStyle w:val="DotPoint"/>
        <w:ind w:left="568"/>
      </w:pPr>
      <w:r w:rsidRPr="00CA1271">
        <w:rPr>
          <w:b/>
        </w:rPr>
        <w:t xml:space="preserve">The imposition of price </w:t>
      </w:r>
      <w:r w:rsidR="002F51A0" w:rsidRPr="00CA1271">
        <w:rPr>
          <w:b/>
        </w:rPr>
        <w:t>limit</w:t>
      </w:r>
      <w:r w:rsidRPr="00CA1271">
        <w:rPr>
          <w:b/>
        </w:rPr>
        <w:t>s</w:t>
      </w:r>
      <w:r w:rsidRPr="00CA1271">
        <w:t>: this represents a maximum allowable price payable by participants for types of supports. This approach is used in a significant number of markets, which are still developing and growing, such as those for attendant care.</w:t>
      </w:r>
      <w:r w:rsidR="00BF4E99" w:rsidRPr="00CA1271">
        <w:t xml:space="preserve"> The price control arrangements for the NDIS are set out in the </w:t>
      </w:r>
      <w:r w:rsidR="00BF4E99" w:rsidRPr="00CA1271">
        <w:rPr>
          <w:i/>
        </w:rPr>
        <w:t>NDIS Price Guide</w:t>
      </w:r>
      <w:r w:rsidR="00BF4E99" w:rsidRPr="00CA1271">
        <w:t xml:space="preserve"> and the </w:t>
      </w:r>
      <w:r w:rsidR="00BF4E99" w:rsidRPr="00CA1271">
        <w:rPr>
          <w:i/>
        </w:rPr>
        <w:t>NDIS Support Catalogue</w:t>
      </w:r>
      <w:r w:rsidR="00BF4E99" w:rsidRPr="00CA1271">
        <w:t>.</w:t>
      </w:r>
      <w:r w:rsidR="00BF4E99" w:rsidRPr="00CA1271">
        <w:rPr>
          <w:rStyle w:val="FootnoteReference"/>
        </w:rPr>
        <w:footnoteReference w:id="2"/>
      </w:r>
    </w:p>
    <w:p w:rsidR="00556048" w:rsidRPr="00CA1271" w:rsidRDefault="00556048" w:rsidP="00B77140">
      <w:pPr>
        <w:pStyle w:val="DotPoint"/>
        <w:ind w:left="568"/>
      </w:pPr>
      <w:r w:rsidRPr="00CA1271">
        <w:rPr>
          <w:b/>
        </w:rPr>
        <w:t>Quotable supports</w:t>
      </w:r>
      <w:r w:rsidRPr="00CA1271">
        <w:t xml:space="preserve">: in which participants are expected to obtain quotations from suppliers to provide to the NDIA as part of verifying that prices are fair and reasonable. </w:t>
      </w:r>
    </w:p>
    <w:p w:rsidR="00520EA3" w:rsidRPr="00CA1271" w:rsidRDefault="00520EA3" w:rsidP="002A437A">
      <w:r w:rsidRPr="00CA1271">
        <w:t xml:space="preserve">The NDIA continually monitors and reviews its price control framework and other market settings to determine whether they are still appropriate. </w:t>
      </w:r>
      <w:r w:rsidR="00696BE9" w:rsidRPr="00CA1271">
        <w:t xml:space="preserve">The NDIA is also committed to improvement of the methodologies underpinning the NDIS price control framework. </w:t>
      </w:r>
      <w:r w:rsidRPr="00CA1271">
        <w:t xml:space="preserve">Each year the NDIA undertakes an </w:t>
      </w:r>
      <w:r w:rsidR="0000645A" w:rsidRPr="00CA1271">
        <w:t>Annual Pricing Review</w:t>
      </w:r>
      <w:r w:rsidRPr="00CA1271">
        <w:t xml:space="preserve"> as an important part of that monitoring and review. </w:t>
      </w:r>
      <w:r w:rsidR="00483FA4" w:rsidRPr="00CA1271">
        <w:t>The</w:t>
      </w:r>
      <w:r w:rsidR="008343F7" w:rsidRPr="00CA1271">
        <w:t xml:space="preserve"> terms of reference of the </w:t>
      </w:r>
      <w:r w:rsidR="0000645A" w:rsidRPr="00CA1271">
        <w:t>Annual Pricing Review</w:t>
      </w:r>
      <w:r w:rsidR="008343F7" w:rsidRPr="00CA1271">
        <w:t xml:space="preserve"> 2020-21</w:t>
      </w:r>
      <w:r w:rsidR="00B77140" w:rsidRPr="00CA1271">
        <w:t xml:space="preserve"> are set out below</w:t>
      </w:r>
      <w:r w:rsidR="008343F7" w:rsidRPr="00CA1271">
        <w:t>.</w:t>
      </w:r>
    </w:p>
    <w:p w:rsidR="00520EA3" w:rsidRPr="00CA1271" w:rsidRDefault="000F6289" w:rsidP="002A437A">
      <w:pPr>
        <w:pStyle w:val="Heading2"/>
      </w:pPr>
      <w:bookmarkStart w:id="11" w:name="_Toc42014715"/>
      <w:r w:rsidRPr="00CA1271">
        <w:t>Terms of Reference</w:t>
      </w:r>
      <w:bookmarkEnd w:id="11"/>
    </w:p>
    <w:p w:rsidR="00520EA3" w:rsidRPr="00F30779" w:rsidRDefault="00520EA3" w:rsidP="003F4A0C">
      <w:pPr>
        <w:pStyle w:val="TieredDotPoints"/>
        <w:numPr>
          <w:ilvl w:val="0"/>
          <w:numId w:val="3"/>
        </w:numPr>
      </w:pPr>
      <w:r w:rsidRPr="00CA1271">
        <w:t xml:space="preserve">The </w:t>
      </w:r>
      <w:r w:rsidR="0000645A" w:rsidRPr="00CA1271">
        <w:t>Annual Pricing Review</w:t>
      </w:r>
      <w:r w:rsidR="0014275F" w:rsidRPr="00CA1271">
        <w:t xml:space="preserve"> 2020-21 (the Review) </w:t>
      </w:r>
      <w:r w:rsidRPr="00CA1271">
        <w:t xml:space="preserve">will examine, through research and consultation with industry, community and government stakeholders, whether the existing price control framework and other market settings under the NDIS continue to be </w:t>
      </w:r>
      <w:r w:rsidRPr="00F30779">
        <w:t xml:space="preserve">appropriate or should be modified. </w:t>
      </w:r>
    </w:p>
    <w:p w:rsidR="00520EA3" w:rsidRPr="00F30779" w:rsidRDefault="00520EA3" w:rsidP="003F4A0C">
      <w:pPr>
        <w:pStyle w:val="TieredDotPoints"/>
        <w:numPr>
          <w:ilvl w:val="0"/>
          <w:numId w:val="3"/>
        </w:numPr>
      </w:pPr>
      <w:r w:rsidRPr="00F30779">
        <w:t>In particular, the Review will:</w:t>
      </w:r>
    </w:p>
    <w:p w:rsidR="008F3A66" w:rsidRPr="00F30779" w:rsidRDefault="008F3A66" w:rsidP="00B77140">
      <w:pPr>
        <w:pStyle w:val="TieredDotPoints"/>
      </w:pPr>
      <w:r w:rsidRPr="00F30779">
        <w:t>Review the price control framework to increase flexibility for participants and reduce administrative burdens for providers (see Chapter</w:t>
      </w:r>
      <w:r w:rsidR="00A92A6F" w:rsidRPr="00F30779">
        <w:t xml:space="preserve"> </w:t>
      </w:r>
      <w:r w:rsidR="00A92A6F" w:rsidRPr="00F30779">
        <w:fldChar w:fldCharType="begin"/>
      </w:r>
      <w:r w:rsidR="00A92A6F" w:rsidRPr="00F30779">
        <w:instrText xml:space="preserve"> REF _Ref42687670 \w \h </w:instrText>
      </w:r>
      <w:r w:rsidR="00B7154E" w:rsidRPr="00F30779">
        <w:instrText xml:space="preserve"> \* MERGEFORMAT </w:instrText>
      </w:r>
      <w:r w:rsidR="00A92A6F" w:rsidRPr="00F30779">
        <w:fldChar w:fldCharType="separate"/>
      </w:r>
      <w:r w:rsidR="00A92A6F" w:rsidRPr="00F30779">
        <w:t>2</w:t>
      </w:r>
      <w:r w:rsidR="00A92A6F" w:rsidRPr="00F30779">
        <w:fldChar w:fldCharType="end"/>
      </w:r>
      <w:r w:rsidR="00A92A6F" w:rsidRPr="00F30779">
        <w:t xml:space="preserve"> </w:t>
      </w:r>
      <w:r w:rsidR="00EF5D65" w:rsidRPr="00F30779">
        <w:fldChar w:fldCharType="begin"/>
      </w:r>
      <w:r w:rsidR="00EF5D65" w:rsidRPr="00F30779">
        <w:instrText xml:space="preserve"> REF _Ref42682820 \h </w:instrText>
      </w:r>
      <w:r w:rsidR="00B7154E" w:rsidRPr="00F30779">
        <w:instrText xml:space="preserve"> \* MERGEFORMAT </w:instrText>
      </w:r>
      <w:r w:rsidR="00EF5D65" w:rsidRPr="00F30779">
        <w:fldChar w:fldCharType="separate"/>
      </w:r>
      <w:r w:rsidR="00EF5D65" w:rsidRPr="00F30779">
        <w:t>Provider Administration and Participant Flexibility</w:t>
      </w:r>
      <w:r w:rsidR="00EF5D65" w:rsidRPr="00F30779">
        <w:fldChar w:fldCharType="end"/>
      </w:r>
      <w:r w:rsidRPr="00F30779">
        <w:t>);</w:t>
      </w:r>
    </w:p>
    <w:p w:rsidR="00520EA3" w:rsidRPr="00F30779" w:rsidRDefault="00520EA3" w:rsidP="00B77140">
      <w:pPr>
        <w:pStyle w:val="TieredDotPoints"/>
      </w:pPr>
      <w:r w:rsidRPr="00F30779">
        <w:t>Review the price control framework for core supports, by examining:</w:t>
      </w:r>
    </w:p>
    <w:p w:rsidR="00520EA3" w:rsidRPr="00F30779" w:rsidRDefault="00520EA3" w:rsidP="003F4A0C">
      <w:pPr>
        <w:pStyle w:val="TieredDotPoints"/>
        <w:numPr>
          <w:ilvl w:val="2"/>
          <w:numId w:val="3"/>
        </w:numPr>
      </w:pPr>
      <w:r w:rsidRPr="00F30779">
        <w:t xml:space="preserve">the assumptions and parameters outlined in the </w:t>
      </w:r>
      <w:r w:rsidRPr="00F30779">
        <w:rPr>
          <w:i/>
        </w:rPr>
        <w:t xml:space="preserve">NDIS </w:t>
      </w:r>
      <w:r w:rsidR="00A6443D" w:rsidRPr="00F30779">
        <w:rPr>
          <w:i/>
        </w:rPr>
        <w:t>Disability Support Worker Cost Model</w:t>
      </w:r>
      <w:r w:rsidRPr="00F30779">
        <w:t>, including</w:t>
      </w:r>
      <w:r w:rsidRPr="00F30779">
        <w:rPr>
          <w:i/>
        </w:rPr>
        <w:t xml:space="preserve"> </w:t>
      </w:r>
      <w:r w:rsidRPr="00F30779">
        <w:t>through analysis of the financial benchmarking data collected through the Temporary Transformation Payment arrangements</w:t>
      </w:r>
      <w:r w:rsidR="0039190F" w:rsidRPr="00F30779">
        <w:t xml:space="preserve"> (see Chapter</w:t>
      </w:r>
      <w:r w:rsidR="00457522" w:rsidRPr="00F30779">
        <w:t xml:space="preserve"> </w:t>
      </w:r>
      <w:r w:rsidR="00A92A6F" w:rsidRPr="00F30779">
        <w:fldChar w:fldCharType="begin"/>
      </w:r>
      <w:r w:rsidR="00A92A6F" w:rsidRPr="00F30779">
        <w:instrText xml:space="preserve"> REF _Ref37260885 \w \h </w:instrText>
      </w:r>
      <w:r w:rsidR="00B7154E" w:rsidRPr="00F30779">
        <w:instrText xml:space="preserve"> \* MERGEFORMAT </w:instrText>
      </w:r>
      <w:r w:rsidR="00A92A6F" w:rsidRPr="00F30779">
        <w:fldChar w:fldCharType="separate"/>
      </w:r>
      <w:r w:rsidR="00A92A6F" w:rsidRPr="00F30779">
        <w:t>3</w:t>
      </w:r>
      <w:r w:rsidR="00A92A6F" w:rsidRPr="00F30779">
        <w:fldChar w:fldCharType="end"/>
      </w:r>
      <w:r w:rsidR="00A92A6F" w:rsidRPr="00F30779">
        <w:t xml:space="preserve"> </w:t>
      </w:r>
      <w:r w:rsidR="00A92A6F" w:rsidRPr="00F30779">
        <w:fldChar w:fldCharType="begin"/>
      </w:r>
      <w:r w:rsidR="00A92A6F" w:rsidRPr="00F30779">
        <w:instrText xml:space="preserve"> REF _Ref37260885 \h </w:instrText>
      </w:r>
      <w:r w:rsidR="00B7154E" w:rsidRPr="00F30779">
        <w:instrText xml:space="preserve"> \* MERGEFORMAT </w:instrText>
      </w:r>
      <w:r w:rsidR="00A92A6F" w:rsidRPr="00F30779">
        <w:fldChar w:fldCharType="separate"/>
      </w:r>
      <w:r w:rsidR="00A92A6F" w:rsidRPr="00F30779">
        <w:t>Price limits for 1:1 core supports</w:t>
      </w:r>
      <w:r w:rsidR="00A92A6F" w:rsidRPr="00F30779">
        <w:fldChar w:fldCharType="end"/>
      </w:r>
      <w:r w:rsidR="0039190F" w:rsidRPr="00F30779">
        <w:t>)</w:t>
      </w:r>
      <w:r w:rsidRPr="00F30779">
        <w:t>; and</w:t>
      </w:r>
    </w:p>
    <w:p w:rsidR="00520EA3" w:rsidRPr="00F30779" w:rsidRDefault="00520EA3" w:rsidP="003F4A0C">
      <w:pPr>
        <w:pStyle w:val="TieredDotPoints"/>
        <w:numPr>
          <w:ilvl w:val="2"/>
          <w:numId w:val="3"/>
        </w:numPr>
      </w:pPr>
      <w:r w:rsidRPr="00F30779">
        <w:t>the methodology for deriving the price controls for group-based supports from the price controls for 1:1 supports</w:t>
      </w:r>
      <w:r w:rsidR="0039190F" w:rsidRPr="00F30779">
        <w:t xml:space="preserve"> (see Chapter</w:t>
      </w:r>
      <w:r w:rsidR="00004A5E" w:rsidRPr="00F30779">
        <w:t xml:space="preserve"> </w:t>
      </w:r>
      <w:r w:rsidR="00004A5E" w:rsidRPr="00F30779">
        <w:fldChar w:fldCharType="begin"/>
      </w:r>
      <w:r w:rsidR="00004A5E" w:rsidRPr="00F30779">
        <w:instrText xml:space="preserve"> REF _Ref42689351 \w \h </w:instrText>
      </w:r>
      <w:r w:rsidR="00B7154E" w:rsidRPr="00F30779">
        <w:instrText xml:space="preserve"> \* MERGEFORMAT </w:instrText>
      </w:r>
      <w:r w:rsidR="00004A5E" w:rsidRPr="00F30779">
        <w:fldChar w:fldCharType="separate"/>
      </w:r>
      <w:r w:rsidR="00004A5E" w:rsidRPr="00F30779">
        <w:t>4</w:t>
      </w:r>
      <w:r w:rsidR="00004A5E" w:rsidRPr="00F30779">
        <w:fldChar w:fldCharType="end"/>
      </w:r>
      <w:r w:rsidR="0039190F" w:rsidRPr="00F30779">
        <w:t xml:space="preserve"> </w:t>
      </w:r>
      <w:r w:rsidR="00004A5E" w:rsidRPr="00F30779">
        <w:fldChar w:fldCharType="begin"/>
      </w:r>
      <w:r w:rsidR="00004A5E" w:rsidRPr="00F30779">
        <w:instrText xml:space="preserve"> REF _Ref42689339 \h </w:instrText>
      </w:r>
      <w:r w:rsidR="00B7154E" w:rsidRPr="00F30779">
        <w:instrText xml:space="preserve"> \* MERGEFORMAT </w:instrText>
      </w:r>
      <w:r w:rsidR="00004A5E" w:rsidRPr="00F30779">
        <w:fldChar w:fldCharType="separate"/>
      </w:r>
      <w:r w:rsidR="00004A5E" w:rsidRPr="00F30779">
        <w:t>Price limits for group-based core supports</w:t>
      </w:r>
      <w:r w:rsidR="00004A5E" w:rsidRPr="00F30779">
        <w:fldChar w:fldCharType="end"/>
      </w:r>
      <w:r w:rsidR="0039190F" w:rsidRPr="00F30779">
        <w:t>)</w:t>
      </w:r>
      <w:r w:rsidRPr="00F30779">
        <w:t>;</w:t>
      </w:r>
    </w:p>
    <w:p w:rsidR="00520EA3" w:rsidRPr="00F30779" w:rsidRDefault="00520EA3" w:rsidP="00B77140">
      <w:pPr>
        <w:pStyle w:val="TieredDotPoints"/>
      </w:pPr>
      <w:r w:rsidRPr="00F30779">
        <w:t>Review the price control framework for capacity building supports, including therapy supports, by examining</w:t>
      </w:r>
      <w:r w:rsidR="00854973" w:rsidRPr="00F30779">
        <w:t xml:space="preserve"> (see Chapter </w:t>
      </w:r>
      <w:r w:rsidR="00004A5E" w:rsidRPr="00F30779">
        <w:fldChar w:fldCharType="begin"/>
      </w:r>
      <w:r w:rsidR="00004A5E" w:rsidRPr="00F30779">
        <w:instrText xml:space="preserve"> REF _Ref42689366 \w \h </w:instrText>
      </w:r>
      <w:r w:rsidR="00B7154E" w:rsidRPr="00F30779">
        <w:instrText xml:space="preserve"> \* MERGEFORMAT </w:instrText>
      </w:r>
      <w:r w:rsidR="00004A5E" w:rsidRPr="00F30779">
        <w:fldChar w:fldCharType="separate"/>
      </w:r>
      <w:r w:rsidR="00004A5E" w:rsidRPr="00F30779">
        <w:t>5</w:t>
      </w:r>
      <w:r w:rsidR="00004A5E" w:rsidRPr="00F30779">
        <w:fldChar w:fldCharType="end"/>
      </w:r>
      <w:r w:rsidR="00004A5E" w:rsidRPr="00F30779">
        <w:t xml:space="preserve"> </w:t>
      </w:r>
      <w:r w:rsidR="00004A5E" w:rsidRPr="00F30779">
        <w:fldChar w:fldCharType="begin"/>
      </w:r>
      <w:r w:rsidR="00004A5E" w:rsidRPr="00F30779">
        <w:instrText xml:space="preserve"> REF _Ref42689374 \h </w:instrText>
      </w:r>
      <w:r w:rsidR="00B7154E" w:rsidRPr="00F30779">
        <w:instrText xml:space="preserve"> \* MERGEFORMAT </w:instrText>
      </w:r>
      <w:r w:rsidR="00004A5E" w:rsidRPr="00F30779">
        <w:fldChar w:fldCharType="separate"/>
      </w:r>
      <w:r w:rsidR="00004A5E" w:rsidRPr="00F30779">
        <w:t>Capacity Building Supports</w:t>
      </w:r>
      <w:r w:rsidR="00004A5E" w:rsidRPr="00F30779">
        <w:fldChar w:fldCharType="end"/>
      </w:r>
      <w:r w:rsidR="00854973" w:rsidRPr="00F30779">
        <w:t>)</w:t>
      </w:r>
      <w:r w:rsidRPr="00F30779">
        <w:t>:</w:t>
      </w:r>
    </w:p>
    <w:p w:rsidR="00520EA3" w:rsidRPr="00F30779" w:rsidRDefault="00520EA3" w:rsidP="003F4A0C">
      <w:pPr>
        <w:pStyle w:val="TieredDotPoints"/>
        <w:numPr>
          <w:ilvl w:val="2"/>
          <w:numId w:val="3"/>
        </w:numPr>
      </w:pPr>
      <w:r w:rsidRPr="00F30779">
        <w:t>how price limits for capacity building supports, other than therapy supports, should be indexed or otherwise determined annually;</w:t>
      </w:r>
    </w:p>
    <w:p w:rsidR="00520EA3" w:rsidRPr="00F30779" w:rsidRDefault="00520EA3" w:rsidP="003F4A0C">
      <w:pPr>
        <w:pStyle w:val="TieredDotPoints"/>
        <w:numPr>
          <w:ilvl w:val="2"/>
          <w:numId w:val="3"/>
        </w:numPr>
      </w:pPr>
      <w:r w:rsidRPr="00F30779">
        <w:t xml:space="preserve">how price limits for therapy supports should be adjusted annually, given the outcomes of the </w:t>
      </w:r>
      <w:r w:rsidRPr="00F30779">
        <w:rPr>
          <w:i/>
        </w:rPr>
        <w:t xml:space="preserve">Review of Therapy </w:t>
      </w:r>
      <w:r w:rsidR="00115B6C" w:rsidRPr="00F30779">
        <w:rPr>
          <w:i/>
        </w:rPr>
        <w:t>Pricing Arrangements</w:t>
      </w:r>
      <w:r w:rsidRPr="00F30779">
        <w:t>;</w:t>
      </w:r>
    </w:p>
    <w:p w:rsidR="00520EA3" w:rsidRPr="00F30779" w:rsidRDefault="00520EA3" w:rsidP="003F4A0C">
      <w:pPr>
        <w:pStyle w:val="TieredDotPoints"/>
        <w:numPr>
          <w:ilvl w:val="2"/>
          <w:numId w:val="3"/>
        </w:numPr>
      </w:pPr>
      <w:r w:rsidRPr="00F30779">
        <w:t xml:space="preserve">whether different price limits might be appropriate for different times </w:t>
      </w:r>
      <w:r w:rsidR="00115B6C" w:rsidRPr="00F30779">
        <w:t xml:space="preserve">of </w:t>
      </w:r>
      <w:r w:rsidRPr="00F30779">
        <w:t xml:space="preserve">the day, or days of the week, for some capacity building supports, including for </w:t>
      </w:r>
      <w:r w:rsidR="006331B8" w:rsidRPr="00F30779">
        <w:t xml:space="preserve">therapists, </w:t>
      </w:r>
      <w:r w:rsidRPr="00F30779">
        <w:t>therapy assistants and for capacity building supports delivered by disability support workers; and</w:t>
      </w:r>
    </w:p>
    <w:p w:rsidR="00520EA3" w:rsidRPr="00F30779" w:rsidRDefault="006331B8" w:rsidP="003F4A0C">
      <w:pPr>
        <w:pStyle w:val="TieredDotPoints"/>
        <w:numPr>
          <w:ilvl w:val="2"/>
          <w:numId w:val="3"/>
        </w:numPr>
      </w:pPr>
      <w:r w:rsidRPr="00F30779">
        <w:t>whether</w:t>
      </w:r>
      <w:r w:rsidR="00520EA3" w:rsidRPr="00F30779">
        <w:t xml:space="preserve"> therapists and othe</w:t>
      </w:r>
      <w:r w:rsidRPr="00F30779">
        <w:t>r capacity building providers should be able to</w:t>
      </w:r>
      <w:r w:rsidR="00520EA3" w:rsidRPr="00F30779">
        <w:t xml:space="preserve"> recover the costs of consumables provided to participants as part of a support;</w:t>
      </w:r>
    </w:p>
    <w:p w:rsidR="00520EA3" w:rsidRPr="00F30779" w:rsidRDefault="00520EA3" w:rsidP="00B77140">
      <w:pPr>
        <w:pStyle w:val="TieredDotPoints"/>
      </w:pPr>
      <w:r w:rsidRPr="00F30779">
        <w:t>Review the price control framework for plan management supports</w:t>
      </w:r>
      <w:r w:rsidR="00457522" w:rsidRPr="00F30779">
        <w:t xml:space="preserve"> (see Chapter</w:t>
      </w:r>
      <w:r w:rsidR="005773DD" w:rsidRPr="00F30779">
        <w:t xml:space="preserve"> </w:t>
      </w:r>
      <w:r w:rsidR="00004A5E" w:rsidRPr="00F30779">
        <w:fldChar w:fldCharType="begin"/>
      </w:r>
      <w:r w:rsidR="00004A5E" w:rsidRPr="00F30779">
        <w:instrText xml:space="preserve"> REF _Ref42689449 \w \h </w:instrText>
      </w:r>
      <w:r w:rsidR="00B7154E" w:rsidRPr="00F30779">
        <w:instrText xml:space="preserve"> \* MERGEFORMAT </w:instrText>
      </w:r>
      <w:r w:rsidR="00004A5E" w:rsidRPr="00F30779">
        <w:fldChar w:fldCharType="separate"/>
      </w:r>
      <w:r w:rsidR="00004A5E" w:rsidRPr="00F30779">
        <w:t>6</w:t>
      </w:r>
      <w:r w:rsidR="00004A5E" w:rsidRPr="00F30779">
        <w:fldChar w:fldCharType="end"/>
      </w:r>
      <w:r w:rsidR="00004A5E" w:rsidRPr="00F30779">
        <w:t xml:space="preserve"> </w:t>
      </w:r>
      <w:r w:rsidR="00004A5E" w:rsidRPr="00F30779">
        <w:fldChar w:fldCharType="begin"/>
      </w:r>
      <w:r w:rsidR="00004A5E" w:rsidRPr="00F30779">
        <w:instrText xml:space="preserve"> REF _Ref42689434 \h </w:instrText>
      </w:r>
      <w:r w:rsidR="00B7154E" w:rsidRPr="00F30779">
        <w:instrText xml:space="preserve"> \* MERGEFORMAT </w:instrText>
      </w:r>
      <w:r w:rsidR="00004A5E" w:rsidRPr="00F30779">
        <w:fldChar w:fldCharType="separate"/>
      </w:r>
      <w:r w:rsidR="00004A5E" w:rsidRPr="00F30779">
        <w:t>Plan Management Supports</w:t>
      </w:r>
      <w:r w:rsidR="00004A5E" w:rsidRPr="00F30779">
        <w:fldChar w:fldCharType="end"/>
      </w:r>
      <w:r w:rsidR="00457522" w:rsidRPr="00F30779">
        <w:t>)</w:t>
      </w:r>
      <w:r w:rsidRPr="00F30779">
        <w:t>;</w:t>
      </w:r>
    </w:p>
    <w:p w:rsidR="00520EA3" w:rsidRPr="00F30779" w:rsidRDefault="00520EA3" w:rsidP="00B77140">
      <w:pPr>
        <w:pStyle w:val="TieredDotPoints"/>
      </w:pPr>
      <w:r w:rsidRPr="00F30779">
        <w:t>Review the geographic classification co</w:t>
      </w:r>
      <w:r w:rsidR="00854973" w:rsidRPr="00F30779">
        <w:t>mponent of the NDIS price</w:t>
      </w:r>
      <w:r w:rsidRPr="00F30779">
        <w:t xml:space="preserve"> control framework to</w:t>
      </w:r>
      <w:r w:rsidR="00627827" w:rsidRPr="00F30779">
        <w:t xml:space="preserve"> </w:t>
      </w:r>
      <w:r w:rsidRPr="00F30779">
        <w:t>examine whether:</w:t>
      </w:r>
    </w:p>
    <w:p w:rsidR="00520EA3" w:rsidRPr="00F30779" w:rsidRDefault="00520EA3" w:rsidP="003F4A0C">
      <w:pPr>
        <w:pStyle w:val="TieredDotPoints"/>
        <w:numPr>
          <w:ilvl w:val="2"/>
          <w:numId w:val="3"/>
        </w:numPr>
      </w:pPr>
      <w:r w:rsidRPr="00F30779">
        <w:t xml:space="preserve">modifications are required to the NDIA’s implementation of the Modified Monash Model </w:t>
      </w:r>
      <w:r w:rsidR="002F51A0" w:rsidRPr="00F30779">
        <w:t xml:space="preserve">(MMM) </w:t>
      </w:r>
      <w:r w:rsidRPr="00F30779">
        <w:t xml:space="preserve">to account </w:t>
      </w:r>
      <w:r w:rsidR="00115B6C" w:rsidRPr="00F30779">
        <w:t>for specific disability service-</w:t>
      </w:r>
      <w:r w:rsidRPr="00F30779">
        <w:t>related costs, including the treatment of “isolated locations” and islands under the MMM</w:t>
      </w:r>
      <w:r w:rsidR="005E785B" w:rsidRPr="00F30779">
        <w:t xml:space="preserve"> (see Chapter </w:t>
      </w:r>
      <w:r w:rsidR="00004A5E" w:rsidRPr="00F30779">
        <w:fldChar w:fldCharType="begin"/>
      </w:r>
      <w:r w:rsidR="00004A5E" w:rsidRPr="00F30779">
        <w:instrText xml:space="preserve"> REF _Ref42689478 \w \h </w:instrText>
      </w:r>
      <w:r w:rsidR="00B7154E" w:rsidRPr="00F30779">
        <w:instrText xml:space="preserve"> \* MERGEFORMAT </w:instrText>
      </w:r>
      <w:r w:rsidR="00004A5E" w:rsidRPr="00F30779">
        <w:fldChar w:fldCharType="separate"/>
      </w:r>
      <w:r w:rsidR="00004A5E" w:rsidRPr="00F30779">
        <w:t>7</w:t>
      </w:r>
      <w:r w:rsidR="00004A5E" w:rsidRPr="00F30779">
        <w:fldChar w:fldCharType="end"/>
      </w:r>
      <w:r w:rsidR="00004A5E" w:rsidRPr="00F30779">
        <w:t xml:space="preserve"> </w:t>
      </w:r>
      <w:r w:rsidR="00004A5E" w:rsidRPr="00F30779">
        <w:fldChar w:fldCharType="begin"/>
      </w:r>
      <w:r w:rsidR="00004A5E" w:rsidRPr="00F30779">
        <w:instrText xml:space="preserve"> REF _Ref42689483 \h </w:instrText>
      </w:r>
      <w:r w:rsidR="00B7154E" w:rsidRPr="00F30779">
        <w:instrText xml:space="preserve"> \* MERGEFORMAT </w:instrText>
      </w:r>
      <w:r w:rsidR="00004A5E" w:rsidRPr="00F30779">
        <w:fldChar w:fldCharType="separate"/>
      </w:r>
      <w:r w:rsidR="00004A5E" w:rsidRPr="00F30779">
        <w:t>Classifying Regional, Remote and Very Remote</w:t>
      </w:r>
      <w:r w:rsidR="00004A5E" w:rsidRPr="00F30779">
        <w:fldChar w:fldCharType="end"/>
      </w:r>
      <w:r w:rsidR="005E785B" w:rsidRPr="00F30779">
        <w:t>)</w:t>
      </w:r>
      <w:r w:rsidRPr="00F30779">
        <w:t>; and</w:t>
      </w:r>
    </w:p>
    <w:p w:rsidR="00520EA3" w:rsidRPr="00F30779" w:rsidRDefault="00520EA3" w:rsidP="003F4A0C">
      <w:pPr>
        <w:pStyle w:val="TieredDotPoints"/>
        <w:numPr>
          <w:ilvl w:val="2"/>
          <w:numId w:val="3"/>
        </w:numPr>
      </w:pPr>
      <w:r w:rsidRPr="00F30779">
        <w:t>a loading should be applied to price limits and plan funding amounts in outer regional areas to account for the higher cost of service delivery, if any, in those areas</w:t>
      </w:r>
      <w:r w:rsidR="005E785B" w:rsidRPr="00F30779">
        <w:t xml:space="preserve"> (see Chapter </w:t>
      </w:r>
      <w:r w:rsidR="009B4F91" w:rsidRPr="00F30779">
        <w:fldChar w:fldCharType="begin"/>
      </w:r>
      <w:r w:rsidR="009B4F91" w:rsidRPr="00F30779">
        <w:instrText xml:space="preserve"> REF _Ref42689696 \w \h </w:instrText>
      </w:r>
      <w:r w:rsidR="00B7154E" w:rsidRPr="00F30779">
        <w:instrText xml:space="preserve"> \* MERGEFORMAT </w:instrText>
      </w:r>
      <w:r w:rsidR="009B4F91" w:rsidRPr="00F30779">
        <w:fldChar w:fldCharType="separate"/>
      </w:r>
      <w:r w:rsidR="009B4F91" w:rsidRPr="00F30779">
        <w:t>8</w:t>
      </w:r>
      <w:r w:rsidR="009B4F91" w:rsidRPr="00F30779">
        <w:fldChar w:fldCharType="end"/>
      </w:r>
      <w:r w:rsidR="009B4F91" w:rsidRPr="00F30779">
        <w:t xml:space="preserve"> </w:t>
      </w:r>
      <w:r w:rsidR="009B4F91" w:rsidRPr="00F30779">
        <w:fldChar w:fldCharType="begin"/>
      </w:r>
      <w:r w:rsidR="009B4F91" w:rsidRPr="00F30779">
        <w:instrText xml:space="preserve"> REF _Ref42689686 \h </w:instrText>
      </w:r>
      <w:r w:rsidR="00B7154E" w:rsidRPr="00F30779">
        <w:instrText xml:space="preserve"> \* MERGEFORMAT </w:instrText>
      </w:r>
      <w:r w:rsidR="009B4F91" w:rsidRPr="00F30779">
        <w:fldChar w:fldCharType="separate"/>
      </w:r>
      <w:r w:rsidR="009B4F91" w:rsidRPr="00F30779">
        <w:t>Costs in Outer Regional Areas</w:t>
      </w:r>
      <w:r w:rsidR="009B4F91" w:rsidRPr="00F30779">
        <w:fldChar w:fldCharType="end"/>
      </w:r>
      <w:r w:rsidR="005E785B" w:rsidRPr="00F30779">
        <w:t>)</w:t>
      </w:r>
      <w:r w:rsidRPr="00F30779">
        <w:t>;</w:t>
      </w:r>
    </w:p>
    <w:p w:rsidR="00520EA3" w:rsidRPr="00F30779" w:rsidRDefault="00520EA3" w:rsidP="00B77140">
      <w:pPr>
        <w:pStyle w:val="TieredDotPoints"/>
      </w:pPr>
      <w:r w:rsidRPr="00F30779">
        <w:t>Re-examine current billing arrangements, including:</w:t>
      </w:r>
    </w:p>
    <w:p w:rsidR="00520EA3" w:rsidRPr="00F30779" w:rsidRDefault="00520EA3" w:rsidP="003F4A0C">
      <w:pPr>
        <w:pStyle w:val="TieredDotPoints"/>
        <w:numPr>
          <w:ilvl w:val="2"/>
          <w:numId w:val="3"/>
        </w:numPr>
      </w:pPr>
      <w:r w:rsidRPr="00F30779">
        <w:t>Cancellation rules</w:t>
      </w:r>
      <w:r w:rsidR="00457522" w:rsidRPr="00F30779">
        <w:t xml:space="preserve"> (see Chapter </w:t>
      </w:r>
      <w:r w:rsidR="009B4F91" w:rsidRPr="00F30779">
        <w:fldChar w:fldCharType="begin"/>
      </w:r>
      <w:r w:rsidR="009B4F91" w:rsidRPr="00F30779">
        <w:instrText xml:space="preserve"> REF _Ref42689848 \w \h </w:instrText>
      </w:r>
      <w:r w:rsidR="00B7154E" w:rsidRPr="00F30779">
        <w:instrText xml:space="preserve"> \* MERGEFORMAT </w:instrText>
      </w:r>
      <w:r w:rsidR="009B4F91" w:rsidRPr="00F30779">
        <w:fldChar w:fldCharType="separate"/>
      </w:r>
      <w:r w:rsidR="009B4F91" w:rsidRPr="00F30779">
        <w:t>9</w:t>
      </w:r>
      <w:r w:rsidR="009B4F91" w:rsidRPr="00F30779">
        <w:fldChar w:fldCharType="end"/>
      </w:r>
      <w:r w:rsidR="009B4F91" w:rsidRPr="00F30779">
        <w:t xml:space="preserve"> </w:t>
      </w:r>
      <w:r w:rsidR="009B4F91" w:rsidRPr="00F30779">
        <w:fldChar w:fldCharType="begin"/>
      </w:r>
      <w:r w:rsidR="009B4F91" w:rsidRPr="00F30779">
        <w:instrText xml:space="preserve"> REF _Ref42689855 \h </w:instrText>
      </w:r>
      <w:r w:rsidR="00B7154E" w:rsidRPr="00F30779">
        <w:instrText xml:space="preserve"> \* MERGEFORMAT </w:instrText>
      </w:r>
      <w:r w:rsidR="009B4F91" w:rsidRPr="00F30779">
        <w:fldChar w:fldCharType="separate"/>
      </w:r>
      <w:r w:rsidR="009B4F91" w:rsidRPr="00F30779">
        <w:t>Cancellation Rules</w:t>
      </w:r>
      <w:r w:rsidR="009B4F91" w:rsidRPr="00F30779">
        <w:fldChar w:fldCharType="end"/>
      </w:r>
      <w:r w:rsidR="00457522" w:rsidRPr="00F30779">
        <w:t>)</w:t>
      </w:r>
      <w:r w:rsidRPr="00F30779">
        <w:t>;</w:t>
      </w:r>
    </w:p>
    <w:p w:rsidR="00520EA3" w:rsidRPr="00F30779" w:rsidRDefault="00520EA3" w:rsidP="003F4A0C">
      <w:pPr>
        <w:pStyle w:val="TieredDotPoints"/>
        <w:numPr>
          <w:ilvl w:val="2"/>
          <w:numId w:val="3"/>
        </w:numPr>
      </w:pPr>
      <w:r w:rsidRPr="00F30779">
        <w:t>Provider travel time limits, including examining whether it is possible to develop an approach that is more sensitive to local conditions</w:t>
      </w:r>
      <w:r w:rsidR="005E785B" w:rsidRPr="00F30779">
        <w:t xml:space="preserve"> (see Chapter</w:t>
      </w:r>
      <w:r w:rsidR="009B4F91" w:rsidRPr="00F30779">
        <w:t xml:space="preserve"> </w:t>
      </w:r>
      <w:r w:rsidR="009B4F91" w:rsidRPr="00F30779">
        <w:fldChar w:fldCharType="begin"/>
      </w:r>
      <w:r w:rsidR="009B4F91" w:rsidRPr="00F30779">
        <w:instrText xml:space="preserve"> REF _Ref42689882 \w \h </w:instrText>
      </w:r>
      <w:r w:rsidR="00B7154E" w:rsidRPr="00F30779">
        <w:instrText xml:space="preserve"> \* MERGEFORMAT </w:instrText>
      </w:r>
      <w:r w:rsidR="009B4F91" w:rsidRPr="00F30779">
        <w:fldChar w:fldCharType="separate"/>
      </w:r>
      <w:r w:rsidR="009B4F91" w:rsidRPr="00F30779">
        <w:t>10</w:t>
      </w:r>
      <w:r w:rsidR="009B4F91" w:rsidRPr="00F30779">
        <w:fldChar w:fldCharType="end"/>
      </w:r>
      <w:r w:rsidR="005E785B" w:rsidRPr="00F30779">
        <w:t xml:space="preserve"> </w:t>
      </w:r>
      <w:r w:rsidR="009B4F91" w:rsidRPr="00F30779">
        <w:fldChar w:fldCharType="begin"/>
      </w:r>
      <w:r w:rsidR="009B4F91" w:rsidRPr="00F30779">
        <w:instrText xml:space="preserve"> REF _Ref42689871 \h </w:instrText>
      </w:r>
      <w:r w:rsidR="00B7154E" w:rsidRPr="00F30779">
        <w:instrText xml:space="preserve"> \* MERGEFORMAT </w:instrText>
      </w:r>
      <w:r w:rsidR="009B4F91" w:rsidRPr="00F30779">
        <w:fldChar w:fldCharType="separate"/>
      </w:r>
      <w:r w:rsidR="009B4F91" w:rsidRPr="00F30779">
        <w:t>Provider Travel Rules</w:t>
      </w:r>
      <w:r w:rsidR="009B4F91" w:rsidRPr="00F30779">
        <w:fldChar w:fldCharType="end"/>
      </w:r>
      <w:r w:rsidR="005E785B" w:rsidRPr="00F30779">
        <w:t>)</w:t>
      </w:r>
      <w:r w:rsidRPr="00F30779">
        <w:t>;</w:t>
      </w:r>
    </w:p>
    <w:p w:rsidR="00520EA3" w:rsidRPr="00F30779" w:rsidRDefault="00520EA3" w:rsidP="003F4A0C">
      <w:pPr>
        <w:pStyle w:val="TieredDotPoints"/>
        <w:numPr>
          <w:ilvl w:val="2"/>
          <w:numId w:val="3"/>
        </w:numPr>
      </w:pPr>
      <w:r w:rsidRPr="00F30779">
        <w:t>Non-labour costs associated with provider t</w:t>
      </w:r>
      <w:r w:rsidR="005E785B" w:rsidRPr="00F30779">
        <w:t>ravel</w:t>
      </w:r>
      <w:r w:rsidR="00C56E92" w:rsidRPr="00F30779">
        <w:t xml:space="preserve"> (see Chapter </w:t>
      </w:r>
      <w:r w:rsidR="009B4F91" w:rsidRPr="00F30779">
        <w:fldChar w:fldCharType="begin"/>
      </w:r>
      <w:r w:rsidR="009B4F91" w:rsidRPr="00F30779">
        <w:instrText xml:space="preserve"> REF _Ref42689882 \w \h </w:instrText>
      </w:r>
      <w:r w:rsidR="00B7154E" w:rsidRPr="00F30779">
        <w:instrText xml:space="preserve"> \* MERGEFORMAT </w:instrText>
      </w:r>
      <w:r w:rsidR="009B4F91" w:rsidRPr="00F30779">
        <w:fldChar w:fldCharType="separate"/>
      </w:r>
      <w:r w:rsidR="009B4F91" w:rsidRPr="00F30779">
        <w:t>10</w:t>
      </w:r>
      <w:r w:rsidR="009B4F91" w:rsidRPr="00F30779">
        <w:fldChar w:fldCharType="end"/>
      </w:r>
      <w:r w:rsidR="009B4F91" w:rsidRPr="00F30779">
        <w:t xml:space="preserve"> </w:t>
      </w:r>
      <w:r w:rsidR="009B4F91" w:rsidRPr="00F30779">
        <w:fldChar w:fldCharType="begin"/>
      </w:r>
      <w:r w:rsidR="009B4F91" w:rsidRPr="00F30779">
        <w:instrText xml:space="preserve"> REF _Ref42689871 \h </w:instrText>
      </w:r>
      <w:r w:rsidR="00B7154E" w:rsidRPr="00F30779">
        <w:instrText xml:space="preserve"> \* MERGEFORMAT </w:instrText>
      </w:r>
      <w:r w:rsidR="009B4F91" w:rsidRPr="00F30779">
        <w:fldChar w:fldCharType="separate"/>
      </w:r>
      <w:r w:rsidR="009B4F91" w:rsidRPr="00F30779">
        <w:t>Provider Travel Rules</w:t>
      </w:r>
      <w:r w:rsidR="009B4F91" w:rsidRPr="00F30779">
        <w:fldChar w:fldCharType="end"/>
      </w:r>
      <w:r w:rsidR="00C56E92" w:rsidRPr="00F30779">
        <w:t xml:space="preserve">); </w:t>
      </w:r>
      <w:r w:rsidRPr="00F30779">
        <w:t>and</w:t>
      </w:r>
    </w:p>
    <w:p w:rsidR="00520EA3" w:rsidRPr="00F30779" w:rsidRDefault="00520EA3" w:rsidP="003F4A0C">
      <w:pPr>
        <w:pStyle w:val="TieredDotPoints"/>
        <w:numPr>
          <w:ilvl w:val="2"/>
          <w:numId w:val="3"/>
        </w:numPr>
      </w:pPr>
      <w:r w:rsidRPr="00F30779">
        <w:t>Establishment fee arrangements</w:t>
      </w:r>
      <w:r w:rsidR="00457522" w:rsidRPr="00F30779">
        <w:t xml:space="preserve"> (see Chapter</w:t>
      </w:r>
      <w:r w:rsidR="005773DD" w:rsidRPr="00F30779">
        <w:t xml:space="preserve"> </w:t>
      </w:r>
      <w:r w:rsidR="009B4F91" w:rsidRPr="00F30779">
        <w:fldChar w:fldCharType="begin"/>
      </w:r>
      <w:r w:rsidR="009B4F91" w:rsidRPr="00F30779">
        <w:instrText xml:space="preserve"> REF _Ref42689946 \w \h </w:instrText>
      </w:r>
      <w:r w:rsidR="00B7154E" w:rsidRPr="00F30779">
        <w:instrText xml:space="preserve"> \* MERGEFORMAT </w:instrText>
      </w:r>
      <w:r w:rsidR="009B4F91" w:rsidRPr="00F30779">
        <w:fldChar w:fldCharType="separate"/>
      </w:r>
      <w:r w:rsidR="009B4F91" w:rsidRPr="00F30779">
        <w:t>11</w:t>
      </w:r>
      <w:r w:rsidR="009B4F91" w:rsidRPr="00F30779">
        <w:fldChar w:fldCharType="end"/>
      </w:r>
      <w:r w:rsidR="009B4F91" w:rsidRPr="00F30779">
        <w:t xml:space="preserve"> </w:t>
      </w:r>
      <w:r w:rsidR="009B4F91" w:rsidRPr="00F30779">
        <w:fldChar w:fldCharType="begin"/>
      </w:r>
      <w:r w:rsidR="009B4F91" w:rsidRPr="00F30779">
        <w:instrText xml:space="preserve"> REF _Ref42689952 \h </w:instrText>
      </w:r>
      <w:r w:rsidR="00B7154E" w:rsidRPr="00F30779">
        <w:instrText xml:space="preserve"> \* MERGEFORMAT </w:instrText>
      </w:r>
      <w:r w:rsidR="009B4F91" w:rsidRPr="00F30779">
        <w:fldChar w:fldCharType="separate"/>
      </w:r>
      <w:r w:rsidR="009B4F91" w:rsidRPr="00F30779">
        <w:t>Establishment Fees</w:t>
      </w:r>
      <w:r w:rsidR="009B4F91" w:rsidRPr="00F30779">
        <w:fldChar w:fldCharType="end"/>
      </w:r>
      <w:r w:rsidR="00457522" w:rsidRPr="00F30779">
        <w:t>)</w:t>
      </w:r>
      <w:r w:rsidRPr="00F30779">
        <w:t>.</w:t>
      </w:r>
    </w:p>
    <w:p w:rsidR="00520EA3" w:rsidRPr="00CA1271" w:rsidRDefault="00520EA3" w:rsidP="003F4A0C">
      <w:pPr>
        <w:pStyle w:val="TieredDotPoints"/>
        <w:numPr>
          <w:ilvl w:val="0"/>
          <w:numId w:val="3"/>
        </w:numPr>
      </w:pPr>
      <w:r w:rsidRPr="00CA1271">
        <w:t>In framing its recommendations, the Review will be cognisant of the object</w:t>
      </w:r>
      <w:r w:rsidR="00F52302" w:rsidRPr="00CA1271">
        <w:t>s and principles of the NDIS, in</w:t>
      </w:r>
      <w:r w:rsidRPr="00CA1271">
        <w:t>cluding that the NDIS should:</w:t>
      </w:r>
    </w:p>
    <w:p w:rsidR="00520EA3" w:rsidRPr="00CA1271" w:rsidRDefault="00520EA3" w:rsidP="007A045B">
      <w:pPr>
        <w:pStyle w:val="TieredDotPoints"/>
        <w:numPr>
          <w:ilvl w:val="1"/>
          <w:numId w:val="12"/>
        </w:numPr>
      </w:pPr>
      <w:r w:rsidRPr="00CA1271">
        <w:t xml:space="preserve">Support the independence and social and economic participation of people with disability; </w:t>
      </w:r>
    </w:p>
    <w:p w:rsidR="00520EA3" w:rsidRPr="00CA1271" w:rsidRDefault="00520EA3" w:rsidP="00B77140">
      <w:pPr>
        <w:pStyle w:val="TieredDotPoints"/>
      </w:pPr>
      <w:r w:rsidRPr="00CA1271">
        <w:t>Enable people with disability to exercise choice and control in the pursuit of their goals and the planning and delivery of their supports;</w:t>
      </w:r>
    </w:p>
    <w:p w:rsidR="00520EA3" w:rsidRPr="00CA1271" w:rsidRDefault="00520EA3" w:rsidP="00B77140">
      <w:pPr>
        <w:pStyle w:val="TieredDotPoints"/>
      </w:pPr>
      <w:r w:rsidRPr="00CA1271">
        <w:t>Facilitate the development of a nationally consistent approach to the access to, and the planning and funding of, supports for people with disability;</w:t>
      </w:r>
    </w:p>
    <w:p w:rsidR="00520EA3" w:rsidRPr="00CA1271" w:rsidRDefault="00520EA3" w:rsidP="00B77140">
      <w:pPr>
        <w:pStyle w:val="TieredDotPoints"/>
      </w:pPr>
      <w:r w:rsidRPr="00CA1271">
        <w:t xml:space="preserve">Promote the provision of high quality and innovative supports that enable people with disability to maximise independent lifestyles and full inclusion in the community; </w:t>
      </w:r>
    </w:p>
    <w:p w:rsidR="00520EA3" w:rsidRPr="00CA1271" w:rsidRDefault="00115B6C" w:rsidP="00B77140">
      <w:pPr>
        <w:pStyle w:val="TieredDotPoints"/>
      </w:pPr>
      <w:r w:rsidRPr="00CA1271">
        <w:t>Adopt an insurance-</w:t>
      </w:r>
      <w:r w:rsidR="00520EA3" w:rsidRPr="00CA1271">
        <w:t>based approach, informed by actuarial analysis, to the provision and funding of supports for people with disability; and</w:t>
      </w:r>
    </w:p>
    <w:p w:rsidR="00520EA3" w:rsidRPr="00CA1271" w:rsidRDefault="00520EA3" w:rsidP="00B77140">
      <w:pPr>
        <w:pStyle w:val="TieredDotPoints"/>
      </w:pPr>
      <w:r w:rsidRPr="00CA1271">
        <w:t>Be financially sustainable.</w:t>
      </w:r>
    </w:p>
    <w:p w:rsidR="00C53439" w:rsidRPr="00CA1271" w:rsidRDefault="00E03936" w:rsidP="002A437A">
      <w:pPr>
        <w:pStyle w:val="Heading2"/>
      </w:pPr>
      <w:bookmarkStart w:id="12" w:name="_Toc42014716"/>
      <w:r w:rsidRPr="00CA1271">
        <w:t>Conduct of the review</w:t>
      </w:r>
      <w:bookmarkEnd w:id="12"/>
    </w:p>
    <w:p w:rsidR="00E03936" w:rsidRPr="00CA1271" w:rsidRDefault="00DC6F43" w:rsidP="002A437A">
      <w:r w:rsidRPr="00CA1271">
        <w:t>The Review has</w:t>
      </w:r>
      <w:r w:rsidR="00F64B52" w:rsidRPr="00CA1271">
        <w:t xml:space="preserve"> engaged in extensive consultations with industry, community and government stakeholders and undertook a program of research.</w:t>
      </w:r>
      <w:r w:rsidR="00F24A64" w:rsidRPr="00CA1271">
        <w:t xml:space="preserve"> </w:t>
      </w:r>
    </w:p>
    <w:p w:rsidR="00C53439" w:rsidRPr="00CA1271" w:rsidRDefault="00E415AF" w:rsidP="002A437A">
      <w:pPr>
        <w:pStyle w:val="Heading3"/>
      </w:pPr>
      <w:r w:rsidRPr="00CA1271">
        <w:t>Submissions</w:t>
      </w:r>
      <w:r w:rsidR="001F74D2" w:rsidRPr="00CA1271">
        <w:t xml:space="preserve"> from Participants and Providers</w:t>
      </w:r>
    </w:p>
    <w:p w:rsidR="002324EB" w:rsidRPr="00CA1271" w:rsidRDefault="00F64B52" w:rsidP="002A437A">
      <w:pPr>
        <w:rPr>
          <w:rFonts w:cs="Arial"/>
          <w:szCs w:val="22"/>
        </w:rPr>
      </w:pPr>
      <w:r w:rsidRPr="00CA1271">
        <w:rPr>
          <w:rFonts w:cs="Arial"/>
          <w:szCs w:val="22"/>
        </w:rPr>
        <w:t xml:space="preserve">An </w:t>
      </w:r>
      <w:r w:rsidRPr="00CA1271">
        <w:rPr>
          <w:rFonts w:cs="Arial"/>
          <w:i/>
          <w:szCs w:val="22"/>
        </w:rPr>
        <w:t>Issues Paper</w:t>
      </w:r>
      <w:r w:rsidRPr="00CA1271">
        <w:rPr>
          <w:rFonts w:cs="Arial"/>
          <w:szCs w:val="22"/>
        </w:rPr>
        <w:t xml:space="preserve"> was released on 28 November 2019 together with a public call for submission.</w:t>
      </w:r>
      <w:r w:rsidR="00CB4B0A" w:rsidRPr="00CA1271">
        <w:rPr>
          <w:rStyle w:val="FootnoteReference"/>
        </w:rPr>
        <w:t xml:space="preserve"> </w:t>
      </w:r>
      <w:r w:rsidR="00CB4B0A" w:rsidRPr="00CA1271">
        <w:rPr>
          <w:rStyle w:val="FootnoteReference"/>
        </w:rPr>
        <w:footnoteReference w:id="3"/>
      </w:r>
      <w:r w:rsidRPr="00CA1271">
        <w:rPr>
          <w:rFonts w:cs="Arial"/>
          <w:szCs w:val="22"/>
        </w:rPr>
        <w:t xml:space="preserve"> The formal closing date for submissions was 2 February 2020, but submissions received up until 8 April 2020 were taken into account in the Review. </w:t>
      </w:r>
      <w:r w:rsidR="00CA5B7E" w:rsidRPr="00CA1271">
        <w:rPr>
          <w:rFonts w:cs="Arial"/>
          <w:szCs w:val="22"/>
        </w:rPr>
        <w:t>Some</w:t>
      </w:r>
      <w:r w:rsidR="00E415AF" w:rsidRPr="00CA1271">
        <w:rPr>
          <w:rFonts w:cs="Arial"/>
          <w:szCs w:val="22"/>
        </w:rPr>
        <w:t xml:space="preserve"> </w:t>
      </w:r>
      <w:r w:rsidR="004F7314" w:rsidRPr="00CA1271">
        <w:rPr>
          <w:rFonts w:cs="Arial"/>
          <w:szCs w:val="22"/>
        </w:rPr>
        <w:t xml:space="preserve">109 </w:t>
      </w:r>
      <w:r w:rsidR="00E415AF" w:rsidRPr="00CA1271">
        <w:rPr>
          <w:rFonts w:cs="Arial"/>
          <w:szCs w:val="22"/>
        </w:rPr>
        <w:t xml:space="preserve">submissions were received by the closing date. </w:t>
      </w:r>
      <w:r w:rsidR="002324EB" w:rsidRPr="00CA1271">
        <w:rPr>
          <w:rFonts w:cs="Arial"/>
          <w:szCs w:val="22"/>
        </w:rPr>
        <w:t>A total of 139</w:t>
      </w:r>
      <w:r w:rsidRPr="00CA1271">
        <w:rPr>
          <w:rFonts w:cs="Arial"/>
          <w:szCs w:val="22"/>
        </w:rPr>
        <w:t xml:space="preserve"> submissions had been received and analysed by </w:t>
      </w:r>
      <w:r w:rsidR="00E415AF" w:rsidRPr="00CA1271">
        <w:rPr>
          <w:rFonts w:cs="Arial"/>
          <w:szCs w:val="22"/>
        </w:rPr>
        <w:t>8 April 2020</w:t>
      </w:r>
      <w:r w:rsidRPr="00CA1271">
        <w:rPr>
          <w:rFonts w:cs="Arial"/>
          <w:szCs w:val="22"/>
        </w:rPr>
        <w:t>.</w:t>
      </w:r>
      <w:r w:rsidR="00CA5B7E" w:rsidRPr="00CA1271">
        <w:rPr>
          <w:rFonts w:cs="Arial"/>
          <w:szCs w:val="22"/>
        </w:rPr>
        <w:t xml:space="preserve"> </w:t>
      </w:r>
      <w:r w:rsidR="00804DA9" w:rsidRPr="00CA1271">
        <w:rPr>
          <w:rFonts w:cs="Arial"/>
          <w:szCs w:val="22"/>
        </w:rPr>
        <w:t>Most</w:t>
      </w:r>
      <w:r w:rsidR="009B6E43" w:rsidRPr="00CA1271">
        <w:rPr>
          <w:rFonts w:cs="Arial"/>
          <w:szCs w:val="22"/>
        </w:rPr>
        <w:t xml:space="preserve"> submissions </w:t>
      </w:r>
      <w:r w:rsidR="00804DA9" w:rsidRPr="00CA1271">
        <w:rPr>
          <w:rFonts w:cs="Arial"/>
          <w:szCs w:val="22"/>
        </w:rPr>
        <w:t>(</w:t>
      </w:r>
      <w:r w:rsidR="004F7314" w:rsidRPr="00CA1271">
        <w:rPr>
          <w:rFonts w:cs="Arial"/>
          <w:szCs w:val="22"/>
        </w:rPr>
        <w:t>100</w:t>
      </w:r>
      <w:r w:rsidR="00804DA9" w:rsidRPr="00CA1271">
        <w:rPr>
          <w:rFonts w:cs="Arial"/>
          <w:szCs w:val="22"/>
        </w:rPr>
        <w:t xml:space="preserve">) </w:t>
      </w:r>
      <w:r w:rsidR="009B6E43" w:rsidRPr="00CA1271">
        <w:rPr>
          <w:rFonts w:cs="Arial"/>
          <w:szCs w:val="22"/>
        </w:rPr>
        <w:t>were from</w:t>
      </w:r>
      <w:r w:rsidR="002324EB" w:rsidRPr="00CA1271">
        <w:rPr>
          <w:rFonts w:cs="Arial"/>
          <w:szCs w:val="22"/>
        </w:rPr>
        <w:t xml:space="preserve"> registered providers, including 12 from </w:t>
      </w:r>
      <w:r w:rsidR="004F7314" w:rsidRPr="00CA1271">
        <w:rPr>
          <w:rFonts w:cs="Arial"/>
          <w:szCs w:val="22"/>
        </w:rPr>
        <w:t xml:space="preserve">providers who were predominantly </w:t>
      </w:r>
      <w:r w:rsidR="002324EB" w:rsidRPr="00CA1271">
        <w:rPr>
          <w:rFonts w:cs="Arial"/>
          <w:szCs w:val="22"/>
        </w:rPr>
        <w:t>plan managers. A further 1</w:t>
      </w:r>
      <w:r w:rsidR="004F7314" w:rsidRPr="00CA1271">
        <w:rPr>
          <w:rFonts w:cs="Arial"/>
          <w:szCs w:val="22"/>
        </w:rPr>
        <w:t>4</w:t>
      </w:r>
      <w:r w:rsidR="002324EB" w:rsidRPr="00CA1271">
        <w:rPr>
          <w:rFonts w:cs="Arial"/>
          <w:szCs w:val="22"/>
        </w:rPr>
        <w:t xml:space="preserve"> submissions were received from provider peak bodies. The participant voice was also heard, with 1</w:t>
      </w:r>
      <w:r w:rsidR="004F7314" w:rsidRPr="00CA1271">
        <w:rPr>
          <w:rFonts w:cs="Arial"/>
          <w:szCs w:val="22"/>
        </w:rPr>
        <w:t>3</w:t>
      </w:r>
      <w:r w:rsidR="002324EB" w:rsidRPr="00CA1271">
        <w:rPr>
          <w:rFonts w:cs="Arial"/>
          <w:szCs w:val="22"/>
        </w:rPr>
        <w:t xml:space="preserve"> submissions from </w:t>
      </w:r>
      <w:r w:rsidR="00804DA9" w:rsidRPr="00CA1271">
        <w:rPr>
          <w:rFonts w:cs="Arial"/>
          <w:szCs w:val="22"/>
        </w:rPr>
        <w:t xml:space="preserve">participant </w:t>
      </w:r>
      <w:r w:rsidR="002324EB" w:rsidRPr="00CA1271">
        <w:rPr>
          <w:rFonts w:cs="Arial"/>
          <w:szCs w:val="22"/>
        </w:rPr>
        <w:t>advocacy bodies and 10 from participants or their nominees.</w:t>
      </w:r>
    </w:p>
    <w:p w:rsidR="002077D2" w:rsidRPr="00CA1271" w:rsidRDefault="004F7314" w:rsidP="002077D2">
      <w:pPr>
        <w:rPr>
          <w:rFonts w:cs="Arial"/>
          <w:szCs w:val="22"/>
        </w:rPr>
      </w:pPr>
      <w:r w:rsidRPr="00CA1271">
        <w:rPr>
          <w:rFonts w:cs="Arial"/>
          <w:szCs w:val="22"/>
        </w:rPr>
        <w:t xml:space="preserve">Some 96 of the registered providers </w:t>
      </w:r>
      <w:r w:rsidR="00193D3E" w:rsidRPr="00CA1271">
        <w:rPr>
          <w:rFonts w:cs="Arial"/>
          <w:szCs w:val="22"/>
        </w:rPr>
        <w:t xml:space="preserve">who made submissions to the Review </w:t>
      </w:r>
      <w:r w:rsidRPr="00CA1271">
        <w:rPr>
          <w:rFonts w:cs="Arial"/>
          <w:szCs w:val="22"/>
        </w:rPr>
        <w:t xml:space="preserve">had made claims for payment from the NDIS. </w:t>
      </w:r>
      <w:r w:rsidR="00F0241D" w:rsidRPr="00CA1271">
        <w:rPr>
          <w:rFonts w:cs="Arial"/>
          <w:szCs w:val="22"/>
        </w:rPr>
        <w:t>Submission</w:t>
      </w:r>
      <w:r w:rsidR="00B17501" w:rsidRPr="00CA1271">
        <w:rPr>
          <w:rFonts w:cs="Arial"/>
          <w:szCs w:val="22"/>
        </w:rPr>
        <w:t>s</w:t>
      </w:r>
      <w:r w:rsidR="00F0241D" w:rsidRPr="00CA1271">
        <w:rPr>
          <w:rFonts w:cs="Arial"/>
          <w:szCs w:val="22"/>
        </w:rPr>
        <w:t xml:space="preserve"> from </w:t>
      </w:r>
      <w:r w:rsidRPr="00CA1271">
        <w:rPr>
          <w:rFonts w:cs="Arial"/>
          <w:szCs w:val="22"/>
        </w:rPr>
        <w:t xml:space="preserve">these </w:t>
      </w:r>
      <w:r w:rsidR="00F0241D" w:rsidRPr="00CA1271">
        <w:rPr>
          <w:rFonts w:cs="Arial"/>
          <w:szCs w:val="22"/>
        </w:rPr>
        <w:t xml:space="preserve">providers </w:t>
      </w:r>
      <w:r w:rsidR="00B17501" w:rsidRPr="00CA1271">
        <w:rPr>
          <w:rFonts w:cs="Arial"/>
          <w:szCs w:val="22"/>
        </w:rPr>
        <w:t>were divided evenly between for-profit (46) and not-for-</w:t>
      </w:r>
      <w:r w:rsidR="00F0241D" w:rsidRPr="00CA1271">
        <w:rPr>
          <w:rFonts w:cs="Arial"/>
          <w:szCs w:val="22"/>
        </w:rPr>
        <w:t xml:space="preserve">profit providers (50). </w:t>
      </w:r>
      <w:r w:rsidR="002077D2" w:rsidRPr="00CA1271">
        <w:rPr>
          <w:rFonts w:cs="Arial"/>
          <w:szCs w:val="22"/>
        </w:rPr>
        <w:t>Submissions from providers were received from all states and territories</w:t>
      </w:r>
      <w:r w:rsidR="003E6ABD" w:rsidRPr="00CA1271">
        <w:rPr>
          <w:rFonts w:cs="Arial"/>
          <w:szCs w:val="22"/>
        </w:rPr>
        <w:t xml:space="preserve"> (roughly in line with participant numbers</w:t>
      </w:r>
      <w:r w:rsidR="00B17501" w:rsidRPr="00CA1271">
        <w:rPr>
          <w:rFonts w:cs="Arial"/>
          <w:szCs w:val="22"/>
        </w:rPr>
        <w:t xml:space="preserve"> - see </w:t>
      </w:r>
      <w:r w:rsidR="00B17501" w:rsidRPr="00CA1271">
        <w:rPr>
          <w:rFonts w:cs="Arial"/>
          <w:szCs w:val="22"/>
        </w:rPr>
        <w:fldChar w:fldCharType="begin"/>
      </w:r>
      <w:r w:rsidR="00B17501" w:rsidRPr="00CA1271">
        <w:rPr>
          <w:rFonts w:cs="Arial"/>
          <w:szCs w:val="22"/>
        </w:rPr>
        <w:instrText xml:space="preserve"> REF _Ref38188947 \h  \* MERGEFORMAT </w:instrText>
      </w:r>
      <w:r w:rsidR="00B17501" w:rsidRPr="00CA1271">
        <w:rPr>
          <w:rFonts w:cs="Arial"/>
          <w:szCs w:val="22"/>
        </w:rPr>
      </w:r>
      <w:r w:rsidR="00B17501" w:rsidRPr="00CA1271">
        <w:rPr>
          <w:rFonts w:cs="Arial"/>
          <w:szCs w:val="22"/>
        </w:rPr>
        <w:fldChar w:fldCharType="separate"/>
      </w:r>
      <w:r w:rsidR="00B621CC" w:rsidRPr="00CA1271">
        <w:t xml:space="preserve">Table </w:t>
      </w:r>
      <w:r w:rsidR="00B621CC">
        <w:rPr>
          <w:noProof/>
        </w:rPr>
        <w:t>1</w:t>
      </w:r>
      <w:r w:rsidR="00B17501" w:rsidRPr="00CA1271">
        <w:rPr>
          <w:rFonts w:cs="Arial"/>
          <w:szCs w:val="22"/>
        </w:rPr>
        <w:fldChar w:fldCharType="end"/>
      </w:r>
      <w:r w:rsidR="00B17501" w:rsidRPr="00CA1271">
        <w:rPr>
          <w:rFonts w:cs="Arial"/>
          <w:szCs w:val="22"/>
        </w:rPr>
        <w:t>). S</w:t>
      </w:r>
      <w:r w:rsidR="002077D2" w:rsidRPr="00CA1271">
        <w:rPr>
          <w:rFonts w:cs="Arial"/>
          <w:szCs w:val="22"/>
        </w:rPr>
        <w:t>ome 68</w:t>
      </w:r>
      <w:r w:rsidR="00E80A7C" w:rsidRPr="00CA1271">
        <w:rPr>
          <w:rFonts w:cs="Arial"/>
          <w:szCs w:val="22"/>
        </w:rPr>
        <w:t>%</w:t>
      </w:r>
      <w:r w:rsidR="002077D2" w:rsidRPr="00CA1271">
        <w:rPr>
          <w:rFonts w:cs="Arial"/>
          <w:szCs w:val="22"/>
        </w:rPr>
        <w:t xml:space="preserve"> of </w:t>
      </w:r>
      <w:r w:rsidR="00B17501" w:rsidRPr="00CA1271">
        <w:rPr>
          <w:rFonts w:cs="Arial"/>
          <w:szCs w:val="22"/>
        </w:rPr>
        <w:t xml:space="preserve">providers who made </w:t>
      </w:r>
      <w:r w:rsidR="002077D2" w:rsidRPr="00CA1271">
        <w:rPr>
          <w:rFonts w:cs="Arial"/>
          <w:szCs w:val="22"/>
        </w:rPr>
        <w:t>submissions had participants in more than one state/territory</w:t>
      </w:r>
      <w:r w:rsidR="003E6ABD" w:rsidRPr="00CA1271">
        <w:rPr>
          <w:rFonts w:cs="Arial"/>
          <w:szCs w:val="22"/>
        </w:rPr>
        <w:t xml:space="preserve"> </w:t>
      </w:r>
    </w:p>
    <w:p w:rsidR="003E6ABD" w:rsidRPr="00CA1271" w:rsidRDefault="003E6ABD" w:rsidP="003E6ABD">
      <w:pPr>
        <w:pStyle w:val="Caption"/>
      </w:pPr>
      <w:bookmarkStart w:id="13" w:name="_Ref38188947"/>
      <w:bookmarkStart w:id="14" w:name="_Toc42014780"/>
      <w:r w:rsidRPr="00CA1271">
        <w:t xml:space="preserve">Table </w:t>
      </w:r>
      <w:r w:rsidRPr="00CA1271">
        <w:fldChar w:fldCharType="begin"/>
      </w:r>
      <w:r w:rsidRPr="00CA1271">
        <w:instrText xml:space="preserve"> SEQ Table \* ARABIC </w:instrText>
      </w:r>
      <w:r w:rsidRPr="00CA1271">
        <w:fldChar w:fldCharType="separate"/>
      </w:r>
      <w:r w:rsidR="00B621CC">
        <w:rPr>
          <w:noProof/>
        </w:rPr>
        <w:t>1</w:t>
      </w:r>
      <w:r w:rsidRPr="00CA1271">
        <w:fldChar w:fldCharType="end"/>
      </w:r>
      <w:bookmarkEnd w:id="13"/>
      <w:r w:rsidR="008E6A7F">
        <w:t xml:space="preserve"> - Distribution of Submissions R</w:t>
      </w:r>
      <w:r w:rsidRPr="00CA1271">
        <w:t>eceived by the Annual Pricing Review</w:t>
      </w:r>
      <w:bookmarkEnd w:id="14"/>
    </w:p>
    <w:tbl>
      <w:tblPr>
        <w:tblStyle w:val="GridTable4-Accent4"/>
        <w:tblW w:w="9360" w:type="dxa"/>
        <w:tblLook w:val="0420" w:firstRow="1" w:lastRow="0" w:firstColumn="0" w:lastColumn="0" w:noHBand="0" w:noVBand="1"/>
        <w:tblCaption w:val="Table 1 - Distribution of Submissions Received by the Annual Pricing Review"/>
      </w:tblPr>
      <w:tblGrid>
        <w:gridCol w:w="3258"/>
        <w:gridCol w:w="762"/>
        <w:gridCol w:w="762"/>
        <w:gridCol w:w="763"/>
        <w:gridCol w:w="763"/>
        <w:gridCol w:w="763"/>
        <w:gridCol w:w="763"/>
        <w:gridCol w:w="763"/>
        <w:gridCol w:w="763"/>
      </w:tblGrid>
      <w:tr w:rsidR="003E6ABD" w:rsidRPr="00CA1271" w:rsidTr="00593582">
        <w:trPr>
          <w:cnfStyle w:val="100000000000" w:firstRow="1" w:lastRow="0" w:firstColumn="0" w:lastColumn="0" w:oddVBand="0" w:evenVBand="0" w:oddHBand="0" w:evenHBand="0" w:firstRowFirstColumn="0" w:firstRowLastColumn="0" w:lastRowFirstColumn="0" w:lastRowLastColumn="0"/>
          <w:trHeight w:val="300"/>
          <w:tblHeader/>
        </w:trPr>
        <w:tc>
          <w:tcPr>
            <w:tcW w:w="3258" w:type="dxa"/>
            <w:noWrap/>
            <w:hideMark/>
          </w:tcPr>
          <w:p w:rsidR="003E6ABD" w:rsidRPr="00CA1271" w:rsidRDefault="003E6ABD" w:rsidP="007051A7">
            <w:pPr>
              <w:rPr>
                <w:rFonts w:ascii="Times New Roman" w:eastAsia="Times New Roman" w:hAnsi="Times New Roman" w:cs="Times New Roman"/>
                <w:szCs w:val="18"/>
                <w:lang w:eastAsia="en-AU"/>
              </w:rPr>
            </w:pPr>
          </w:p>
        </w:tc>
        <w:tc>
          <w:tcPr>
            <w:tcW w:w="762" w:type="dxa"/>
            <w:noWrap/>
            <w:hideMark/>
          </w:tcPr>
          <w:p w:rsidR="003E6ABD" w:rsidRPr="00CA1271" w:rsidRDefault="003E6ABD" w:rsidP="007051A7">
            <w:pPr>
              <w:jc w:val="right"/>
              <w:rPr>
                <w:rFonts w:ascii="Calibri" w:eastAsia="Times New Roman" w:hAnsi="Calibri" w:cs="Calibri"/>
                <w:szCs w:val="18"/>
                <w:lang w:eastAsia="en-AU"/>
              </w:rPr>
            </w:pPr>
            <w:r w:rsidRPr="00CA1271">
              <w:rPr>
                <w:rFonts w:ascii="Calibri" w:eastAsia="Times New Roman" w:hAnsi="Calibri" w:cs="Calibri"/>
                <w:szCs w:val="18"/>
                <w:lang w:eastAsia="en-AU"/>
              </w:rPr>
              <w:t>NSW</w:t>
            </w:r>
          </w:p>
        </w:tc>
        <w:tc>
          <w:tcPr>
            <w:tcW w:w="762" w:type="dxa"/>
            <w:noWrap/>
            <w:hideMark/>
          </w:tcPr>
          <w:p w:rsidR="003E6ABD" w:rsidRPr="00CA1271" w:rsidRDefault="003E6ABD" w:rsidP="007051A7">
            <w:pPr>
              <w:jc w:val="right"/>
              <w:rPr>
                <w:rFonts w:ascii="Calibri" w:eastAsia="Times New Roman" w:hAnsi="Calibri" w:cs="Calibri"/>
                <w:szCs w:val="18"/>
                <w:lang w:eastAsia="en-AU"/>
              </w:rPr>
            </w:pPr>
            <w:r w:rsidRPr="00CA1271">
              <w:rPr>
                <w:rFonts w:ascii="Calibri" w:eastAsia="Times New Roman" w:hAnsi="Calibri" w:cs="Calibri"/>
                <w:szCs w:val="18"/>
                <w:lang w:eastAsia="en-AU"/>
              </w:rPr>
              <w:t>VIC</w:t>
            </w:r>
          </w:p>
        </w:tc>
        <w:tc>
          <w:tcPr>
            <w:tcW w:w="763" w:type="dxa"/>
            <w:noWrap/>
            <w:hideMark/>
          </w:tcPr>
          <w:p w:rsidR="003E6ABD" w:rsidRPr="00CA1271" w:rsidRDefault="003E6ABD" w:rsidP="007051A7">
            <w:pPr>
              <w:jc w:val="right"/>
              <w:rPr>
                <w:rFonts w:ascii="Calibri" w:eastAsia="Times New Roman" w:hAnsi="Calibri" w:cs="Calibri"/>
                <w:szCs w:val="18"/>
                <w:lang w:eastAsia="en-AU"/>
              </w:rPr>
            </w:pPr>
            <w:r w:rsidRPr="00CA1271">
              <w:rPr>
                <w:rFonts w:ascii="Calibri" w:eastAsia="Times New Roman" w:hAnsi="Calibri" w:cs="Calibri"/>
                <w:szCs w:val="18"/>
                <w:lang w:eastAsia="en-AU"/>
              </w:rPr>
              <w:t>QLD</w:t>
            </w:r>
          </w:p>
        </w:tc>
        <w:tc>
          <w:tcPr>
            <w:tcW w:w="763" w:type="dxa"/>
            <w:noWrap/>
            <w:hideMark/>
          </w:tcPr>
          <w:p w:rsidR="003E6ABD" w:rsidRPr="00CA1271" w:rsidRDefault="003E6ABD" w:rsidP="007051A7">
            <w:pPr>
              <w:jc w:val="right"/>
              <w:rPr>
                <w:rFonts w:ascii="Calibri" w:eastAsia="Times New Roman" w:hAnsi="Calibri" w:cs="Calibri"/>
                <w:szCs w:val="18"/>
                <w:lang w:eastAsia="en-AU"/>
              </w:rPr>
            </w:pPr>
            <w:r w:rsidRPr="00CA1271">
              <w:rPr>
                <w:rFonts w:ascii="Calibri" w:eastAsia="Times New Roman" w:hAnsi="Calibri" w:cs="Calibri"/>
                <w:szCs w:val="18"/>
                <w:lang w:eastAsia="en-AU"/>
              </w:rPr>
              <w:t>SA</w:t>
            </w:r>
          </w:p>
        </w:tc>
        <w:tc>
          <w:tcPr>
            <w:tcW w:w="763" w:type="dxa"/>
            <w:noWrap/>
            <w:hideMark/>
          </w:tcPr>
          <w:p w:rsidR="003E6ABD" w:rsidRPr="00CA1271" w:rsidRDefault="003E6ABD" w:rsidP="007051A7">
            <w:pPr>
              <w:jc w:val="right"/>
              <w:rPr>
                <w:rFonts w:ascii="Calibri" w:eastAsia="Times New Roman" w:hAnsi="Calibri" w:cs="Calibri"/>
                <w:szCs w:val="18"/>
                <w:lang w:eastAsia="en-AU"/>
              </w:rPr>
            </w:pPr>
            <w:r w:rsidRPr="00CA1271">
              <w:rPr>
                <w:rFonts w:ascii="Calibri" w:eastAsia="Times New Roman" w:hAnsi="Calibri" w:cs="Calibri"/>
                <w:szCs w:val="18"/>
                <w:lang w:eastAsia="en-AU"/>
              </w:rPr>
              <w:t>WA</w:t>
            </w:r>
          </w:p>
        </w:tc>
        <w:tc>
          <w:tcPr>
            <w:tcW w:w="763" w:type="dxa"/>
            <w:noWrap/>
            <w:hideMark/>
          </w:tcPr>
          <w:p w:rsidR="003E6ABD" w:rsidRPr="00CA1271" w:rsidRDefault="003E6ABD" w:rsidP="007051A7">
            <w:pPr>
              <w:jc w:val="right"/>
              <w:rPr>
                <w:rFonts w:ascii="Calibri" w:eastAsia="Times New Roman" w:hAnsi="Calibri" w:cs="Calibri"/>
                <w:szCs w:val="18"/>
                <w:lang w:eastAsia="en-AU"/>
              </w:rPr>
            </w:pPr>
            <w:r w:rsidRPr="00CA1271">
              <w:rPr>
                <w:rFonts w:ascii="Calibri" w:eastAsia="Times New Roman" w:hAnsi="Calibri" w:cs="Calibri"/>
                <w:szCs w:val="18"/>
                <w:lang w:eastAsia="en-AU"/>
              </w:rPr>
              <w:t>TAS</w:t>
            </w:r>
          </w:p>
        </w:tc>
        <w:tc>
          <w:tcPr>
            <w:tcW w:w="763" w:type="dxa"/>
            <w:noWrap/>
            <w:hideMark/>
          </w:tcPr>
          <w:p w:rsidR="003E6ABD" w:rsidRPr="00CA1271" w:rsidRDefault="003E6ABD" w:rsidP="007051A7">
            <w:pPr>
              <w:jc w:val="right"/>
              <w:rPr>
                <w:rFonts w:ascii="Calibri" w:eastAsia="Times New Roman" w:hAnsi="Calibri" w:cs="Calibri"/>
                <w:szCs w:val="18"/>
                <w:lang w:eastAsia="en-AU"/>
              </w:rPr>
            </w:pPr>
            <w:r w:rsidRPr="00CA1271">
              <w:rPr>
                <w:rFonts w:ascii="Calibri" w:eastAsia="Times New Roman" w:hAnsi="Calibri" w:cs="Calibri"/>
                <w:szCs w:val="18"/>
                <w:lang w:eastAsia="en-AU"/>
              </w:rPr>
              <w:t>ACT</w:t>
            </w:r>
          </w:p>
        </w:tc>
        <w:tc>
          <w:tcPr>
            <w:tcW w:w="763" w:type="dxa"/>
            <w:noWrap/>
            <w:hideMark/>
          </w:tcPr>
          <w:p w:rsidR="003E6ABD" w:rsidRPr="00CA1271" w:rsidRDefault="003E6ABD" w:rsidP="007051A7">
            <w:pPr>
              <w:jc w:val="right"/>
              <w:rPr>
                <w:rFonts w:ascii="Calibri" w:eastAsia="Times New Roman" w:hAnsi="Calibri" w:cs="Calibri"/>
                <w:szCs w:val="18"/>
                <w:lang w:eastAsia="en-AU"/>
              </w:rPr>
            </w:pPr>
            <w:r w:rsidRPr="00CA1271">
              <w:rPr>
                <w:rFonts w:ascii="Calibri" w:eastAsia="Times New Roman" w:hAnsi="Calibri" w:cs="Calibri"/>
                <w:szCs w:val="18"/>
                <w:lang w:eastAsia="en-AU"/>
              </w:rPr>
              <w:t>NT</w:t>
            </w:r>
          </w:p>
        </w:tc>
      </w:tr>
      <w:tr w:rsidR="003E6ABD" w:rsidRPr="00CA1271" w:rsidTr="003E6ABD">
        <w:trPr>
          <w:cnfStyle w:val="000000100000" w:firstRow="0" w:lastRow="0" w:firstColumn="0" w:lastColumn="0" w:oddVBand="0" w:evenVBand="0" w:oddHBand="1" w:evenHBand="0" w:firstRowFirstColumn="0" w:firstRowLastColumn="0" w:lastRowFirstColumn="0" w:lastRowLastColumn="0"/>
          <w:trHeight w:val="300"/>
        </w:trPr>
        <w:tc>
          <w:tcPr>
            <w:tcW w:w="3258" w:type="dxa"/>
            <w:noWrap/>
            <w:hideMark/>
          </w:tcPr>
          <w:p w:rsidR="003E6ABD" w:rsidRPr="00CA1271" w:rsidRDefault="003E6ABD" w:rsidP="007051A7">
            <w:pPr>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Share of NDIS revenue in TTP Survey</w:t>
            </w:r>
          </w:p>
        </w:tc>
        <w:tc>
          <w:tcPr>
            <w:tcW w:w="762"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41.4%</w:t>
            </w:r>
          </w:p>
        </w:tc>
        <w:tc>
          <w:tcPr>
            <w:tcW w:w="762"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20.6%</w:t>
            </w:r>
          </w:p>
        </w:tc>
        <w:tc>
          <w:tcPr>
            <w:tcW w:w="763"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16.1%</w:t>
            </w:r>
          </w:p>
        </w:tc>
        <w:tc>
          <w:tcPr>
            <w:tcW w:w="763"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11.2%</w:t>
            </w:r>
          </w:p>
        </w:tc>
        <w:tc>
          <w:tcPr>
            <w:tcW w:w="763"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6.4%</w:t>
            </w:r>
          </w:p>
        </w:tc>
        <w:tc>
          <w:tcPr>
            <w:tcW w:w="763"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2.2%</w:t>
            </w:r>
          </w:p>
        </w:tc>
        <w:tc>
          <w:tcPr>
            <w:tcW w:w="763"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1.9%</w:t>
            </w:r>
          </w:p>
        </w:tc>
        <w:tc>
          <w:tcPr>
            <w:tcW w:w="763"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0.2%</w:t>
            </w:r>
          </w:p>
        </w:tc>
      </w:tr>
      <w:tr w:rsidR="003E6ABD" w:rsidRPr="00CA1271" w:rsidTr="003E6ABD">
        <w:trPr>
          <w:trHeight w:val="300"/>
        </w:trPr>
        <w:tc>
          <w:tcPr>
            <w:tcW w:w="3258" w:type="dxa"/>
            <w:noWrap/>
            <w:hideMark/>
          </w:tcPr>
          <w:p w:rsidR="003E6ABD" w:rsidRPr="00CA1271" w:rsidRDefault="003E6ABD" w:rsidP="007051A7">
            <w:pPr>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Share of Active Participants (201920Q2)</w:t>
            </w:r>
          </w:p>
        </w:tc>
        <w:tc>
          <w:tcPr>
            <w:tcW w:w="762"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33.5%</w:t>
            </w:r>
          </w:p>
        </w:tc>
        <w:tc>
          <w:tcPr>
            <w:tcW w:w="762"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26.8%</w:t>
            </w:r>
          </w:p>
        </w:tc>
        <w:tc>
          <w:tcPr>
            <w:tcW w:w="763"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18.2%</w:t>
            </w:r>
          </w:p>
        </w:tc>
        <w:tc>
          <w:tcPr>
            <w:tcW w:w="763"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9.2%</w:t>
            </w:r>
          </w:p>
        </w:tc>
        <w:tc>
          <w:tcPr>
            <w:tcW w:w="763"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7.1%</w:t>
            </w:r>
          </w:p>
        </w:tc>
        <w:tc>
          <w:tcPr>
            <w:tcW w:w="763"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2.3%</w:t>
            </w:r>
          </w:p>
        </w:tc>
        <w:tc>
          <w:tcPr>
            <w:tcW w:w="763"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2.1%</w:t>
            </w:r>
          </w:p>
        </w:tc>
        <w:tc>
          <w:tcPr>
            <w:tcW w:w="763" w:type="dxa"/>
            <w:noWrap/>
            <w:hideMark/>
          </w:tcPr>
          <w:p w:rsidR="003E6ABD" w:rsidRPr="00CA1271" w:rsidRDefault="003E6ABD" w:rsidP="007051A7">
            <w:pPr>
              <w:jc w:val="right"/>
              <w:rPr>
                <w:rFonts w:ascii="Calibri" w:eastAsia="Times New Roman" w:hAnsi="Calibri" w:cs="Calibri"/>
                <w:color w:val="000000"/>
                <w:szCs w:val="18"/>
                <w:lang w:eastAsia="en-AU"/>
              </w:rPr>
            </w:pPr>
            <w:r w:rsidRPr="00CA1271">
              <w:rPr>
                <w:rFonts w:ascii="Calibri" w:eastAsia="Times New Roman" w:hAnsi="Calibri" w:cs="Calibri"/>
                <w:color w:val="000000"/>
                <w:szCs w:val="18"/>
                <w:lang w:eastAsia="en-AU"/>
              </w:rPr>
              <w:t>0.8%</w:t>
            </w:r>
          </w:p>
        </w:tc>
      </w:tr>
    </w:tbl>
    <w:p w:rsidR="00F0241D" w:rsidRPr="00CA1271" w:rsidRDefault="00D67E6A" w:rsidP="00F0241D">
      <w:pPr>
        <w:rPr>
          <w:rFonts w:cs="Arial"/>
          <w:szCs w:val="22"/>
        </w:rPr>
      </w:pPr>
      <w:r w:rsidRPr="00CA1271">
        <w:rPr>
          <w:rFonts w:cs="Arial"/>
          <w:szCs w:val="22"/>
        </w:rPr>
        <w:t>P</w:t>
      </w:r>
      <w:r w:rsidR="00F0241D" w:rsidRPr="00CA1271">
        <w:rPr>
          <w:rFonts w:cs="Arial"/>
          <w:szCs w:val="22"/>
        </w:rPr>
        <w:t xml:space="preserve">roviders who made submissions ranged </w:t>
      </w:r>
      <w:r w:rsidR="00193D3E" w:rsidRPr="00CA1271">
        <w:rPr>
          <w:rFonts w:cs="Arial"/>
          <w:szCs w:val="22"/>
        </w:rPr>
        <w:t xml:space="preserve">in size </w:t>
      </w:r>
      <w:r w:rsidR="00F0241D" w:rsidRPr="00CA1271">
        <w:rPr>
          <w:rFonts w:cs="Arial"/>
          <w:szCs w:val="22"/>
        </w:rPr>
        <w:t>from servicing under 10 participants, to over 10,000,</w:t>
      </w:r>
      <w:r w:rsidR="002077D2" w:rsidRPr="00CA1271">
        <w:rPr>
          <w:rFonts w:cs="Arial"/>
          <w:szCs w:val="22"/>
        </w:rPr>
        <w:t xml:space="preserve"> </w:t>
      </w:r>
      <w:r w:rsidR="00F0241D" w:rsidRPr="00CA1271">
        <w:rPr>
          <w:rFonts w:cs="Arial"/>
          <w:szCs w:val="22"/>
        </w:rPr>
        <w:t xml:space="preserve">with the average being </w:t>
      </w:r>
      <w:r w:rsidR="00141268" w:rsidRPr="00CA1271">
        <w:rPr>
          <w:rFonts w:cs="Arial"/>
          <w:szCs w:val="22"/>
        </w:rPr>
        <w:t>899 and the median 284</w:t>
      </w:r>
      <w:r w:rsidRPr="00CA1271">
        <w:rPr>
          <w:rFonts w:cs="Arial"/>
          <w:szCs w:val="22"/>
        </w:rPr>
        <w:t xml:space="preserve">. They also </w:t>
      </w:r>
      <w:r w:rsidRPr="00CA1271">
        <w:t xml:space="preserve">ranged from having under $10,000 in NDIS revenue to over $50 million, with the average being around $15 million and the median being around $5 million </w:t>
      </w:r>
      <w:r w:rsidRPr="00CA1271">
        <w:rPr>
          <w:rFonts w:cs="Arial"/>
          <w:szCs w:val="22"/>
        </w:rPr>
        <w:t xml:space="preserve">(see </w:t>
      </w:r>
      <w:r w:rsidRPr="00CA1271">
        <w:rPr>
          <w:rFonts w:cs="Arial"/>
          <w:szCs w:val="22"/>
        </w:rPr>
        <w:fldChar w:fldCharType="begin"/>
      </w:r>
      <w:r w:rsidRPr="00CA1271">
        <w:rPr>
          <w:rFonts w:cs="Arial"/>
          <w:szCs w:val="22"/>
        </w:rPr>
        <w:instrText xml:space="preserve"> REF _Ref37880851 \h  \* MERGEFORMAT </w:instrText>
      </w:r>
      <w:r w:rsidRPr="00CA1271">
        <w:rPr>
          <w:rFonts w:cs="Arial"/>
          <w:szCs w:val="22"/>
        </w:rPr>
      </w:r>
      <w:r w:rsidRPr="00CA1271">
        <w:rPr>
          <w:rFonts w:cs="Arial"/>
          <w:szCs w:val="22"/>
        </w:rPr>
        <w:fldChar w:fldCharType="separate"/>
      </w:r>
      <w:r w:rsidR="00B621CC" w:rsidRPr="00CA1271">
        <w:t xml:space="preserve">Figure </w:t>
      </w:r>
      <w:r w:rsidR="00B621CC">
        <w:t>1</w:t>
      </w:r>
      <w:r w:rsidRPr="00CA1271">
        <w:rPr>
          <w:rFonts w:cs="Arial"/>
          <w:szCs w:val="22"/>
        </w:rPr>
        <w:fldChar w:fldCharType="end"/>
      </w:r>
      <w:r w:rsidRPr="00CA1271">
        <w:rPr>
          <w:rFonts w:cs="Arial"/>
          <w:szCs w:val="22"/>
        </w:rPr>
        <w:t>).</w:t>
      </w:r>
    </w:p>
    <w:p w:rsidR="00DC05CD" w:rsidRPr="00CA1271" w:rsidRDefault="00DC05CD" w:rsidP="00593582">
      <w:pPr>
        <w:pStyle w:val="Caption"/>
        <w:spacing w:before="0" w:after="0"/>
      </w:pPr>
      <w:bookmarkStart w:id="15" w:name="_Ref37880851"/>
      <w:bookmarkStart w:id="16" w:name="_Toc42014773"/>
      <w:r w:rsidRPr="00CA1271">
        <w:t xml:space="preserve">Figure </w:t>
      </w:r>
      <w:r w:rsidRPr="00CA1271">
        <w:fldChar w:fldCharType="begin"/>
      </w:r>
      <w:r w:rsidRPr="00CA1271">
        <w:instrText xml:space="preserve"> SEQ Figure \* ARABIC </w:instrText>
      </w:r>
      <w:r w:rsidRPr="00CA1271">
        <w:fldChar w:fldCharType="separate"/>
      </w:r>
      <w:r w:rsidR="00B621CC">
        <w:rPr>
          <w:noProof/>
        </w:rPr>
        <w:t>1</w:t>
      </w:r>
      <w:r w:rsidRPr="00CA1271">
        <w:fldChar w:fldCharType="end"/>
      </w:r>
      <w:bookmarkEnd w:id="15"/>
      <w:r w:rsidRPr="00CA1271">
        <w:t xml:space="preserve"> - Distribution of Submissions by Number of Participants</w:t>
      </w:r>
      <w:r w:rsidR="00D67E6A" w:rsidRPr="00CA1271">
        <w:t xml:space="preserve"> and NDIS Revenue </w:t>
      </w:r>
      <w:r w:rsidRPr="00CA1271">
        <w:t xml:space="preserve">of </w:t>
      </w:r>
      <w:r w:rsidR="00F24A64" w:rsidRPr="00CA1271">
        <w:t>Respondent</w:t>
      </w:r>
      <w:bookmarkEnd w:id="16"/>
    </w:p>
    <w:p w:rsidR="00DC05CD" w:rsidRPr="00CA1271" w:rsidRDefault="00DF703D" w:rsidP="00DC05CD">
      <w:pPr>
        <w:jc w:val="center"/>
        <w:rPr>
          <w:rFonts w:cs="Arial"/>
          <w:szCs w:val="22"/>
        </w:rPr>
      </w:pPr>
      <w:r w:rsidRPr="00CA1271">
        <w:rPr>
          <w:rFonts w:cs="Arial"/>
          <w:noProof/>
          <w:szCs w:val="22"/>
          <w:lang w:eastAsia="en-AU"/>
        </w:rPr>
        <w:drawing>
          <wp:inline distT="0" distB="0" distL="0" distR="0" wp14:anchorId="575E5F7E" wp14:editId="5444AE0A">
            <wp:extent cx="4194972" cy="2739636"/>
            <wp:effectExtent l="0" t="0" r="0" b="3810"/>
            <wp:docPr id="5" name="Picture 5" title="Figure 1 - Distribution of Submissions by Number of Participants and NDIS Revenue of Respo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14089" cy="2752121"/>
                    </a:xfrm>
                    <a:prstGeom prst="rect">
                      <a:avLst/>
                    </a:prstGeom>
                    <a:noFill/>
                  </pic:spPr>
                </pic:pic>
              </a:graphicData>
            </a:graphic>
          </wp:inline>
        </w:drawing>
      </w:r>
      <w:r w:rsidR="009873C1">
        <w:rPr>
          <w:rFonts w:cs="Arial"/>
          <w:noProof/>
          <w:szCs w:val="22"/>
          <w:lang w:eastAsia="en-AU"/>
        </w:rPr>
        <w:drawing>
          <wp:inline distT="0" distB="0" distL="0" distR="0" wp14:anchorId="5F32AB3B">
            <wp:extent cx="4202107" cy="2747534"/>
            <wp:effectExtent l="0" t="0" r="8255" b="0"/>
            <wp:docPr id="4" name="Picture 4" title="Figure 1 - Distribution of Submissions by Number of Participants and NDIS Revenue of Respo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29524" cy="2765460"/>
                    </a:xfrm>
                    <a:prstGeom prst="rect">
                      <a:avLst/>
                    </a:prstGeom>
                    <a:noFill/>
                  </pic:spPr>
                </pic:pic>
              </a:graphicData>
            </a:graphic>
          </wp:inline>
        </w:drawing>
      </w:r>
    </w:p>
    <w:p w:rsidR="00CA5B7E" w:rsidRPr="00CA1271" w:rsidRDefault="00CA5B7E" w:rsidP="006F6AF5">
      <w:r w:rsidRPr="00CA1271">
        <w:t>Across the whole group of providers who made submissions, some 88</w:t>
      </w:r>
      <w:r w:rsidR="00E80A7C" w:rsidRPr="00CA1271">
        <w:t>%</w:t>
      </w:r>
      <w:r w:rsidRPr="00CA1271">
        <w:t xml:space="preserve"> of their revenue from the NDIS was from the delivery of core supports, with 11</w:t>
      </w:r>
      <w:r w:rsidR="00E80A7C" w:rsidRPr="00CA1271">
        <w:t>%</w:t>
      </w:r>
      <w:r w:rsidRPr="00CA1271">
        <w:t xml:space="preserve"> from the delivery of capacity building supports and about 1</w:t>
      </w:r>
      <w:r w:rsidR="00E80A7C" w:rsidRPr="00CA1271">
        <w:t>%</w:t>
      </w:r>
      <w:r w:rsidRPr="00CA1271">
        <w:t xml:space="preserve"> from the delivery of capital supports. (</w:t>
      </w:r>
      <w:r w:rsidR="0030355D" w:rsidRPr="00CA1271">
        <w:t>Note: this analysis excludes NDIS revenue from Supported Independent Living and Specialist Disability Accommodation as these</w:t>
      </w:r>
      <w:r w:rsidRPr="00CA1271">
        <w:t xml:space="preserve"> were </w:t>
      </w:r>
      <w:r w:rsidR="0030355D" w:rsidRPr="00CA1271">
        <w:t xml:space="preserve">not in the scope of </w:t>
      </w:r>
      <w:r w:rsidRPr="00CA1271">
        <w:t xml:space="preserve">the </w:t>
      </w:r>
      <w:r w:rsidR="0030355D" w:rsidRPr="00CA1271">
        <w:t>Annual Pricing Review</w:t>
      </w:r>
      <w:r w:rsidRPr="00CA1271">
        <w:t>.)</w:t>
      </w:r>
    </w:p>
    <w:p w:rsidR="00BC3905" w:rsidRPr="00CA1271" w:rsidRDefault="00660272" w:rsidP="002A437A">
      <w:pPr>
        <w:rPr>
          <w:rFonts w:cs="Arial"/>
          <w:szCs w:val="22"/>
        </w:rPr>
      </w:pPr>
      <w:r w:rsidRPr="00CA1271">
        <w:rPr>
          <w:rFonts w:cs="Arial"/>
          <w:szCs w:val="22"/>
        </w:rPr>
        <w:t xml:space="preserve">By far the greatest number of responses </w:t>
      </w:r>
      <w:r w:rsidR="00CB1765" w:rsidRPr="00CA1271">
        <w:rPr>
          <w:rFonts w:cs="Arial"/>
          <w:szCs w:val="22"/>
        </w:rPr>
        <w:t xml:space="preserve">to the </w:t>
      </w:r>
      <w:r w:rsidR="00CB1765" w:rsidRPr="00CA1271">
        <w:rPr>
          <w:rFonts w:cs="Arial"/>
          <w:i/>
          <w:szCs w:val="22"/>
        </w:rPr>
        <w:t>Issues Paper</w:t>
      </w:r>
      <w:r w:rsidR="00CB1765" w:rsidRPr="00CA1271">
        <w:rPr>
          <w:rFonts w:cs="Arial"/>
          <w:szCs w:val="22"/>
        </w:rPr>
        <w:t xml:space="preserve"> </w:t>
      </w:r>
      <w:r w:rsidRPr="00CA1271">
        <w:rPr>
          <w:rFonts w:cs="Arial"/>
          <w:szCs w:val="22"/>
        </w:rPr>
        <w:t xml:space="preserve">pertained to 1:1 core supports, mostly to do with the </w:t>
      </w:r>
      <w:r w:rsidR="0030355D" w:rsidRPr="00CA1271">
        <w:rPr>
          <w:rFonts w:cs="Arial"/>
          <w:szCs w:val="22"/>
        </w:rPr>
        <w:t xml:space="preserve">NDIS </w:t>
      </w:r>
      <w:r w:rsidR="00CB1765" w:rsidRPr="00CA1271">
        <w:rPr>
          <w:rFonts w:cs="Arial"/>
          <w:szCs w:val="22"/>
        </w:rPr>
        <w:t>Disability Support Worker Cost Model</w:t>
      </w:r>
      <w:r w:rsidRPr="00CA1271">
        <w:rPr>
          <w:rFonts w:cs="Arial"/>
          <w:szCs w:val="22"/>
        </w:rPr>
        <w:t>.</w:t>
      </w:r>
      <w:r w:rsidR="004D24D4" w:rsidRPr="00CA1271">
        <w:rPr>
          <w:rFonts w:cs="Arial"/>
          <w:szCs w:val="22"/>
        </w:rPr>
        <w:t xml:space="preserve"> </w:t>
      </w:r>
      <w:r w:rsidRPr="00CA1271">
        <w:rPr>
          <w:rFonts w:cs="Arial"/>
          <w:szCs w:val="22"/>
        </w:rPr>
        <w:t>Capacity building, cancellations and plan management were also popular issues.</w:t>
      </w:r>
      <w:r w:rsidR="004D24D4" w:rsidRPr="00CA1271">
        <w:rPr>
          <w:rFonts w:cs="Arial"/>
          <w:szCs w:val="22"/>
        </w:rPr>
        <w:t xml:space="preserve"> </w:t>
      </w:r>
      <w:r w:rsidRPr="00CA1271">
        <w:rPr>
          <w:rFonts w:cs="Arial"/>
          <w:szCs w:val="22"/>
        </w:rPr>
        <w:t>The least commented upon topics were regional loadings and other geographical issues</w:t>
      </w:r>
      <w:r w:rsidR="00141268" w:rsidRPr="00CA1271">
        <w:rPr>
          <w:rFonts w:cs="Arial"/>
          <w:szCs w:val="22"/>
        </w:rPr>
        <w:t>.</w:t>
      </w:r>
      <w:r w:rsidRPr="00CA1271">
        <w:rPr>
          <w:rFonts w:cs="Arial"/>
          <w:szCs w:val="22"/>
        </w:rPr>
        <w:t xml:space="preserve"> </w:t>
      </w:r>
      <w:r w:rsidR="00DC05CD" w:rsidRPr="00CA1271">
        <w:rPr>
          <w:rFonts w:cs="Arial"/>
          <w:szCs w:val="22"/>
        </w:rPr>
        <w:fldChar w:fldCharType="begin"/>
      </w:r>
      <w:r w:rsidR="00DC05CD" w:rsidRPr="00CA1271">
        <w:rPr>
          <w:rFonts w:cs="Arial"/>
          <w:szCs w:val="22"/>
        </w:rPr>
        <w:instrText xml:space="preserve"> REF _Ref37880914 \h </w:instrText>
      </w:r>
      <w:r w:rsidR="006D7957" w:rsidRPr="00CA1271">
        <w:rPr>
          <w:rFonts w:cs="Arial"/>
          <w:szCs w:val="22"/>
        </w:rPr>
        <w:instrText xml:space="preserve"> \* MERGEFORMAT </w:instrText>
      </w:r>
      <w:r w:rsidR="00DC05CD" w:rsidRPr="00CA1271">
        <w:rPr>
          <w:rFonts w:cs="Arial"/>
          <w:szCs w:val="22"/>
        </w:rPr>
      </w:r>
      <w:r w:rsidR="00DC05CD" w:rsidRPr="00CA1271">
        <w:rPr>
          <w:rFonts w:cs="Arial"/>
          <w:szCs w:val="22"/>
        </w:rPr>
        <w:fldChar w:fldCharType="separate"/>
      </w:r>
      <w:r w:rsidR="00B621CC" w:rsidRPr="00CA1271">
        <w:t xml:space="preserve">Figure </w:t>
      </w:r>
      <w:r w:rsidR="00B621CC">
        <w:rPr>
          <w:noProof/>
        </w:rPr>
        <w:t>2</w:t>
      </w:r>
      <w:r w:rsidR="00DC05CD" w:rsidRPr="00CA1271">
        <w:rPr>
          <w:rFonts w:cs="Arial"/>
          <w:szCs w:val="22"/>
        </w:rPr>
        <w:fldChar w:fldCharType="end"/>
      </w:r>
      <w:r w:rsidR="00DC05CD" w:rsidRPr="00CA1271">
        <w:rPr>
          <w:rFonts w:cs="Arial"/>
          <w:szCs w:val="22"/>
        </w:rPr>
        <w:t xml:space="preserve"> </w:t>
      </w:r>
      <w:r w:rsidR="00141268" w:rsidRPr="00CA1271">
        <w:rPr>
          <w:rFonts w:cs="Arial"/>
          <w:szCs w:val="22"/>
        </w:rPr>
        <w:t>illustrates the distribution of issues raised in the submissions.</w:t>
      </w:r>
    </w:p>
    <w:p w:rsidR="00DC05CD" w:rsidRPr="00CA1271" w:rsidRDefault="00DC05CD" w:rsidP="00DC05CD">
      <w:pPr>
        <w:pStyle w:val="Caption"/>
      </w:pPr>
      <w:r w:rsidRPr="00CA1271">
        <w:t xml:space="preserve"> </w:t>
      </w:r>
      <w:bookmarkStart w:id="17" w:name="_Ref37880914"/>
      <w:bookmarkStart w:id="18" w:name="_Toc42014774"/>
      <w:r w:rsidRPr="00CA1271">
        <w:t xml:space="preserve">Figure </w:t>
      </w:r>
      <w:r w:rsidRPr="00CA1271">
        <w:fldChar w:fldCharType="begin"/>
      </w:r>
      <w:r w:rsidRPr="00CA1271">
        <w:instrText xml:space="preserve"> SEQ Figure \* ARABIC </w:instrText>
      </w:r>
      <w:r w:rsidRPr="00CA1271">
        <w:fldChar w:fldCharType="separate"/>
      </w:r>
      <w:r w:rsidR="00B621CC">
        <w:rPr>
          <w:noProof/>
        </w:rPr>
        <w:t>2</w:t>
      </w:r>
      <w:r w:rsidRPr="00CA1271">
        <w:fldChar w:fldCharType="end"/>
      </w:r>
      <w:bookmarkEnd w:id="17"/>
      <w:r w:rsidRPr="00CA1271">
        <w:t xml:space="preserve"> </w:t>
      </w:r>
      <w:r w:rsidR="0030355D" w:rsidRPr="00CA1271">
        <w:t>–</w:t>
      </w:r>
      <w:r w:rsidRPr="00CA1271">
        <w:t xml:space="preserve"> </w:t>
      </w:r>
      <w:r w:rsidR="0030355D" w:rsidRPr="00CA1271">
        <w:t>Distribution of Topics Raised in S</w:t>
      </w:r>
      <w:r w:rsidRPr="00CA1271">
        <w:t>ubmissions</w:t>
      </w:r>
      <w:r w:rsidR="0030355D" w:rsidRPr="00CA1271">
        <w:t xml:space="preserve"> to the Annual Pricing Review</w:t>
      </w:r>
      <w:bookmarkEnd w:id="18"/>
    </w:p>
    <w:p w:rsidR="00DC05CD" w:rsidRPr="00CA1271" w:rsidRDefault="00D67E6A" w:rsidP="0030355D">
      <w:pPr>
        <w:jc w:val="center"/>
      </w:pPr>
      <w:r w:rsidRPr="00CA1271">
        <w:rPr>
          <w:noProof/>
          <w:lang w:eastAsia="en-AU"/>
        </w:rPr>
        <w:drawing>
          <wp:inline distT="0" distB="0" distL="0" distR="0" wp14:anchorId="3CE1ECC0" wp14:editId="47F3FBAE">
            <wp:extent cx="4680000" cy="2962800"/>
            <wp:effectExtent l="0" t="0" r="6350" b="9525"/>
            <wp:docPr id="6" name="Picture 6" title=" Figure 2 – Distribution of Topics Raised in Submissions to the Annual Pric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80000" cy="2962800"/>
                    </a:xfrm>
                    <a:prstGeom prst="rect">
                      <a:avLst/>
                    </a:prstGeom>
                    <a:noFill/>
                  </pic:spPr>
                </pic:pic>
              </a:graphicData>
            </a:graphic>
          </wp:inline>
        </w:drawing>
      </w:r>
    </w:p>
    <w:p w:rsidR="006569D7" w:rsidRPr="00CA1271" w:rsidRDefault="006569D7" w:rsidP="006569D7">
      <w:r w:rsidRPr="00CA1271">
        <w:t xml:space="preserve">The views of respondents to the </w:t>
      </w:r>
      <w:r w:rsidRPr="00CA1271">
        <w:rPr>
          <w:i/>
        </w:rPr>
        <w:t>Issues Paper</w:t>
      </w:r>
      <w:r w:rsidRPr="00CA1271">
        <w:t xml:space="preserve"> are presented in the appropriate chapters of this report.</w:t>
      </w:r>
    </w:p>
    <w:p w:rsidR="00E415AF" w:rsidRPr="00CA1271" w:rsidRDefault="00745706" w:rsidP="00141268">
      <w:pPr>
        <w:pStyle w:val="Heading3"/>
      </w:pPr>
      <w:r w:rsidRPr="00CA1271">
        <w:t>Provider Consultations</w:t>
      </w:r>
    </w:p>
    <w:p w:rsidR="00745706" w:rsidRPr="00CA1271" w:rsidRDefault="00141268" w:rsidP="002A437A">
      <w:pPr>
        <w:rPr>
          <w:rFonts w:cs="Arial"/>
          <w:szCs w:val="22"/>
        </w:rPr>
      </w:pPr>
      <w:r w:rsidRPr="00CA1271">
        <w:rPr>
          <w:rFonts w:cs="Arial"/>
          <w:szCs w:val="22"/>
        </w:rPr>
        <w:t>Face</w:t>
      </w:r>
      <w:r w:rsidR="00DC05CD" w:rsidRPr="00CA1271">
        <w:rPr>
          <w:rFonts w:cs="Arial"/>
          <w:szCs w:val="22"/>
        </w:rPr>
        <w:t>-</w:t>
      </w:r>
      <w:r w:rsidRPr="00CA1271">
        <w:rPr>
          <w:rFonts w:cs="Arial"/>
          <w:szCs w:val="22"/>
        </w:rPr>
        <w:t>to</w:t>
      </w:r>
      <w:r w:rsidR="00DC05CD" w:rsidRPr="00CA1271">
        <w:rPr>
          <w:rFonts w:cs="Arial"/>
          <w:szCs w:val="22"/>
        </w:rPr>
        <w:t>-</w:t>
      </w:r>
      <w:r w:rsidRPr="00CA1271">
        <w:rPr>
          <w:rFonts w:cs="Arial"/>
          <w:szCs w:val="22"/>
        </w:rPr>
        <w:t xml:space="preserve">face consultations </w:t>
      </w:r>
      <w:r w:rsidR="009610B4" w:rsidRPr="00CA1271">
        <w:rPr>
          <w:rFonts w:cs="Arial"/>
          <w:szCs w:val="22"/>
        </w:rPr>
        <w:t>were held with groups of</w:t>
      </w:r>
      <w:r w:rsidRPr="00CA1271">
        <w:rPr>
          <w:rFonts w:cs="Arial"/>
          <w:szCs w:val="22"/>
        </w:rPr>
        <w:t xml:space="preserve"> providers in each State and Territory</w:t>
      </w:r>
      <w:r w:rsidR="009610B4" w:rsidRPr="00CA1271">
        <w:rPr>
          <w:rFonts w:cs="Arial"/>
          <w:szCs w:val="22"/>
        </w:rPr>
        <w:t>. After 23 March 2020, these consultations were held by teleconference/videoconference for safety reasons</w:t>
      </w:r>
      <w:r w:rsidR="0064263B" w:rsidRPr="00CA1271">
        <w:rPr>
          <w:rFonts w:cs="Arial"/>
          <w:szCs w:val="22"/>
        </w:rPr>
        <w:t xml:space="preserve"> following </w:t>
      </w:r>
      <w:r w:rsidR="00D965F2" w:rsidRPr="00CA1271">
        <w:rPr>
          <w:rFonts w:cs="Arial"/>
          <w:szCs w:val="22"/>
        </w:rPr>
        <w:t xml:space="preserve">the emergence of the </w:t>
      </w:r>
      <w:r w:rsidR="0064263B" w:rsidRPr="00CA1271">
        <w:rPr>
          <w:rFonts w:cs="Arial"/>
          <w:szCs w:val="22"/>
        </w:rPr>
        <w:t>COVID-19</w:t>
      </w:r>
      <w:r w:rsidR="00D965F2" w:rsidRPr="00CA1271">
        <w:rPr>
          <w:rFonts w:cs="Arial"/>
          <w:szCs w:val="22"/>
        </w:rPr>
        <w:t xml:space="preserve"> pandemic</w:t>
      </w:r>
      <w:r w:rsidR="009610B4" w:rsidRPr="00CA1271">
        <w:rPr>
          <w:rFonts w:cs="Arial"/>
          <w:szCs w:val="22"/>
        </w:rPr>
        <w:t>.</w:t>
      </w:r>
    </w:p>
    <w:p w:rsidR="00326B37" w:rsidRPr="00CA1271" w:rsidRDefault="00326B37" w:rsidP="009610B4">
      <w:pPr>
        <w:tabs>
          <w:tab w:val="left" w:pos="2835"/>
        </w:tabs>
        <w:ind w:left="567"/>
        <w:contextualSpacing/>
        <w:rPr>
          <w:rFonts w:cs="Arial"/>
          <w:szCs w:val="22"/>
        </w:rPr>
      </w:pPr>
      <w:r w:rsidRPr="00CA1271">
        <w:rPr>
          <w:rFonts w:cs="Arial"/>
          <w:szCs w:val="22"/>
        </w:rPr>
        <w:t>30 September 2019</w:t>
      </w:r>
      <w:r w:rsidRPr="00CA1271">
        <w:rPr>
          <w:rFonts w:cs="Arial"/>
          <w:szCs w:val="22"/>
        </w:rPr>
        <w:tab/>
        <w:t>Adelaide</w:t>
      </w:r>
      <w:r w:rsidR="009610B4" w:rsidRPr="00CA1271">
        <w:rPr>
          <w:rFonts w:cs="Arial"/>
          <w:szCs w:val="22"/>
        </w:rPr>
        <w:t>, South Australia</w:t>
      </w:r>
    </w:p>
    <w:p w:rsidR="00326B37" w:rsidRPr="00CA1271" w:rsidRDefault="00326B37" w:rsidP="00326B37">
      <w:pPr>
        <w:tabs>
          <w:tab w:val="left" w:pos="2835"/>
        </w:tabs>
        <w:ind w:left="567"/>
        <w:contextualSpacing/>
        <w:rPr>
          <w:rFonts w:cs="Arial"/>
          <w:szCs w:val="22"/>
        </w:rPr>
      </w:pPr>
      <w:r w:rsidRPr="00CA1271">
        <w:rPr>
          <w:rFonts w:cs="Arial"/>
          <w:szCs w:val="22"/>
        </w:rPr>
        <w:t xml:space="preserve">8 October </w:t>
      </w:r>
      <w:r w:rsidR="00994A3D" w:rsidRPr="00CA1271">
        <w:rPr>
          <w:rFonts w:cs="Arial"/>
          <w:szCs w:val="22"/>
        </w:rPr>
        <w:t>2019</w:t>
      </w:r>
      <w:r w:rsidRPr="00CA1271">
        <w:rPr>
          <w:rFonts w:cs="Arial"/>
          <w:szCs w:val="22"/>
        </w:rPr>
        <w:tab/>
        <w:t>Launceston</w:t>
      </w:r>
      <w:r w:rsidR="009610B4" w:rsidRPr="00CA1271">
        <w:rPr>
          <w:rFonts w:cs="Arial"/>
          <w:szCs w:val="22"/>
        </w:rPr>
        <w:t>, Tasmania</w:t>
      </w:r>
    </w:p>
    <w:p w:rsidR="00326B37" w:rsidRPr="00CA1271" w:rsidRDefault="00326B37" w:rsidP="00326B37">
      <w:pPr>
        <w:tabs>
          <w:tab w:val="left" w:pos="2835"/>
        </w:tabs>
        <w:ind w:left="567"/>
        <w:contextualSpacing/>
        <w:rPr>
          <w:rFonts w:cs="Arial"/>
          <w:szCs w:val="22"/>
        </w:rPr>
      </w:pPr>
      <w:r w:rsidRPr="00CA1271">
        <w:rPr>
          <w:rFonts w:cs="Arial"/>
          <w:szCs w:val="22"/>
        </w:rPr>
        <w:t>9 October 2019</w:t>
      </w:r>
      <w:r w:rsidRPr="00CA1271">
        <w:rPr>
          <w:rFonts w:cs="Arial"/>
          <w:szCs w:val="22"/>
        </w:rPr>
        <w:tab/>
        <w:t>Hobart</w:t>
      </w:r>
      <w:r w:rsidR="009610B4" w:rsidRPr="00CA1271">
        <w:rPr>
          <w:rFonts w:cs="Arial"/>
          <w:szCs w:val="22"/>
        </w:rPr>
        <w:t>, Tasmania</w:t>
      </w:r>
    </w:p>
    <w:p w:rsidR="00326B37" w:rsidRPr="00CA1271" w:rsidRDefault="00326B37" w:rsidP="00326B37">
      <w:pPr>
        <w:tabs>
          <w:tab w:val="left" w:pos="2835"/>
        </w:tabs>
        <w:ind w:left="567"/>
        <w:contextualSpacing/>
        <w:rPr>
          <w:rFonts w:cs="Arial"/>
          <w:szCs w:val="22"/>
        </w:rPr>
      </w:pPr>
      <w:r w:rsidRPr="00CA1271">
        <w:rPr>
          <w:rFonts w:cs="Arial"/>
          <w:szCs w:val="22"/>
        </w:rPr>
        <w:t xml:space="preserve">30 October </w:t>
      </w:r>
      <w:r w:rsidR="00994A3D" w:rsidRPr="00CA1271">
        <w:rPr>
          <w:rFonts w:cs="Arial"/>
          <w:szCs w:val="22"/>
        </w:rPr>
        <w:t>2019</w:t>
      </w:r>
      <w:r w:rsidRPr="00CA1271">
        <w:rPr>
          <w:rFonts w:cs="Arial"/>
          <w:szCs w:val="22"/>
        </w:rPr>
        <w:tab/>
        <w:t>Darwin</w:t>
      </w:r>
      <w:r w:rsidR="009610B4" w:rsidRPr="00CA1271">
        <w:rPr>
          <w:rFonts w:cs="Arial"/>
          <w:szCs w:val="22"/>
        </w:rPr>
        <w:t>, Northern Territory</w:t>
      </w:r>
    </w:p>
    <w:p w:rsidR="00326B37" w:rsidRPr="00CA1271" w:rsidRDefault="00326B37" w:rsidP="00326B37">
      <w:pPr>
        <w:tabs>
          <w:tab w:val="left" w:pos="2835"/>
        </w:tabs>
        <w:ind w:left="567"/>
        <w:contextualSpacing/>
        <w:rPr>
          <w:rFonts w:cs="Arial"/>
          <w:szCs w:val="22"/>
        </w:rPr>
      </w:pPr>
      <w:r w:rsidRPr="00CA1271">
        <w:rPr>
          <w:rFonts w:cs="Arial"/>
          <w:szCs w:val="22"/>
        </w:rPr>
        <w:t xml:space="preserve">31 October </w:t>
      </w:r>
      <w:r w:rsidR="00994A3D" w:rsidRPr="00CA1271">
        <w:rPr>
          <w:rFonts w:cs="Arial"/>
          <w:szCs w:val="22"/>
        </w:rPr>
        <w:t>2019</w:t>
      </w:r>
      <w:r w:rsidRPr="00CA1271">
        <w:rPr>
          <w:rFonts w:cs="Arial"/>
          <w:szCs w:val="22"/>
        </w:rPr>
        <w:tab/>
        <w:t>Darwin</w:t>
      </w:r>
      <w:r w:rsidR="009610B4" w:rsidRPr="00CA1271">
        <w:rPr>
          <w:rFonts w:cs="Arial"/>
          <w:szCs w:val="22"/>
        </w:rPr>
        <w:t>, Northern Territory</w:t>
      </w:r>
    </w:p>
    <w:p w:rsidR="00326B37" w:rsidRPr="00CA1271" w:rsidRDefault="00326B37" w:rsidP="00326B37">
      <w:pPr>
        <w:tabs>
          <w:tab w:val="left" w:pos="2835"/>
        </w:tabs>
        <w:ind w:left="567"/>
        <w:contextualSpacing/>
        <w:rPr>
          <w:rFonts w:cs="Arial"/>
          <w:szCs w:val="22"/>
        </w:rPr>
      </w:pPr>
      <w:r w:rsidRPr="00CA1271">
        <w:rPr>
          <w:rFonts w:cs="Arial"/>
          <w:szCs w:val="22"/>
        </w:rPr>
        <w:t xml:space="preserve">6 November </w:t>
      </w:r>
      <w:r w:rsidR="00994A3D" w:rsidRPr="00CA1271">
        <w:rPr>
          <w:rFonts w:cs="Arial"/>
          <w:szCs w:val="22"/>
        </w:rPr>
        <w:t>2019</w:t>
      </w:r>
      <w:r w:rsidRPr="00CA1271">
        <w:rPr>
          <w:rFonts w:cs="Arial"/>
          <w:szCs w:val="22"/>
        </w:rPr>
        <w:tab/>
        <w:t>Alice Springs</w:t>
      </w:r>
      <w:r w:rsidR="009610B4" w:rsidRPr="00CA1271">
        <w:rPr>
          <w:rFonts w:cs="Arial"/>
          <w:szCs w:val="22"/>
        </w:rPr>
        <w:t>, Northern Territory</w:t>
      </w:r>
    </w:p>
    <w:p w:rsidR="00326B37" w:rsidRPr="00CA1271" w:rsidRDefault="00326B37" w:rsidP="00326B37">
      <w:pPr>
        <w:tabs>
          <w:tab w:val="left" w:pos="2835"/>
        </w:tabs>
        <w:ind w:left="567"/>
        <w:contextualSpacing/>
        <w:rPr>
          <w:rFonts w:cs="Arial"/>
          <w:szCs w:val="22"/>
        </w:rPr>
      </w:pPr>
      <w:r w:rsidRPr="00CA1271">
        <w:rPr>
          <w:rFonts w:cs="Arial"/>
          <w:szCs w:val="22"/>
        </w:rPr>
        <w:t xml:space="preserve">7 November </w:t>
      </w:r>
      <w:r w:rsidR="00994A3D" w:rsidRPr="00CA1271">
        <w:rPr>
          <w:rFonts w:cs="Arial"/>
          <w:szCs w:val="22"/>
        </w:rPr>
        <w:t>2019</w:t>
      </w:r>
      <w:r w:rsidRPr="00CA1271">
        <w:rPr>
          <w:rFonts w:cs="Arial"/>
          <w:szCs w:val="22"/>
        </w:rPr>
        <w:tab/>
        <w:t>Alice Springs</w:t>
      </w:r>
      <w:r w:rsidR="009610B4" w:rsidRPr="00CA1271">
        <w:rPr>
          <w:rFonts w:cs="Arial"/>
          <w:szCs w:val="22"/>
        </w:rPr>
        <w:t>, Northern Territory</w:t>
      </w:r>
    </w:p>
    <w:p w:rsidR="00326B37" w:rsidRPr="00CA1271" w:rsidRDefault="00326B37" w:rsidP="00326B37">
      <w:pPr>
        <w:tabs>
          <w:tab w:val="left" w:pos="2835"/>
        </w:tabs>
        <w:ind w:left="567"/>
        <w:contextualSpacing/>
        <w:rPr>
          <w:rFonts w:cs="Arial"/>
          <w:szCs w:val="22"/>
        </w:rPr>
      </w:pPr>
      <w:r w:rsidRPr="00CA1271">
        <w:rPr>
          <w:rFonts w:cs="Arial"/>
          <w:szCs w:val="22"/>
        </w:rPr>
        <w:t xml:space="preserve">18 November </w:t>
      </w:r>
      <w:r w:rsidR="00994A3D" w:rsidRPr="00CA1271">
        <w:rPr>
          <w:rFonts w:cs="Arial"/>
          <w:szCs w:val="22"/>
        </w:rPr>
        <w:t>2019</w:t>
      </w:r>
      <w:r w:rsidRPr="00CA1271">
        <w:rPr>
          <w:rFonts w:cs="Arial"/>
          <w:szCs w:val="22"/>
        </w:rPr>
        <w:tab/>
      </w:r>
      <w:r w:rsidR="009610B4" w:rsidRPr="00CA1271">
        <w:rPr>
          <w:rFonts w:cs="Arial"/>
          <w:szCs w:val="22"/>
        </w:rPr>
        <w:t>Perth, Western Australia</w:t>
      </w:r>
    </w:p>
    <w:p w:rsidR="00326B37" w:rsidRPr="00CA1271" w:rsidRDefault="00326B37" w:rsidP="00326B37">
      <w:pPr>
        <w:tabs>
          <w:tab w:val="left" w:pos="2835"/>
        </w:tabs>
        <w:ind w:left="567"/>
        <w:contextualSpacing/>
        <w:rPr>
          <w:rFonts w:cs="Arial"/>
          <w:szCs w:val="22"/>
        </w:rPr>
      </w:pPr>
      <w:r w:rsidRPr="00CA1271">
        <w:rPr>
          <w:rFonts w:cs="Arial"/>
          <w:szCs w:val="22"/>
        </w:rPr>
        <w:t xml:space="preserve">19 November </w:t>
      </w:r>
      <w:r w:rsidR="00994A3D" w:rsidRPr="00CA1271">
        <w:rPr>
          <w:rFonts w:cs="Arial"/>
          <w:szCs w:val="22"/>
        </w:rPr>
        <w:t>2019</w:t>
      </w:r>
      <w:r w:rsidRPr="00CA1271">
        <w:rPr>
          <w:rFonts w:cs="Arial"/>
          <w:szCs w:val="22"/>
        </w:rPr>
        <w:tab/>
      </w:r>
      <w:r w:rsidR="009610B4" w:rsidRPr="00CA1271">
        <w:rPr>
          <w:rFonts w:cs="Arial"/>
          <w:szCs w:val="22"/>
        </w:rPr>
        <w:t>Perth, Western Australia</w:t>
      </w:r>
    </w:p>
    <w:p w:rsidR="00326B37" w:rsidRPr="00CA1271" w:rsidRDefault="00326B37" w:rsidP="00326B37">
      <w:pPr>
        <w:tabs>
          <w:tab w:val="left" w:pos="2835"/>
        </w:tabs>
        <w:ind w:left="567"/>
        <w:contextualSpacing/>
        <w:rPr>
          <w:rFonts w:cs="Arial"/>
          <w:szCs w:val="22"/>
        </w:rPr>
      </w:pPr>
      <w:r w:rsidRPr="00CA1271">
        <w:rPr>
          <w:rFonts w:cs="Arial"/>
          <w:szCs w:val="22"/>
        </w:rPr>
        <w:t xml:space="preserve">25 November </w:t>
      </w:r>
      <w:r w:rsidR="00994A3D" w:rsidRPr="00CA1271">
        <w:rPr>
          <w:rFonts w:cs="Arial"/>
          <w:szCs w:val="22"/>
        </w:rPr>
        <w:t>2019</w:t>
      </w:r>
      <w:r w:rsidRPr="00CA1271">
        <w:rPr>
          <w:rFonts w:cs="Arial"/>
          <w:szCs w:val="22"/>
        </w:rPr>
        <w:tab/>
        <w:t>Sunshine Coast, Queensland</w:t>
      </w:r>
    </w:p>
    <w:p w:rsidR="00326B37" w:rsidRPr="00CA1271" w:rsidRDefault="00326B37" w:rsidP="009610B4">
      <w:pPr>
        <w:tabs>
          <w:tab w:val="left" w:pos="2835"/>
        </w:tabs>
        <w:ind w:left="567"/>
        <w:contextualSpacing/>
        <w:rPr>
          <w:rFonts w:cs="Arial"/>
          <w:szCs w:val="22"/>
        </w:rPr>
      </w:pPr>
      <w:r w:rsidRPr="00CA1271">
        <w:rPr>
          <w:rFonts w:cs="Arial"/>
          <w:szCs w:val="22"/>
        </w:rPr>
        <w:t xml:space="preserve">9 December </w:t>
      </w:r>
      <w:r w:rsidR="00994A3D" w:rsidRPr="00CA1271">
        <w:rPr>
          <w:rFonts w:cs="Arial"/>
          <w:szCs w:val="22"/>
        </w:rPr>
        <w:t>2019</w:t>
      </w:r>
      <w:r w:rsidRPr="00CA1271">
        <w:rPr>
          <w:rFonts w:cs="Arial"/>
          <w:szCs w:val="22"/>
        </w:rPr>
        <w:tab/>
      </w:r>
      <w:r w:rsidR="009610B4" w:rsidRPr="00CA1271">
        <w:rPr>
          <w:rFonts w:cs="Arial"/>
          <w:szCs w:val="22"/>
        </w:rPr>
        <w:t>Perth, Western Australia</w:t>
      </w:r>
    </w:p>
    <w:p w:rsidR="00326B37" w:rsidRPr="00CA1271" w:rsidRDefault="00326B37" w:rsidP="00326B37">
      <w:pPr>
        <w:tabs>
          <w:tab w:val="left" w:pos="2835"/>
        </w:tabs>
        <w:ind w:left="567"/>
        <w:contextualSpacing/>
        <w:rPr>
          <w:rFonts w:cs="Arial"/>
          <w:szCs w:val="22"/>
        </w:rPr>
      </w:pPr>
      <w:r w:rsidRPr="00CA1271">
        <w:rPr>
          <w:rFonts w:cs="Arial"/>
          <w:szCs w:val="22"/>
        </w:rPr>
        <w:t xml:space="preserve">10 December </w:t>
      </w:r>
      <w:r w:rsidR="00994A3D" w:rsidRPr="00CA1271">
        <w:rPr>
          <w:rFonts w:cs="Arial"/>
          <w:szCs w:val="22"/>
        </w:rPr>
        <w:t>2019</w:t>
      </w:r>
      <w:r w:rsidRPr="00CA1271">
        <w:rPr>
          <w:rFonts w:cs="Arial"/>
          <w:szCs w:val="22"/>
        </w:rPr>
        <w:tab/>
      </w:r>
      <w:r w:rsidR="009610B4" w:rsidRPr="00CA1271">
        <w:rPr>
          <w:rFonts w:cs="Arial"/>
          <w:szCs w:val="22"/>
        </w:rPr>
        <w:t>Perth, Western Australia</w:t>
      </w:r>
    </w:p>
    <w:p w:rsidR="00326B37" w:rsidRPr="00CA1271" w:rsidRDefault="00326B37" w:rsidP="00326B37">
      <w:pPr>
        <w:tabs>
          <w:tab w:val="left" w:pos="2835"/>
        </w:tabs>
        <w:ind w:left="567"/>
        <w:contextualSpacing/>
        <w:rPr>
          <w:rFonts w:cs="Arial"/>
          <w:szCs w:val="22"/>
        </w:rPr>
      </w:pPr>
      <w:r w:rsidRPr="00CA1271">
        <w:rPr>
          <w:rFonts w:cs="Arial"/>
          <w:szCs w:val="22"/>
        </w:rPr>
        <w:t>31 January 2020</w:t>
      </w:r>
      <w:r w:rsidRPr="00CA1271">
        <w:rPr>
          <w:rFonts w:cs="Arial"/>
          <w:szCs w:val="22"/>
        </w:rPr>
        <w:tab/>
        <w:t>Melbourne</w:t>
      </w:r>
      <w:r w:rsidR="009610B4" w:rsidRPr="00CA1271">
        <w:rPr>
          <w:rFonts w:cs="Arial"/>
          <w:szCs w:val="22"/>
        </w:rPr>
        <w:t>, Victoria</w:t>
      </w:r>
    </w:p>
    <w:p w:rsidR="00326B37" w:rsidRPr="00CA1271" w:rsidRDefault="00326B37" w:rsidP="00326B37">
      <w:pPr>
        <w:tabs>
          <w:tab w:val="left" w:pos="2835"/>
        </w:tabs>
        <w:ind w:left="567"/>
        <w:contextualSpacing/>
        <w:rPr>
          <w:rFonts w:cs="Arial"/>
          <w:szCs w:val="22"/>
        </w:rPr>
      </w:pPr>
      <w:r w:rsidRPr="00CA1271">
        <w:rPr>
          <w:rFonts w:cs="Arial"/>
          <w:szCs w:val="22"/>
        </w:rPr>
        <w:t>1 February 2020</w:t>
      </w:r>
      <w:r w:rsidRPr="00CA1271">
        <w:rPr>
          <w:rFonts w:cs="Arial"/>
          <w:szCs w:val="22"/>
        </w:rPr>
        <w:tab/>
        <w:t>Melbourne</w:t>
      </w:r>
      <w:r w:rsidR="009610B4" w:rsidRPr="00CA1271">
        <w:rPr>
          <w:rFonts w:cs="Arial"/>
          <w:szCs w:val="22"/>
        </w:rPr>
        <w:t>, Victoria</w:t>
      </w:r>
    </w:p>
    <w:p w:rsidR="00326B37" w:rsidRPr="00CA1271" w:rsidRDefault="00326B37" w:rsidP="009610B4">
      <w:pPr>
        <w:tabs>
          <w:tab w:val="left" w:pos="2835"/>
        </w:tabs>
        <w:ind w:left="567"/>
        <w:contextualSpacing/>
        <w:rPr>
          <w:rFonts w:cs="Arial"/>
          <w:szCs w:val="22"/>
        </w:rPr>
      </w:pPr>
      <w:r w:rsidRPr="00CA1271">
        <w:rPr>
          <w:rFonts w:cs="Arial"/>
          <w:szCs w:val="22"/>
        </w:rPr>
        <w:t>10 February 2020</w:t>
      </w:r>
      <w:r w:rsidRPr="00CA1271">
        <w:rPr>
          <w:rFonts w:cs="Arial"/>
          <w:szCs w:val="22"/>
        </w:rPr>
        <w:tab/>
      </w:r>
      <w:r w:rsidR="009610B4" w:rsidRPr="00CA1271">
        <w:rPr>
          <w:rFonts w:cs="Arial"/>
          <w:szCs w:val="22"/>
        </w:rPr>
        <w:t>Perth, Western Australia</w:t>
      </w:r>
    </w:p>
    <w:p w:rsidR="00326B37" w:rsidRPr="00CA1271" w:rsidRDefault="00326B37" w:rsidP="009610B4">
      <w:pPr>
        <w:tabs>
          <w:tab w:val="left" w:pos="2835"/>
        </w:tabs>
        <w:ind w:left="567"/>
        <w:contextualSpacing/>
        <w:rPr>
          <w:rFonts w:cs="Arial"/>
          <w:szCs w:val="22"/>
        </w:rPr>
      </w:pPr>
      <w:r w:rsidRPr="00CA1271">
        <w:rPr>
          <w:rFonts w:cs="Arial"/>
          <w:szCs w:val="22"/>
        </w:rPr>
        <w:t>11 February 2020</w:t>
      </w:r>
      <w:r w:rsidRPr="00CA1271">
        <w:rPr>
          <w:rFonts w:cs="Arial"/>
          <w:szCs w:val="22"/>
        </w:rPr>
        <w:tab/>
      </w:r>
      <w:r w:rsidR="009610B4" w:rsidRPr="00CA1271">
        <w:rPr>
          <w:rFonts w:cs="Arial"/>
          <w:szCs w:val="22"/>
        </w:rPr>
        <w:t>Perth, Western Australia</w:t>
      </w:r>
    </w:p>
    <w:p w:rsidR="009610B4" w:rsidRPr="00CA1271" w:rsidRDefault="009610B4" w:rsidP="009610B4">
      <w:pPr>
        <w:tabs>
          <w:tab w:val="left" w:pos="2835"/>
        </w:tabs>
        <w:ind w:left="567"/>
        <w:contextualSpacing/>
        <w:rPr>
          <w:rFonts w:cs="Arial"/>
          <w:szCs w:val="22"/>
        </w:rPr>
      </w:pPr>
      <w:r w:rsidRPr="00CA1271">
        <w:rPr>
          <w:rFonts w:cs="Arial"/>
          <w:szCs w:val="22"/>
        </w:rPr>
        <w:t>20 February 2020</w:t>
      </w:r>
      <w:r w:rsidRPr="00CA1271">
        <w:rPr>
          <w:rFonts w:cs="Arial"/>
          <w:szCs w:val="22"/>
        </w:rPr>
        <w:tab/>
        <w:t>Sydney, New South Wales</w:t>
      </w:r>
    </w:p>
    <w:p w:rsidR="00326B37" w:rsidRPr="00CA1271" w:rsidRDefault="00326B37" w:rsidP="00326B37">
      <w:pPr>
        <w:tabs>
          <w:tab w:val="left" w:pos="2835"/>
        </w:tabs>
        <w:ind w:left="567"/>
        <w:contextualSpacing/>
        <w:rPr>
          <w:rFonts w:cs="Arial"/>
          <w:szCs w:val="22"/>
        </w:rPr>
      </w:pPr>
      <w:r w:rsidRPr="00CA1271">
        <w:rPr>
          <w:rFonts w:cs="Arial"/>
          <w:szCs w:val="22"/>
        </w:rPr>
        <w:t>25 February 2020</w:t>
      </w:r>
      <w:r w:rsidRPr="00CA1271">
        <w:rPr>
          <w:rFonts w:cs="Arial"/>
          <w:szCs w:val="22"/>
        </w:rPr>
        <w:tab/>
        <w:t>Adelaide</w:t>
      </w:r>
      <w:r w:rsidR="009610B4" w:rsidRPr="00CA1271">
        <w:rPr>
          <w:rFonts w:cs="Arial"/>
          <w:szCs w:val="22"/>
        </w:rPr>
        <w:t>, South Australia</w:t>
      </w:r>
    </w:p>
    <w:p w:rsidR="00326B37" w:rsidRPr="00CA1271" w:rsidRDefault="00326B37" w:rsidP="00326B37">
      <w:pPr>
        <w:tabs>
          <w:tab w:val="left" w:pos="2835"/>
        </w:tabs>
        <w:ind w:left="567"/>
        <w:contextualSpacing/>
        <w:rPr>
          <w:rFonts w:cs="Arial"/>
          <w:szCs w:val="22"/>
        </w:rPr>
      </w:pPr>
      <w:r w:rsidRPr="00CA1271">
        <w:rPr>
          <w:rFonts w:cs="Arial"/>
          <w:szCs w:val="22"/>
        </w:rPr>
        <w:t>16 March 2020</w:t>
      </w:r>
      <w:r w:rsidRPr="00CA1271">
        <w:rPr>
          <w:rFonts w:cs="Arial"/>
          <w:szCs w:val="22"/>
        </w:rPr>
        <w:tab/>
        <w:t>Townville</w:t>
      </w:r>
      <w:r w:rsidR="009610B4" w:rsidRPr="00CA1271">
        <w:rPr>
          <w:rFonts w:cs="Arial"/>
          <w:szCs w:val="22"/>
        </w:rPr>
        <w:t>, Queensland</w:t>
      </w:r>
    </w:p>
    <w:p w:rsidR="00326B37" w:rsidRPr="00CA1271" w:rsidRDefault="00326B37" w:rsidP="00326B37">
      <w:pPr>
        <w:tabs>
          <w:tab w:val="left" w:pos="2835"/>
        </w:tabs>
        <w:ind w:left="567"/>
        <w:contextualSpacing/>
        <w:rPr>
          <w:rFonts w:cs="Arial"/>
          <w:szCs w:val="22"/>
        </w:rPr>
      </w:pPr>
      <w:r w:rsidRPr="00CA1271">
        <w:rPr>
          <w:rFonts w:cs="Arial"/>
          <w:szCs w:val="22"/>
        </w:rPr>
        <w:t>17 March 2020</w:t>
      </w:r>
      <w:r w:rsidRPr="00CA1271">
        <w:rPr>
          <w:rFonts w:cs="Arial"/>
          <w:szCs w:val="22"/>
        </w:rPr>
        <w:tab/>
        <w:t>Brisbane</w:t>
      </w:r>
      <w:r w:rsidR="009610B4" w:rsidRPr="00CA1271">
        <w:rPr>
          <w:rFonts w:cs="Arial"/>
          <w:szCs w:val="22"/>
        </w:rPr>
        <w:t>, Queensland</w:t>
      </w:r>
    </w:p>
    <w:p w:rsidR="00326B37" w:rsidRPr="00CA1271" w:rsidRDefault="00326B37" w:rsidP="00326B37">
      <w:pPr>
        <w:tabs>
          <w:tab w:val="left" w:pos="2835"/>
        </w:tabs>
        <w:ind w:left="567"/>
        <w:contextualSpacing/>
        <w:rPr>
          <w:rFonts w:cs="Arial"/>
          <w:szCs w:val="22"/>
        </w:rPr>
      </w:pPr>
      <w:r w:rsidRPr="00CA1271">
        <w:rPr>
          <w:rFonts w:cs="Arial"/>
          <w:szCs w:val="22"/>
        </w:rPr>
        <w:t xml:space="preserve">23 March 2020 </w:t>
      </w:r>
      <w:r w:rsidRPr="00CA1271">
        <w:rPr>
          <w:rFonts w:cs="Arial"/>
          <w:szCs w:val="22"/>
        </w:rPr>
        <w:tab/>
        <w:t>Darwin</w:t>
      </w:r>
      <w:r w:rsidR="009610B4" w:rsidRPr="00CA1271">
        <w:rPr>
          <w:rFonts w:cs="Arial"/>
          <w:szCs w:val="22"/>
        </w:rPr>
        <w:t>, Northern Territory</w:t>
      </w:r>
    </w:p>
    <w:p w:rsidR="00326B37" w:rsidRPr="00CA1271" w:rsidRDefault="00326B37" w:rsidP="00326B37">
      <w:pPr>
        <w:tabs>
          <w:tab w:val="left" w:pos="2835"/>
        </w:tabs>
        <w:ind w:left="567"/>
        <w:contextualSpacing/>
        <w:rPr>
          <w:rFonts w:cs="Arial"/>
          <w:szCs w:val="22"/>
        </w:rPr>
      </w:pPr>
      <w:r w:rsidRPr="00CA1271">
        <w:rPr>
          <w:rFonts w:cs="Arial"/>
          <w:szCs w:val="22"/>
        </w:rPr>
        <w:t xml:space="preserve">24 March 2020 </w:t>
      </w:r>
      <w:r w:rsidRPr="00CA1271">
        <w:rPr>
          <w:rFonts w:cs="Arial"/>
          <w:szCs w:val="22"/>
        </w:rPr>
        <w:tab/>
        <w:t>Darw</w:t>
      </w:r>
      <w:r w:rsidR="009610B4" w:rsidRPr="00CA1271">
        <w:rPr>
          <w:rFonts w:cs="Arial"/>
          <w:szCs w:val="22"/>
        </w:rPr>
        <w:t>in, Northern Territory</w:t>
      </w:r>
    </w:p>
    <w:p w:rsidR="00326B37" w:rsidRPr="00CA1271" w:rsidRDefault="00326B37" w:rsidP="00326B37">
      <w:pPr>
        <w:tabs>
          <w:tab w:val="left" w:pos="2835"/>
        </w:tabs>
        <w:ind w:left="567"/>
        <w:contextualSpacing/>
        <w:rPr>
          <w:rFonts w:cs="Arial"/>
          <w:szCs w:val="22"/>
        </w:rPr>
      </w:pPr>
      <w:r w:rsidRPr="00CA1271">
        <w:rPr>
          <w:rFonts w:cs="Arial"/>
          <w:szCs w:val="22"/>
        </w:rPr>
        <w:t xml:space="preserve">25 March 2020 </w:t>
      </w:r>
      <w:r w:rsidRPr="00CA1271">
        <w:rPr>
          <w:rFonts w:cs="Arial"/>
          <w:szCs w:val="22"/>
        </w:rPr>
        <w:tab/>
        <w:t>Canberra</w:t>
      </w:r>
      <w:r w:rsidR="009610B4" w:rsidRPr="00CA1271">
        <w:rPr>
          <w:rFonts w:cs="Arial"/>
          <w:szCs w:val="22"/>
        </w:rPr>
        <w:t>, Australian Capital Territory</w:t>
      </w:r>
    </w:p>
    <w:p w:rsidR="00326B37" w:rsidRPr="00CA1271" w:rsidRDefault="00326B37" w:rsidP="00326B37">
      <w:pPr>
        <w:tabs>
          <w:tab w:val="left" w:pos="2835"/>
        </w:tabs>
        <w:ind w:left="567"/>
        <w:contextualSpacing/>
        <w:rPr>
          <w:rFonts w:cs="Arial"/>
          <w:szCs w:val="22"/>
        </w:rPr>
      </w:pPr>
      <w:r w:rsidRPr="00CA1271">
        <w:rPr>
          <w:rFonts w:cs="Arial"/>
          <w:szCs w:val="22"/>
        </w:rPr>
        <w:t>30 March 2020</w:t>
      </w:r>
      <w:r w:rsidR="009610B4" w:rsidRPr="00CA1271">
        <w:rPr>
          <w:rFonts w:cs="Arial"/>
          <w:szCs w:val="22"/>
        </w:rPr>
        <w:t xml:space="preserve"> </w:t>
      </w:r>
      <w:r w:rsidRPr="00CA1271">
        <w:rPr>
          <w:rFonts w:cs="Arial"/>
          <w:szCs w:val="22"/>
        </w:rPr>
        <w:tab/>
      </w:r>
      <w:r w:rsidR="009610B4" w:rsidRPr="00CA1271">
        <w:rPr>
          <w:rFonts w:cs="Arial"/>
          <w:szCs w:val="22"/>
        </w:rPr>
        <w:t>Alice Springs, Northern Territory</w:t>
      </w:r>
    </w:p>
    <w:p w:rsidR="00326B37" w:rsidRPr="00CA1271" w:rsidRDefault="00326B37" w:rsidP="00326B37">
      <w:pPr>
        <w:tabs>
          <w:tab w:val="left" w:pos="2835"/>
        </w:tabs>
        <w:ind w:left="567"/>
        <w:contextualSpacing/>
        <w:rPr>
          <w:rFonts w:cs="Arial"/>
          <w:szCs w:val="22"/>
        </w:rPr>
      </w:pPr>
      <w:r w:rsidRPr="00CA1271">
        <w:rPr>
          <w:rFonts w:cs="Arial"/>
          <w:szCs w:val="22"/>
        </w:rPr>
        <w:t>31 March 2020</w:t>
      </w:r>
      <w:r w:rsidR="00647B74" w:rsidRPr="00CA1271">
        <w:rPr>
          <w:rFonts w:cs="Arial"/>
          <w:szCs w:val="22"/>
        </w:rPr>
        <w:t xml:space="preserve"> </w:t>
      </w:r>
      <w:r w:rsidRPr="00CA1271">
        <w:rPr>
          <w:rFonts w:cs="Arial"/>
          <w:szCs w:val="22"/>
        </w:rPr>
        <w:tab/>
        <w:t>Alice Springs</w:t>
      </w:r>
      <w:r w:rsidR="009610B4" w:rsidRPr="00CA1271">
        <w:rPr>
          <w:rFonts w:cs="Arial"/>
          <w:szCs w:val="22"/>
        </w:rPr>
        <w:t>, Northern Territory</w:t>
      </w:r>
    </w:p>
    <w:p w:rsidR="00326B37" w:rsidRPr="00CA1271" w:rsidRDefault="00326B37" w:rsidP="00326B37">
      <w:pPr>
        <w:tabs>
          <w:tab w:val="left" w:pos="2835"/>
        </w:tabs>
        <w:ind w:left="567"/>
        <w:contextualSpacing/>
        <w:rPr>
          <w:rFonts w:cs="Arial"/>
          <w:szCs w:val="22"/>
        </w:rPr>
      </w:pPr>
      <w:r w:rsidRPr="00CA1271">
        <w:rPr>
          <w:rFonts w:cs="Arial"/>
          <w:szCs w:val="22"/>
        </w:rPr>
        <w:t xml:space="preserve">14 April 2020 </w:t>
      </w:r>
      <w:r w:rsidRPr="00CA1271">
        <w:rPr>
          <w:rFonts w:cs="Arial"/>
          <w:szCs w:val="22"/>
        </w:rPr>
        <w:tab/>
        <w:t>Launceston</w:t>
      </w:r>
      <w:r w:rsidR="009610B4" w:rsidRPr="00CA1271">
        <w:rPr>
          <w:rFonts w:cs="Arial"/>
          <w:szCs w:val="22"/>
        </w:rPr>
        <w:t>, Tasmania</w:t>
      </w:r>
    </w:p>
    <w:p w:rsidR="00326B37" w:rsidRPr="00CA1271" w:rsidRDefault="00326B37" w:rsidP="00326B37">
      <w:pPr>
        <w:tabs>
          <w:tab w:val="left" w:pos="2835"/>
        </w:tabs>
        <w:ind w:left="567"/>
        <w:contextualSpacing/>
        <w:rPr>
          <w:rFonts w:cs="Arial"/>
          <w:szCs w:val="22"/>
        </w:rPr>
      </w:pPr>
      <w:r w:rsidRPr="00CA1271">
        <w:rPr>
          <w:rFonts w:cs="Arial"/>
          <w:szCs w:val="22"/>
        </w:rPr>
        <w:t>15</w:t>
      </w:r>
      <w:r w:rsidR="009610B4" w:rsidRPr="00CA1271">
        <w:rPr>
          <w:rFonts w:cs="Arial"/>
          <w:szCs w:val="22"/>
        </w:rPr>
        <w:t xml:space="preserve"> A</w:t>
      </w:r>
      <w:r w:rsidRPr="00CA1271">
        <w:rPr>
          <w:rFonts w:cs="Arial"/>
          <w:szCs w:val="22"/>
        </w:rPr>
        <w:t xml:space="preserve">pril 2020 </w:t>
      </w:r>
      <w:r w:rsidRPr="00CA1271">
        <w:rPr>
          <w:rFonts w:cs="Arial"/>
          <w:szCs w:val="22"/>
        </w:rPr>
        <w:tab/>
        <w:t>Hobart</w:t>
      </w:r>
      <w:r w:rsidR="009610B4" w:rsidRPr="00CA1271">
        <w:rPr>
          <w:rFonts w:cs="Arial"/>
          <w:szCs w:val="22"/>
        </w:rPr>
        <w:t>, Tasmania</w:t>
      </w:r>
    </w:p>
    <w:p w:rsidR="00326B37" w:rsidRPr="00CA1271" w:rsidRDefault="009610B4" w:rsidP="00326B37">
      <w:pPr>
        <w:tabs>
          <w:tab w:val="left" w:pos="2835"/>
        </w:tabs>
        <w:ind w:left="567"/>
        <w:contextualSpacing/>
        <w:rPr>
          <w:rFonts w:cs="Arial"/>
          <w:szCs w:val="22"/>
        </w:rPr>
      </w:pPr>
      <w:r w:rsidRPr="00CA1271">
        <w:rPr>
          <w:rFonts w:cs="Arial"/>
          <w:szCs w:val="22"/>
        </w:rPr>
        <w:t xml:space="preserve">21 April 2020 </w:t>
      </w:r>
      <w:r w:rsidRPr="00CA1271">
        <w:rPr>
          <w:rFonts w:cs="Arial"/>
          <w:szCs w:val="22"/>
        </w:rPr>
        <w:tab/>
        <w:t>Perth, Western Australia</w:t>
      </w:r>
    </w:p>
    <w:p w:rsidR="009610B4" w:rsidRPr="00CA1271" w:rsidRDefault="009610B4" w:rsidP="009610B4">
      <w:pPr>
        <w:tabs>
          <w:tab w:val="left" w:pos="2835"/>
        </w:tabs>
        <w:ind w:left="567"/>
        <w:contextualSpacing/>
        <w:rPr>
          <w:rFonts w:cs="Arial"/>
          <w:szCs w:val="22"/>
        </w:rPr>
      </w:pPr>
      <w:r w:rsidRPr="00CA1271">
        <w:rPr>
          <w:rFonts w:cs="Arial"/>
          <w:szCs w:val="22"/>
        </w:rPr>
        <w:t xml:space="preserve">22 April 2020 </w:t>
      </w:r>
      <w:r w:rsidRPr="00CA1271">
        <w:rPr>
          <w:rFonts w:cs="Arial"/>
          <w:szCs w:val="22"/>
        </w:rPr>
        <w:tab/>
        <w:t>Perth, Western Australia</w:t>
      </w:r>
    </w:p>
    <w:p w:rsidR="009610B4" w:rsidRPr="00CA1271" w:rsidRDefault="009610B4" w:rsidP="00326B37">
      <w:pPr>
        <w:tabs>
          <w:tab w:val="left" w:pos="2835"/>
        </w:tabs>
        <w:ind w:left="567"/>
        <w:contextualSpacing/>
        <w:rPr>
          <w:rFonts w:cs="Arial"/>
          <w:szCs w:val="22"/>
        </w:rPr>
      </w:pPr>
    </w:p>
    <w:p w:rsidR="006569D7" w:rsidRPr="00CA1271" w:rsidRDefault="006569D7" w:rsidP="006569D7">
      <w:r w:rsidRPr="00CA1271">
        <w:t>The views of attendees are presented in the appropriate chapters of this report.</w:t>
      </w:r>
    </w:p>
    <w:p w:rsidR="00E415AF" w:rsidRPr="00CA1271" w:rsidRDefault="00E415AF" w:rsidP="002A437A">
      <w:pPr>
        <w:rPr>
          <w:rFonts w:cs="Arial"/>
          <w:b/>
          <w:szCs w:val="22"/>
        </w:rPr>
      </w:pPr>
      <w:r w:rsidRPr="00CA1271">
        <w:rPr>
          <w:rFonts w:cs="Arial"/>
          <w:b/>
          <w:szCs w:val="22"/>
        </w:rPr>
        <w:t>Working Groups</w:t>
      </w:r>
    </w:p>
    <w:p w:rsidR="00C53439" w:rsidRPr="00CA1271" w:rsidRDefault="00C53439" w:rsidP="002A437A">
      <w:r w:rsidRPr="00CA1271">
        <w:rPr>
          <w:rFonts w:cs="Arial"/>
        </w:rPr>
        <w:t>Six</w:t>
      </w:r>
      <w:r w:rsidRPr="00CA1271">
        <w:rPr>
          <w:rFonts w:cs="Arial"/>
          <w:szCs w:val="22"/>
        </w:rPr>
        <w:t xml:space="preserve"> working groups were set up, with representatives from the sector</w:t>
      </w:r>
      <w:r w:rsidR="0030355D" w:rsidRPr="00CA1271">
        <w:rPr>
          <w:rStyle w:val="FootnoteReference"/>
          <w:rFonts w:cs="Arial"/>
          <w:szCs w:val="22"/>
        </w:rPr>
        <w:footnoteReference w:id="4"/>
      </w:r>
      <w:r w:rsidR="0030355D" w:rsidRPr="00CA1271">
        <w:rPr>
          <w:rFonts w:cs="Arial"/>
          <w:szCs w:val="22"/>
        </w:rPr>
        <w:t xml:space="preserve">, </w:t>
      </w:r>
      <w:r w:rsidRPr="00CA1271">
        <w:rPr>
          <w:rFonts w:cs="Arial"/>
          <w:szCs w:val="22"/>
        </w:rPr>
        <w:t>to discuss concerns and proposals for change in their relevant topics as listed below:</w:t>
      </w:r>
    </w:p>
    <w:p w:rsidR="00C53439" w:rsidRPr="00CA1271" w:rsidRDefault="00C53439" w:rsidP="00CA5B7E">
      <w:pPr>
        <w:pStyle w:val="DotPoint"/>
      </w:pPr>
      <w:r w:rsidRPr="00CA1271">
        <w:t xml:space="preserve">The NDIS </w:t>
      </w:r>
      <w:r w:rsidR="0030355D" w:rsidRPr="00CA1271">
        <w:t>Disability Support Worker Cost Model</w:t>
      </w:r>
      <w:r w:rsidRPr="00CA1271">
        <w:t xml:space="preserve"> </w:t>
      </w:r>
      <w:r w:rsidR="00F61E80" w:rsidRPr="00CA1271">
        <w:noBreakHyphen/>
        <w:t xml:space="preserve"> 30 organisations and peaks</w:t>
      </w:r>
      <w:r w:rsidRPr="00CA1271">
        <w:t>;</w:t>
      </w:r>
    </w:p>
    <w:p w:rsidR="00C53439" w:rsidRPr="00CA1271" w:rsidRDefault="00C53439" w:rsidP="00CA5B7E">
      <w:pPr>
        <w:pStyle w:val="DotPoint"/>
      </w:pPr>
      <w:r w:rsidRPr="00CA1271">
        <w:t>Geographical issues</w:t>
      </w:r>
      <w:r w:rsidR="00F61E80" w:rsidRPr="00CA1271">
        <w:t xml:space="preserve"> – 13 organisations and peaks</w:t>
      </w:r>
      <w:r w:rsidRPr="00CA1271">
        <w:t>;</w:t>
      </w:r>
    </w:p>
    <w:p w:rsidR="00C53439" w:rsidRPr="00CA1271" w:rsidRDefault="00F61E80" w:rsidP="00CA5B7E">
      <w:pPr>
        <w:pStyle w:val="DotPoint"/>
      </w:pPr>
      <w:r w:rsidRPr="00CA1271">
        <w:t>G</w:t>
      </w:r>
      <w:r w:rsidR="00C53439" w:rsidRPr="00CA1271">
        <w:t>roup supports</w:t>
      </w:r>
      <w:r w:rsidRPr="00CA1271">
        <w:t xml:space="preserve"> – 13 organisations and peaks</w:t>
      </w:r>
      <w:r w:rsidR="00C53439" w:rsidRPr="00CA1271">
        <w:t>;</w:t>
      </w:r>
    </w:p>
    <w:p w:rsidR="00C53439" w:rsidRPr="00CA1271" w:rsidRDefault="00C53439" w:rsidP="00CA5B7E">
      <w:pPr>
        <w:pStyle w:val="DotPoint"/>
      </w:pPr>
      <w:r w:rsidRPr="00CA1271">
        <w:t>Billing rules</w:t>
      </w:r>
      <w:r w:rsidR="00F61E80" w:rsidRPr="00CA1271">
        <w:t xml:space="preserve"> – 24 organisations and peaks</w:t>
      </w:r>
      <w:r w:rsidRPr="00CA1271">
        <w:t>;</w:t>
      </w:r>
    </w:p>
    <w:p w:rsidR="00C53439" w:rsidRPr="00CA1271" w:rsidRDefault="00C53439" w:rsidP="00CA5B7E">
      <w:pPr>
        <w:pStyle w:val="DotPoint"/>
      </w:pPr>
      <w:r w:rsidRPr="00CA1271">
        <w:t>Capacity-building (including therapy) supports</w:t>
      </w:r>
      <w:r w:rsidR="00F61E80" w:rsidRPr="00CA1271">
        <w:t xml:space="preserve"> – 20 organisations and peaks</w:t>
      </w:r>
      <w:r w:rsidRPr="00CA1271">
        <w:t>; and</w:t>
      </w:r>
    </w:p>
    <w:p w:rsidR="00C53439" w:rsidRPr="00CA1271" w:rsidRDefault="00C53439" w:rsidP="00CA5B7E">
      <w:pPr>
        <w:pStyle w:val="DotPoint"/>
      </w:pPr>
      <w:r w:rsidRPr="00CA1271">
        <w:t>Plan management supports</w:t>
      </w:r>
      <w:r w:rsidR="00F61E80" w:rsidRPr="00CA1271">
        <w:t xml:space="preserve"> – 18 organisations and peaks</w:t>
      </w:r>
      <w:r w:rsidRPr="00CA1271">
        <w:t>.</w:t>
      </w:r>
    </w:p>
    <w:p w:rsidR="006569D7" w:rsidRPr="00CA1271" w:rsidRDefault="006569D7" w:rsidP="006569D7">
      <w:r w:rsidRPr="00CA1271">
        <w:t>The views of members of the various Working Groups are presented in the appropriate chapters of this report.</w:t>
      </w:r>
    </w:p>
    <w:p w:rsidR="00F61E80" w:rsidRPr="00CA1271" w:rsidRDefault="00F61E80" w:rsidP="002A437A">
      <w:pPr>
        <w:pStyle w:val="Heading3"/>
      </w:pPr>
      <w:r w:rsidRPr="00CA1271">
        <w:t>Participant and Provider Challenges</w:t>
      </w:r>
    </w:p>
    <w:p w:rsidR="00F61E80" w:rsidRPr="00CA1271" w:rsidRDefault="00F61E80" w:rsidP="002A437A">
      <w:pPr>
        <w:rPr>
          <w:rFonts w:cs="Arial"/>
          <w:szCs w:val="22"/>
        </w:rPr>
      </w:pPr>
      <w:r w:rsidRPr="00CA1271">
        <w:rPr>
          <w:rFonts w:cs="Arial"/>
          <w:szCs w:val="22"/>
        </w:rPr>
        <w:t xml:space="preserve">On 11 March 2020, </w:t>
      </w:r>
      <w:r w:rsidR="00387B90" w:rsidRPr="00CA1271">
        <w:rPr>
          <w:rFonts w:cs="Arial"/>
          <w:szCs w:val="22"/>
        </w:rPr>
        <w:t xml:space="preserve">the </w:t>
      </w:r>
      <w:r w:rsidR="00CB1765" w:rsidRPr="00CA1271">
        <w:rPr>
          <w:rFonts w:cs="Arial"/>
          <w:szCs w:val="22"/>
        </w:rPr>
        <w:t xml:space="preserve">NDIA’s </w:t>
      </w:r>
      <w:r w:rsidR="009610B4" w:rsidRPr="00CA1271">
        <w:rPr>
          <w:rFonts w:cs="Arial"/>
          <w:szCs w:val="22"/>
        </w:rPr>
        <w:t xml:space="preserve">Pricing Reference Group (PRG) </w:t>
      </w:r>
      <w:r w:rsidR="00387B90" w:rsidRPr="00CA1271">
        <w:rPr>
          <w:rFonts w:cs="Arial"/>
          <w:szCs w:val="22"/>
        </w:rPr>
        <w:t xml:space="preserve">met with members of the following </w:t>
      </w:r>
      <w:r w:rsidR="009610B4" w:rsidRPr="00CA1271">
        <w:rPr>
          <w:rFonts w:cs="Arial"/>
          <w:szCs w:val="22"/>
        </w:rPr>
        <w:t xml:space="preserve">provider </w:t>
      </w:r>
      <w:r w:rsidR="00387B90" w:rsidRPr="00CA1271">
        <w:rPr>
          <w:rFonts w:cs="Arial"/>
          <w:szCs w:val="22"/>
        </w:rPr>
        <w:t>peak groups:</w:t>
      </w:r>
    </w:p>
    <w:p w:rsidR="00387B90" w:rsidRPr="00CA1271" w:rsidRDefault="00387B90" w:rsidP="00CA5B7E">
      <w:pPr>
        <w:pStyle w:val="DotPoint"/>
      </w:pPr>
      <w:r w:rsidRPr="00CA1271">
        <w:t>National Disability Services</w:t>
      </w:r>
      <w:r w:rsidR="007E1FFA" w:rsidRPr="00CA1271">
        <w:t>;</w:t>
      </w:r>
    </w:p>
    <w:p w:rsidR="00387B90" w:rsidRPr="00CA1271" w:rsidRDefault="00387B90" w:rsidP="00CA5B7E">
      <w:pPr>
        <w:pStyle w:val="DotPoint"/>
      </w:pPr>
      <w:r w:rsidRPr="00CA1271">
        <w:t>Ability First</w:t>
      </w:r>
      <w:r w:rsidR="007E1FFA" w:rsidRPr="00CA1271">
        <w:t>;</w:t>
      </w:r>
    </w:p>
    <w:p w:rsidR="00387B90" w:rsidRPr="00CA1271" w:rsidRDefault="00387B90" w:rsidP="00CA5B7E">
      <w:pPr>
        <w:pStyle w:val="DotPoint"/>
      </w:pPr>
      <w:r w:rsidRPr="00CA1271">
        <w:t>Alliance 20</w:t>
      </w:r>
      <w:r w:rsidR="007E1FFA" w:rsidRPr="00CA1271">
        <w:t>;</w:t>
      </w:r>
    </w:p>
    <w:p w:rsidR="00387B90" w:rsidRPr="00CA1271" w:rsidRDefault="00387B90" w:rsidP="00CA5B7E">
      <w:pPr>
        <w:pStyle w:val="DotPoint"/>
      </w:pPr>
      <w:r w:rsidRPr="00CA1271">
        <w:t>Allied Health Professions Australia</w:t>
      </w:r>
      <w:r w:rsidR="007E1FFA" w:rsidRPr="00CA1271">
        <w:t>;</w:t>
      </w:r>
    </w:p>
    <w:p w:rsidR="00387B90" w:rsidRPr="00CA1271" w:rsidRDefault="00387B90" w:rsidP="00CA5B7E">
      <w:pPr>
        <w:pStyle w:val="DotPoint"/>
      </w:pPr>
      <w:r w:rsidRPr="00CA1271">
        <w:t>Mental health providers (represented by Aftercare and Mind Australia)</w:t>
      </w:r>
      <w:r w:rsidR="007E1FFA" w:rsidRPr="00CA1271">
        <w:t>; and</w:t>
      </w:r>
    </w:p>
    <w:p w:rsidR="00387B90" w:rsidRPr="00CA1271" w:rsidRDefault="00387B90" w:rsidP="00CA5B7E">
      <w:pPr>
        <w:pStyle w:val="DotPoint"/>
      </w:pPr>
      <w:r w:rsidRPr="00CA1271">
        <w:t>Disability Intermediaries Australia</w:t>
      </w:r>
      <w:r w:rsidR="007E1FFA" w:rsidRPr="00CA1271">
        <w:t>.</w:t>
      </w:r>
    </w:p>
    <w:p w:rsidR="00F61E80" w:rsidRPr="00CA1271" w:rsidRDefault="00387B90" w:rsidP="002A437A">
      <w:pPr>
        <w:rPr>
          <w:rFonts w:cs="Arial"/>
          <w:szCs w:val="22"/>
        </w:rPr>
      </w:pPr>
      <w:r w:rsidRPr="00CA1271">
        <w:rPr>
          <w:rFonts w:cs="Arial"/>
          <w:szCs w:val="22"/>
        </w:rPr>
        <w:t>Each group was able to present their issues and concerns directly to the PRG with follow up questions from PRG members.</w:t>
      </w:r>
    </w:p>
    <w:p w:rsidR="00F61E80" w:rsidRPr="00CA1271" w:rsidRDefault="00387B90" w:rsidP="002A437A">
      <w:pPr>
        <w:rPr>
          <w:rFonts w:cs="Arial"/>
          <w:szCs w:val="22"/>
        </w:rPr>
      </w:pPr>
      <w:r w:rsidRPr="00CA1271">
        <w:rPr>
          <w:rFonts w:cs="Arial"/>
          <w:szCs w:val="22"/>
        </w:rPr>
        <w:t xml:space="preserve">On 15 April </w:t>
      </w:r>
      <w:r w:rsidR="00CB1765" w:rsidRPr="00CA1271">
        <w:rPr>
          <w:rFonts w:cs="Arial"/>
          <w:szCs w:val="22"/>
        </w:rPr>
        <w:t xml:space="preserve">2020, </w:t>
      </w:r>
      <w:r w:rsidRPr="00CA1271">
        <w:rPr>
          <w:rFonts w:cs="Arial"/>
          <w:szCs w:val="22"/>
        </w:rPr>
        <w:t xml:space="preserve">the </w:t>
      </w:r>
      <w:r w:rsidR="00CB1765" w:rsidRPr="00CA1271">
        <w:rPr>
          <w:rFonts w:cs="Arial"/>
          <w:szCs w:val="22"/>
        </w:rPr>
        <w:t xml:space="preserve">NDIA’s </w:t>
      </w:r>
      <w:r w:rsidRPr="00CA1271">
        <w:rPr>
          <w:rFonts w:cs="Arial"/>
          <w:szCs w:val="22"/>
        </w:rPr>
        <w:t xml:space="preserve">PRG also met with </w:t>
      </w:r>
      <w:r w:rsidR="008D139E" w:rsidRPr="00CA1271">
        <w:rPr>
          <w:rFonts w:cs="Arial"/>
          <w:szCs w:val="22"/>
        </w:rPr>
        <w:t xml:space="preserve">representatives of </w:t>
      </w:r>
      <w:r w:rsidRPr="00CA1271">
        <w:rPr>
          <w:rFonts w:cs="Arial"/>
          <w:szCs w:val="22"/>
        </w:rPr>
        <w:t xml:space="preserve">a number of participant </w:t>
      </w:r>
      <w:r w:rsidR="00063007" w:rsidRPr="00CA1271">
        <w:rPr>
          <w:rFonts w:cs="Arial"/>
          <w:szCs w:val="22"/>
        </w:rPr>
        <w:t>peak groups.</w:t>
      </w:r>
    </w:p>
    <w:p w:rsidR="00063007" w:rsidRPr="00CA1271" w:rsidRDefault="00063007" w:rsidP="003F4A0C">
      <w:pPr>
        <w:pStyle w:val="DotPoint"/>
      </w:pPr>
      <w:r w:rsidRPr="00CA1271">
        <w:t>Consumer Action Law Centre</w:t>
      </w:r>
      <w:r w:rsidR="007E1FFA" w:rsidRPr="00CA1271">
        <w:t>;</w:t>
      </w:r>
    </w:p>
    <w:p w:rsidR="00063007" w:rsidRPr="00CA1271" w:rsidRDefault="00063007" w:rsidP="003F4A0C">
      <w:pPr>
        <w:pStyle w:val="DotPoint"/>
      </w:pPr>
      <w:r w:rsidRPr="00CA1271">
        <w:t>JFA Purple Orange</w:t>
      </w:r>
      <w:r w:rsidR="007E1FFA" w:rsidRPr="00CA1271">
        <w:t>; and</w:t>
      </w:r>
    </w:p>
    <w:p w:rsidR="00063007" w:rsidRPr="00CA1271" w:rsidRDefault="00063007" w:rsidP="003F4A0C">
      <w:pPr>
        <w:pStyle w:val="DotPoint"/>
      </w:pPr>
      <w:r w:rsidRPr="00CA1271">
        <w:t>Inclusion Australia</w:t>
      </w:r>
      <w:r w:rsidR="007E1FFA" w:rsidRPr="00CA1271">
        <w:t>.</w:t>
      </w:r>
    </w:p>
    <w:p w:rsidR="00063007" w:rsidRPr="00CA1271" w:rsidRDefault="009610B4" w:rsidP="002A437A">
      <w:pPr>
        <w:rPr>
          <w:rFonts w:cs="Arial"/>
          <w:szCs w:val="22"/>
        </w:rPr>
      </w:pPr>
      <w:r w:rsidRPr="00CA1271">
        <w:rPr>
          <w:rFonts w:cs="Arial"/>
          <w:szCs w:val="22"/>
        </w:rPr>
        <w:t>Other</w:t>
      </w:r>
      <w:r w:rsidR="00063007" w:rsidRPr="00CA1271">
        <w:rPr>
          <w:rFonts w:cs="Arial"/>
          <w:szCs w:val="22"/>
        </w:rPr>
        <w:t xml:space="preserve"> participant representative groups were invited, but were unable to attend due to having to address COVID-19 issues.</w:t>
      </w:r>
      <w:r w:rsidR="004D24D4" w:rsidRPr="00CA1271">
        <w:rPr>
          <w:rFonts w:cs="Arial"/>
          <w:szCs w:val="22"/>
        </w:rPr>
        <w:t xml:space="preserve"> </w:t>
      </w:r>
      <w:r w:rsidR="00063007" w:rsidRPr="00CA1271">
        <w:rPr>
          <w:rFonts w:cs="Arial"/>
          <w:szCs w:val="22"/>
        </w:rPr>
        <w:t>As with the provider challenge, members of the participant challenge also had one on one meetings with the PRG, however</w:t>
      </w:r>
      <w:r w:rsidR="00DC05CD" w:rsidRPr="00CA1271">
        <w:rPr>
          <w:rFonts w:cs="Arial"/>
          <w:szCs w:val="22"/>
        </w:rPr>
        <w:t xml:space="preserve">, </w:t>
      </w:r>
      <w:r w:rsidR="00063007" w:rsidRPr="00CA1271">
        <w:rPr>
          <w:rFonts w:cs="Arial"/>
          <w:szCs w:val="22"/>
        </w:rPr>
        <w:t>proceedings had to be conduct</w:t>
      </w:r>
      <w:r w:rsidRPr="00CA1271">
        <w:rPr>
          <w:rFonts w:cs="Arial"/>
          <w:szCs w:val="22"/>
        </w:rPr>
        <w:t>ed by videoconference</w:t>
      </w:r>
      <w:r w:rsidR="00063007" w:rsidRPr="00CA1271">
        <w:rPr>
          <w:rFonts w:cs="Arial"/>
          <w:szCs w:val="22"/>
        </w:rPr>
        <w:t>.</w:t>
      </w:r>
    </w:p>
    <w:p w:rsidR="009A2E8A" w:rsidRPr="00CA1271" w:rsidRDefault="009A2E8A" w:rsidP="002A437A">
      <w:pPr>
        <w:pStyle w:val="Heading3"/>
      </w:pPr>
      <w:r w:rsidRPr="00CA1271">
        <w:t xml:space="preserve">Consultations with </w:t>
      </w:r>
      <w:r w:rsidR="001F74D2" w:rsidRPr="00CA1271">
        <w:t>O</w:t>
      </w:r>
      <w:r w:rsidRPr="00CA1271">
        <w:t xml:space="preserve">ther </w:t>
      </w:r>
      <w:r w:rsidR="001F74D2" w:rsidRPr="00CA1271">
        <w:t>S</w:t>
      </w:r>
      <w:r w:rsidRPr="00CA1271">
        <w:t>chemes</w:t>
      </w:r>
    </w:p>
    <w:p w:rsidR="009A2E8A" w:rsidRPr="00CA1271" w:rsidRDefault="009A2E8A" w:rsidP="009A2E8A">
      <w:r w:rsidRPr="00CA1271">
        <w:t>Teleconferences were held with officer</w:t>
      </w:r>
      <w:r w:rsidR="001F74D2" w:rsidRPr="00CA1271">
        <w:t>s</w:t>
      </w:r>
      <w:r w:rsidRPr="00CA1271">
        <w:t xml:space="preserve"> of the following Schemes to compare therapy and attendant care pricing met</w:t>
      </w:r>
      <w:r w:rsidR="008D139E" w:rsidRPr="00CA1271">
        <w:t>ho</w:t>
      </w:r>
      <w:r w:rsidRPr="00CA1271">
        <w:t>dol</w:t>
      </w:r>
      <w:r w:rsidR="008D139E" w:rsidRPr="00CA1271">
        <w:t>o</w:t>
      </w:r>
      <w:r w:rsidRPr="00CA1271">
        <w:t>gies:</w:t>
      </w:r>
    </w:p>
    <w:p w:rsidR="00CB4B0A" w:rsidRPr="00CA1271" w:rsidRDefault="00CB4B0A" w:rsidP="008D139E">
      <w:pPr>
        <w:pStyle w:val="DotPoint"/>
      </w:pPr>
      <w:r w:rsidRPr="00CA1271">
        <w:t>Department of Veterans Affairs.</w:t>
      </w:r>
      <w:r w:rsidRPr="00CA1271">
        <w:rPr>
          <w:rStyle w:val="FootnoteReference"/>
        </w:rPr>
        <w:footnoteReference w:id="5"/>
      </w:r>
    </w:p>
    <w:p w:rsidR="008D139E" w:rsidRPr="00CA1271" w:rsidRDefault="008D139E" w:rsidP="008D139E">
      <w:pPr>
        <w:pStyle w:val="DotPoint"/>
      </w:pPr>
      <w:proofErr w:type="spellStart"/>
      <w:proofErr w:type="gramStart"/>
      <w:r w:rsidRPr="00CA1271">
        <w:t>icare</w:t>
      </w:r>
      <w:proofErr w:type="spellEnd"/>
      <w:proofErr w:type="gramEnd"/>
      <w:r w:rsidRPr="00CA1271">
        <w:t xml:space="preserve"> New South Wales</w:t>
      </w:r>
      <w:r w:rsidR="00CB4B0A" w:rsidRPr="00CA1271">
        <w:t>.</w:t>
      </w:r>
      <w:r w:rsidR="00CB4B0A" w:rsidRPr="00CA1271">
        <w:rPr>
          <w:rStyle w:val="FootnoteReference"/>
        </w:rPr>
        <w:footnoteReference w:id="6"/>
      </w:r>
    </w:p>
    <w:p w:rsidR="009A2E8A" w:rsidRPr="00CA1271" w:rsidRDefault="009A2E8A" w:rsidP="009A2E8A">
      <w:pPr>
        <w:pStyle w:val="DotPoint"/>
      </w:pPr>
      <w:r w:rsidRPr="00CA1271">
        <w:t>State Insurance Regulatory Authority New South Wales</w:t>
      </w:r>
      <w:r w:rsidR="00CB4B0A" w:rsidRPr="00CA1271">
        <w:t>.</w:t>
      </w:r>
      <w:r w:rsidR="00CB4B0A" w:rsidRPr="00CA1271">
        <w:rPr>
          <w:rStyle w:val="FootnoteReference"/>
        </w:rPr>
        <w:footnoteReference w:id="7"/>
      </w:r>
    </w:p>
    <w:p w:rsidR="008D139E" w:rsidRPr="00CA1271" w:rsidRDefault="008D139E" w:rsidP="009A2E8A">
      <w:pPr>
        <w:pStyle w:val="DotPoint"/>
      </w:pPr>
      <w:r w:rsidRPr="00CA1271">
        <w:t>Victorian Transport Accident Commission</w:t>
      </w:r>
      <w:r w:rsidR="00CB4B0A" w:rsidRPr="00CA1271">
        <w:t>.</w:t>
      </w:r>
      <w:r w:rsidR="00CB4B0A" w:rsidRPr="00CA1271">
        <w:rPr>
          <w:rStyle w:val="FootnoteReference"/>
        </w:rPr>
        <w:footnoteReference w:id="8"/>
      </w:r>
    </w:p>
    <w:p w:rsidR="008D139E" w:rsidRPr="00CA1271" w:rsidRDefault="008D139E" w:rsidP="009A2E8A">
      <w:pPr>
        <w:pStyle w:val="DotPoint"/>
      </w:pPr>
      <w:r w:rsidRPr="00CA1271">
        <w:t>Worksafe Victoria</w:t>
      </w:r>
      <w:r w:rsidR="00CB4B0A" w:rsidRPr="00CA1271">
        <w:t>.</w:t>
      </w:r>
      <w:r w:rsidR="00CB4B0A" w:rsidRPr="00CA1271">
        <w:rPr>
          <w:rStyle w:val="FootnoteReference"/>
        </w:rPr>
        <w:footnoteReference w:id="9"/>
      </w:r>
    </w:p>
    <w:p w:rsidR="008D139E" w:rsidRPr="00CA1271" w:rsidRDefault="008D139E" w:rsidP="009A2E8A">
      <w:pPr>
        <w:pStyle w:val="DotPoint"/>
      </w:pPr>
      <w:r w:rsidRPr="00CA1271">
        <w:t>WorkCover Queensland</w:t>
      </w:r>
      <w:r w:rsidR="00CB4B0A" w:rsidRPr="00CA1271">
        <w:t>.</w:t>
      </w:r>
      <w:r w:rsidR="007A045B" w:rsidRPr="00CA1271">
        <w:rPr>
          <w:rStyle w:val="FootnoteReference"/>
        </w:rPr>
        <w:footnoteReference w:id="10"/>
      </w:r>
    </w:p>
    <w:p w:rsidR="001F74D2" w:rsidRPr="00CA1271" w:rsidRDefault="001F74D2" w:rsidP="008D139E">
      <w:pPr>
        <w:pStyle w:val="DotPoint"/>
        <w:numPr>
          <w:ilvl w:val="0"/>
          <w:numId w:val="0"/>
        </w:numPr>
      </w:pPr>
      <w:r w:rsidRPr="00CA1271">
        <w:t xml:space="preserve">Desktop reviews were also undertaken </w:t>
      </w:r>
      <w:r w:rsidR="008D139E" w:rsidRPr="00CA1271">
        <w:t xml:space="preserve">of </w:t>
      </w:r>
      <w:r w:rsidRPr="00CA1271">
        <w:t>the pricing arrangements of the following schemes:</w:t>
      </w:r>
    </w:p>
    <w:p w:rsidR="0058636F" w:rsidRPr="00CA1271" w:rsidRDefault="0064255F" w:rsidP="007051A7">
      <w:pPr>
        <w:pStyle w:val="DotPoint"/>
      </w:pPr>
      <w:proofErr w:type="spellStart"/>
      <w:r w:rsidRPr="00CA1271">
        <w:t>Comcare</w:t>
      </w:r>
      <w:proofErr w:type="spellEnd"/>
      <w:r w:rsidRPr="00CA1271">
        <w:t xml:space="preserve"> – which covers </w:t>
      </w:r>
      <w:r w:rsidR="0058636F" w:rsidRPr="00CA1271">
        <w:t>employees of Commonwealth Government agencies and statutory authorities (excluding Australian Defence Force); ACT Government and its agencies; and Self-insured corporations.</w:t>
      </w:r>
      <w:r w:rsidR="0058636F" w:rsidRPr="00CA1271">
        <w:rPr>
          <w:rStyle w:val="FootnoteReference"/>
        </w:rPr>
        <w:footnoteReference w:id="11"/>
      </w:r>
    </w:p>
    <w:p w:rsidR="0064255F" w:rsidRPr="00CA1271" w:rsidRDefault="0064255F" w:rsidP="007051A7">
      <w:pPr>
        <w:pStyle w:val="DotPoint"/>
      </w:pPr>
      <w:r w:rsidRPr="00CA1271">
        <w:t>Medicare Benefits Schedule.</w:t>
      </w:r>
      <w:r w:rsidRPr="00CA1271">
        <w:rPr>
          <w:rStyle w:val="FootnoteReference"/>
        </w:rPr>
        <w:footnoteReference w:id="12"/>
      </w:r>
    </w:p>
    <w:p w:rsidR="0064255F" w:rsidRPr="00CA1271" w:rsidRDefault="0064255F" w:rsidP="0064255F">
      <w:pPr>
        <w:pStyle w:val="DotPoint"/>
      </w:pPr>
      <w:r w:rsidRPr="00CA1271">
        <w:t>Return to Work South Australia.</w:t>
      </w:r>
      <w:r w:rsidRPr="00CA1271">
        <w:rPr>
          <w:rStyle w:val="FootnoteReference"/>
        </w:rPr>
        <w:footnoteReference w:id="13"/>
      </w:r>
    </w:p>
    <w:p w:rsidR="008D139E" w:rsidRPr="00CA1271" w:rsidRDefault="001F74D2" w:rsidP="001F74D2">
      <w:pPr>
        <w:pStyle w:val="DotPoint"/>
      </w:pPr>
      <w:r w:rsidRPr="00CA1271">
        <w:t>South Australian</w:t>
      </w:r>
      <w:r w:rsidR="008D139E" w:rsidRPr="00CA1271">
        <w:t xml:space="preserve"> </w:t>
      </w:r>
      <w:r w:rsidRPr="00CA1271">
        <w:t>Lifetime Support Authority</w:t>
      </w:r>
      <w:r w:rsidR="00CB4B0A" w:rsidRPr="00CA1271">
        <w:t>.</w:t>
      </w:r>
      <w:r w:rsidR="00CB4B0A" w:rsidRPr="00CA1271">
        <w:rPr>
          <w:rStyle w:val="FootnoteReference"/>
        </w:rPr>
        <w:footnoteReference w:id="14"/>
      </w:r>
    </w:p>
    <w:p w:rsidR="0058636F" w:rsidRPr="00CA1271" w:rsidRDefault="0058636F" w:rsidP="001F74D2">
      <w:pPr>
        <w:pStyle w:val="DotPoint"/>
      </w:pPr>
      <w:proofErr w:type="spellStart"/>
      <w:r w:rsidRPr="00CA1271">
        <w:t>Workcover</w:t>
      </w:r>
      <w:proofErr w:type="spellEnd"/>
      <w:r w:rsidRPr="00CA1271">
        <w:t xml:space="preserve"> Western Australia.</w:t>
      </w:r>
      <w:r w:rsidRPr="00CA1271">
        <w:rPr>
          <w:rStyle w:val="FootnoteReference"/>
        </w:rPr>
        <w:footnoteReference w:id="15"/>
      </w:r>
    </w:p>
    <w:p w:rsidR="00745706" w:rsidRPr="00CA1271" w:rsidRDefault="00745706" w:rsidP="002A437A">
      <w:pPr>
        <w:pStyle w:val="Heading3"/>
      </w:pPr>
      <w:r w:rsidRPr="00CA1271">
        <w:t>Desktop Research</w:t>
      </w:r>
    </w:p>
    <w:p w:rsidR="00745706" w:rsidRPr="00CA1271" w:rsidRDefault="00CB4B0A" w:rsidP="002A437A">
      <w:pPr>
        <w:rPr>
          <w:rFonts w:cs="Arial"/>
          <w:szCs w:val="22"/>
        </w:rPr>
      </w:pPr>
      <w:r w:rsidRPr="00CA1271">
        <w:rPr>
          <w:rFonts w:cs="Arial"/>
          <w:szCs w:val="22"/>
        </w:rPr>
        <w:t>The Review also</w:t>
      </w:r>
      <w:r w:rsidR="00745706" w:rsidRPr="00CA1271">
        <w:rPr>
          <w:rFonts w:cs="Arial"/>
          <w:szCs w:val="22"/>
        </w:rPr>
        <w:t xml:space="preserve"> conducted research into</w:t>
      </w:r>
      <w:r w:rsidR="0064263B" w:rsidRPr="00CA1271">
        <w:rPr>
          <w:rFonts w:cs="Arial"/>
          <w:szCs w:val="22"/>
        </w:rPr>
        <w:t>:</w:t>
      </w:r>
    </w:p>
    <w:p w:rsidR="007E1FFA" w:rsidRPr="00CA1271" w:rsidRDefault="007E1FFA" w:rsidP="003F4A0C">
      <w:pPr>
        <w:pStyle w:val="DotPoint"/>
      </w:pPr>
      <w:r w:rsidRPr="00CA1271">
        <w:t>A comparison of</w:t>
      </w:r>
      <w:r w:rsidR="00CB1765" w:rsidRPr="00CA1271">
        <w:t xml:space="preserve"> NDIS</w:t>
      </w:r>
      <w:r w:rsidR="00745706" w:rsidRPr="00CA1271">
        <w:t xml:space="preserve"> attendant care </w:t>
      </w:r>
      <w:r w:rsidR="00CB1765" w:rsidRPr="00CA1271">
        <w:t>price limits</w:t>
      </w:r>
      <w:r w:rsidR="00745706" w:rsidRPr="00CA1271">
        <w:t xml:space="preserve"> and </w:t>
      </w:r>
      <w:r w:rsidR="00CB1765" w:rsidRPr="00CA1271">
        <w:t>input cost drivers</w:t>
      </w:r>
      <w:r w:rsidR="00745706" w:rsidRPr="00CA1271">
        <w:t xml:space="preserve"> to</w:t>
      </w:r>
      <w:r w:rsidR="0058636F" w:rsidRPr="00CA1271">
        <w:t xml:space="preserve"> those of</w:t>
      </w:r>
      <w:r w:rsidR="00745706" w:rsidRPr="00CA1271">
        <w:t xml:space="preserve"> other schemes </w:t>
      </w:r>
      <w:r w:rsidRPr="00CA1271">
        <w:t>and sectors.</w:t>
      </w:r>
    </w:p>
    <w:p w:rsidR="00745706" w:rsidRPr="00CA1271" w:rsidRDefault="00CB1765" w:rsidP="003F4A0C">
      <w:pPr>
        <w:pStyle w:val="DotPoint"/>
      </w:pPr>
      <w:r w:rsidRPr="00CA1271">
        <w:t>The level of</w:t>
      </w:r>
      <w:r w:rsidR="00745706" w:rsidRPr="00CA1271">
        <w:t xml:space="preserve"> market competition, as evidence by </w:t>
      </w:r>
      <w:r w:rsidR="007E1FFA" w:rsidRPr="00CA1271">
        <w:t>the</w:t>
      </w:r>
      <w:r w:rsidR="00745706" w:rsidRPr="00CA1271">
        <w:t xml:space="preserve"> proportion of capacity building and core support services are being supplied below the maximum prices stipulated in the </w:t>
      </w:r>
      <w:r w:rsidRPr="00CA1271">
        <w:rPr>
          <w:i/>
        </w:rPr>
        <w:t xml:space="preserve">NDIS </w:t>
      </w:r>
      <w:r w:rsidR="007E1FFA" w:rsidRPr="00CA1271">
        <w:rPr>
          <w:i/>
        </w:rPr>
        <w:t xml:space="preserve">Price </w:t>
      </w:r>
      <w:r w:rsidR="007E1FFA" w:rsidRPr="00CA1271">
        <w:t xml:space="preserve">Guide and the </w:t>
      </w:r>
      <w:r w:rsidR="007E1FFA" w:rsidRPr="00CA1271">
        <w:rPr>
          <w:i/>
        </w:rPr>
        <w:t xml:space="preserve">NDIS </w:t>
      </w:r>
      <w:r w:rsidR="00745706" w:rsidRPr="00CA1271">
        <w:t>Support</w:t>
      </w:r>
      <w:r w:rsidR="00745706" w:rsidRPr="00CA1271">
        <w:rPr>
          <w:i/>
        </w:rPr>
        <w:t xml:space="preserve"> Catalogue</w:t>
      </w:r>
      <w:r w:rsidR="007E1FFA" w:rsidRPr="00CA1271">
        <w:t>.</w:t>
      </w:r>
    </w:p>
    <w:p w:rsidR="00745706" w:rsidRPr="00CA1271" w:rsidRDefault="00745706" w:rsidP="003F4A0C">
      <w:pPr>
        <w:pStyle w:val="DotPoint"/>
      </w:pPr>
      <w:r w:rsidRPr="00CA1271">
        <w:t>Administrative burdens, as indicated by payment delays and claim rejection rates</w:t>
      </w:r>
      <w:r w:rsidR="007E1FFA" w:rsidRPr="00CA1271">
        <w:t>.</w:t>
      </w:r>
    </w:p>
    <w:p w:rsidR="00745706" w:rsidRPr="00CA1271" w:rsidRDefault="00CB1765" w:rsidP="003F4A0C">
      <w:pPr>
        <w:pStyle w:val="DotPoint"/>
      </w:pPr>
      <w:r w:rsidRPr="00CA1271">
        <w:t>Comparison of non-face-to-</w:t>
      </w:r>
      <w:r w:rsidR="00A05E3C" w:rsidRPr="00CA1271">
        <w:t>face costs in one to one and group supports</w:t>
      </w:r>
      <w:r w:rsidR="007E1FFA" w:rsidRPr="00CA1271">
        <w:t>.</w:t>
      </w:r>
    </w:p>
    <w:p w:rsidR="00A05E3C" w:rsidRPr="00CA1271" w:rsidRDefault="00A05E3C" w:rsidP="003F4A0C">
      <w:pPr>
        <w:pStyle w:val="DotPoint"/>
      </w:pPr>
      <w:r w:rsidRPr="00CA1271">
        <w:t>For plan management, trends in average numbers of participants per provider, and in aver</w:t>
      </w:r>
      <w:r w:rsidR="007E1FFA" w:rsidRPr="00CA1271">
        <w:t>age number of services provided.</w:t>
      </w:r>
    </w:p>
    <w:p w:rsidR="00A05E3C" w:rsidRPr="00CA1271" w:rsidRDefault="00CB1765" w:rsidP="003F4A0C">
      <w:pPr>
        <w:pStyle w:val="DotPoint"/>
      </w:pPr>
      <w:r w:rsidRPr="00CA1271">
        <w:t xml:space="preserve">The </w:t>
      </w:r>
      <w:r w:rsidR="007E1FFA" w:rsidRPr="00CA1271">
        <w:t>differences between the</w:t>
      </w:r>
      <w:r w:rsidR="00214E12" w:rsidRPr="00CA1271">
        <w:t xml:space="preserve"> 2015 </w:t>
      </w:r>
      <w:r w:rsidR="007E1FFA" w:rsidRPr="00CA1271">
        <w:t xml:space="preserve">and 2019 </w:t>
      </w:r>
      <w:r w:rsidR="00214E12" w:rsidRPr="00CA1271">
        <w:t>version</w:t>
      </w:r>
      <w:r w:rsidR="007E1FFA" w:rsidRPr="00CA1271">
        <w:t>s</w:t>
      </w:r>
      <w:r w:rsidR="00214E12" w:rsidRPr="00CA1271">
        <w:t xml:space="preserve"> of the Modified Monash Model</w:t>
      </w:r>
      <w:r w:rsidR="007E1FFA" w:rsidRPr="00CA1271">
        <w:t>.</w:t>
      </w:r>
    </w:p>
    <w:p w:rsidR="00214E12" w:rsidRPr="00CA1271" w:rsidRDefault="00214E12" w:rsidP="003F4A0C">
      <w:pPr>
        <w:pStyle w:val="DotPoint"/>
      </w:pPr>
      <w:r w:rsidRPr="00CA1271">
        <w:t>Numbers and trends in service cancellations, by support categories</w:t>
      </w:r>
      <w:r w:rsidR="007E1FFA" w:rsidRPr="00CA1271">
        <w:t>.</w:t>
      </w:r>
    </w:p>
    <w:p w:rsidR="00214E12" w:rsidRPr="00CA1271" w:rsidRDefault="00CB1765" w:rsidP="003F4A0C">
      <w:pPr>
        <w:pStyle w:val="DotPoint"/>
      </w:pPr>
      <w:r w:rsidRPr="00CA1271">
        <w:t>How</w:t>
      </w:r>
      <w:r w:rsidR="00214E12" w:rsidRPr="00CA1271">
        <w:t xml:space="preserve"> many participants change provider</w:t>
      </w:r>
      <w:r w:rsidRPr="00CA1271">
        <w:t>s</w:t>
      </w:r>
      <w:r w:rsidR="00214E12" w:rsidRPr="00CA1271">
        <w:t xml:space="preserve"> in their first year, or pay </w:t>
      </w:r>
      <w:r w:rsidR="00050776" w:rsidRPr="00CA1271">
        <w:t>Establishment Fee</w:t>
      </w:r>
      <w:r w:rsidR="00214E12" w:rsidRPr="00CA1271">
        <w:t>s to multiple providers at the same time.</w:t>
      </w:r>
    </w:p>
    <w:p w:rsidR="006569D7" w:rsidRPr="00CA1271" w:rsidRDefault="006569D7" w:rsidP="006569D7">
      <w:r w:rsidRPr="00CA1271">
        <w:rPr>
          <w:rFonts w:cs="Arial"/>
          <w:szCs w:val="22"/>
        </w:rPr>
        <w:t xml:space="preserve">The research is reported </w:t>
      </w:r>
      <w:r w:rsidRPr="00CA1271">
        <w:t>in the appropriate chapters of this report.</w:t>
      </w:r>
    </w:p>
    <w:p w:rsidR="008A2E70" w:rsidRPr="00CA1271" w:rsidRDefault="002B71DF" w:rsidP="002A437A">
      <w:pPr>
        <w:pStyle w:val="Heading3"/>
      </w:pPr>
      <w:r w:rsidRPr="00CA1271">
        <w:t>Tempora</w:t>
      </w:r>
      <w:r w:rsidR="007E1FFA" w:rsidRPr="00CA1271">
        <w:t xml:space="preserve">ry Transformation Payment </w:t>
      </w:r>
      <w:r w:rsidRPr="00CA1271">
        <w:t>Benchmarking</w:t>
      </w:r>
      <w:r w:rsidR="008A2E70" w:rsidRPr="00CA1271">
        <w:t xml:space="preserve"> Survey</w:t>
      </w:r>
    </w:p>
    <w:p w:rsidR="008A2E70" w:rsidRPr="00CA1271" w:rsidRDefault="008A2E70" w:rsidP="006569D7">
      <w:pPr>
        <w:rPr>
          <w:rFonts w:cs="Arial"/>
          <w:szCs w:val="22"/>
        </w:rPr>
      </w:pPr>
      <w:r w:rsidRPr="00CA1271">
        <w:rPr>
          <w:rFonts w:cs="Arial"/>
          <w:szCs w:val="22"/>
        </w:rPr>
        <w:t>Providers of attendant care and community participation supports who meet the eligibility criteria set out below have access to a</w:t>
      </w:r>
      <w:r w:rsidR="00CB1765" w:rsidRPr="00CA1271">
        <w:rPr>
          <w:rFonts w:cs="Arial"/>
          <w:szCs w:val="22"/>
        </w:rPr>
        <w:t xml:space="preserve"> set of higher price limits </w:t>
      </w:r>
      <w:r w:rsidRPr="00CA1271">
        <w:rPr>
          <w:rFonts w:cs="Arial"/>
          <w:szCs w:val="22"/>
        </w:rPr>
        <w:t>through a Temporary Transformation Payment (TTP). This conditional loading is meant to assist providers to continue transforming their businesses in the move towards a more competitive marketplace.</w:t>
      </w:r>
      <w:r w:rsidR="00CB1765" w:rsidRPr="00CA1271">
        <w:rPr>
          <w:rFonts w:cs="Arial"/>
          <w:szCs w:val="22"/>
        </w:rPr>
        <w:t xml:space="preserve"> </w:t>
      </w:r>
      <w:r w:rsidRPr="00CA1271">
        <w:rPr>
          <w:rFonts w:cs="Arial"/>
          <w:szCs w:val="22"/>
        </w:rPr>
        <w:t>In order to access the higher TTP price limits, providers have to participate annually in an Agency-approved market benchmarking survey.</w:t>
      </w:r>
      <w:r w:rsidR="006569D7" w:rsidRPr="00CA1271">
        <w:rPr>
          <w:rFonts w:cs="Arial"/>
          <w:szCs w:val="22"/>
        </w:rPr>
        <w:t xml:space="preserve"> </w:t>
      </w:r>
      <w:r w:rsidRPr="00CA1271">
        <w:rPr>
          <w:rFonts w:cs="Arial"/>
          <w:szCs w:val="22"/>
        </w:rPr>
        <w:t>They also have to publish their service prices and keep their business contact details up to date in the Provider Finder.</w:t>
      </w:r>
    </w:p>
    <w:p w:rsidR="008A2E70" w:rsidRPr="00CA1271" w:rsidRDefault="008A2E70" w:rsidP="002A437A">
      <w:pPr>
        <w:rPr>
          <w:rFonts w:cs="Arial"/>
          <w:szCs w:val="22"/>
        </w:rPr>
      </w:pPr>
      <w:r w:rsidRPr="00CA1271">
        <w:rPr>
          <w:rFonts w:cs="Arial"/>
          <w:szCs w:val="22"/>
        </w:rPr>
        <w:t xml:space="preserve">Deloitte Access Economics were engaged by the NDIA to conduct </w:t>
      </w:r>
      <w:r w:rsidR="00CB1765" w:rsidRPr="00CA1271">
        <w:rPr>
          <w:rFonts w:cs="Arial"/>
          <w:szCs w:val="22"/>
        </w:rPr>
        <w:t>a financial benchmarking</w:t>
      </w:r>
      <w:r w:rsidRPr="00CA1271">
        <w:rPr>
          <w:rFonts w:cs="Arial"/>
          <w:szCs w:val="22"/>
        </w:rPr>
        <w:t xml:space="preserve"> survey</w:t>
      </w:r>
      <w:r w:rsidR="00CB1765" w:rsidRPr="00CA1271">
        <w:rPr>
          <w:rFonts w:cs="Arial"/>
          <w:szCs w:val="22"/>
        </w:rPr>
        <w:t xml:space="preserve"> of TTP providers</w:t>
      </w:r>
      <w:r w:rsidRPr="00CA1271">
        <w:rPr>
          <w:rFonts w:cs="Arial"/>
          <w:szCs w:val="22"/>
        </w:rPr>
        <w:t xml:space="preserve"> and </w:t>
      </w:r>
      <w:r w:rsidR="00CB1765" w:rsidRPr="00CA1271">
        <w:rPr>
          <w:rFonts w:cs="Arial"/>
          <w:szCs w:val="22"/>
        </w:rPr>
        <w:t xml:space="preserve">to analyse the results, with a particular emphasis on the parameters that underlie the </w:t>
      </w:r>
      <w:r w:rsidR="00170F62" w:rsidRPr="00CA1271">
        <w:rPr>
          <w:rFonts w:cs="Arial"/>
          <w:szCs w:val="22"/>
        </w:rPr>
        <w:t>NDIS Disability Support Worker Cost Model</w:t>
      </w:r>
      <w:r w:rsidR="00CB1765" w:rsidRPr="00CA1271">
        <w:rPr>
          <w:rFonts w:cs="Arial"/>
          <w:szCs w:val="22"/>
        </w:rPr>
        <w:t xml:space="preserve"> that determines many of the NDIS price limits. </w:t>
      </w:r>
      <w:r w:rsidRPr="00CA1271">
        <w:rPr>
          <w:rFonts w:cs="Arial"/>
          <w:szCs w:val="22"/>
        </w:rPr>
        <w:t>Only de-identified data was passed on to the Agency</w:t>
      </w:r>
      <w:r w:rsidR="0081759E" w:rsidRPr="00CA1271">
        <w:rPr>
          <w:rFonts w:cs="Arial"/>
          <w:szCs w:val="22"/>
        </w:rPr>
        <w:t>.</w:t>
      </w:r>
    </w:p>
    <w:p w:rsidR="008A2E70" w:rsidRPr="00CA1271" w:rsidRDefault="008A2E70" w:rsidP="002A437A">
      <w:pPr>
        <w:rPr>
          <w:rFonts w:cs="Arial"/>
          <w:szCs w:val="22"/>
        </w:rPr>
      </w:pPr>
      <w:r w:rsidRPr="00CA1271">
        <w:rPr>
          <w:rFonts w:cs="Arial"/>
          <w:szCs w:val="22"/>
        </w:rPr>
        <w:t>On 21 February 2020, Deloitte sent out o</w:t>
      </w:r>
      <w:r w:rsidR="00CB1765" w:rsidRPr="00CA1271">
        <w:rPr>
          <w:rFonts w:cs="Arial"/>
          <w:szCs w:val="22"/>
        </w:rPr>
        <w:t>n-</w:t>
      </w:r>
      <w:r w:rsidRPr="00CA1271">
        <w:rPr>
          <w:rFonts w:cs="Arial"/>
          <w:szCs w:val="22"/>
        </w:rPr>
        <w:t xml:space="preserve">line invitations to the 3,039 providers who were then enrolled in eligible registration groups. </w:t>
      </w:r>
      <w:r w:rsidR="00CB1765" w:rsidRPr="00CA1271">
        <w:rPr>
          <w:rFonts w:cs="Arial"/>
          <w:szCs w:val="22"/>
        </w:rPr>
        <w:t>This included 1,580 providers who had claimed for one or more TTP support items in 2019-20.</w:t>
      </w:r>
    </w:p>
    <w:p w:rsidR="00C53439" w:rsidRPr="00CA1271" w:rsidRDefault="008A2E70" w:rsidP="002A437A">
      <w:pPr>
        <w:rPr>
          <w:rFonts w:cs="Arial"/>
          <w:szCs w:val="22"/>
        </w:rPr>
      </w:pPr>
      <w:r w:rsidRPr="00CA1271">
        <w:rPr>
          <w:rFonts w:cs="Arial"/>
          <w:szCs w:val="22"/>
        </w:rPr>
        <w:t>As at 15 March 2020, when the survey closed, Deloitte had received 615 completed surv</w:t>
      </w:r>
      <w:r w:rsidR="006569D7" w:rsidRPr="00CA1271">
        <w:rPr>
          <w:rFonts w:cs="Arial"/>
          <w:szCs w:val="22"/>
        </w:rPr>
        <w:t xml:space="preserve">eys. </w:t>
      </w:r>
      <w:r w:rsidR="000302F6" w:rsidRPr="00CA1271">
        <w:rPr>
          <w:rFonts w:cs="Arial"/>
          <w:szCs w:val="22"/>
        </w:rPr>
        <w:t>A</w:t>
      </w:r>
      <w:r w:rsidRPr="00CA1271">
        <w:rPr>
          <w:rFonts w:cs="Arial"/>
          <w:szCs w:val="22"/>
        </w:rPr>
        <w:t xml:space="preserve">s of 31 March 2020, an additional 231 responses had been received. </w:t>
      </w:r>
      <w:r w:rsidR="00DE4BC3" w:rsidRPr="00CA1271">
        <w:rPr>
          <w:rFonts w:cs="Arial"/>
          <w:szCs w:val="22"/>
        </w:rPr>
        <w:t>However</w:t>
      </w:r>
      <w:r w:rsidR="00DC05CD" w:rsidRPr="00CA1271">
        <w:rPr>
          <w:rFonts w:cs="Arial"/>
          <w:szCs w:val="22"/>
        </w:rPr>
        <w:t>,</w:t>
      </w:r>
      <w:r w:rsidR="00DE4BC3" w:rsidRPr="00CA1271">
        <w:rPr>
          <w:rFonts w:cs="Arial"/>
          <w:szCs w:val="22"/>
        </w:rPr>
        <w:t xml:space="preserve"> these additional responses were not received in time to be included in the analyses in this report.</w:t>
      </w:r>
    </w:p>
    <w:p w:rsidR="006569D7" w:rsidRPr="00CA1271" w:rsidRDefault="006569D7" w:rsidP="002A437A">
      <w:pPr>
        <w:sectPr w:rsidR="006569D7" w:rsidRPr="00CA1271" w:rsidSect="00CA5B7E">
          <w:pgSz w:w="11907" w:h="16839" w:code="9"/>
          <w:pgMar w:top="1418" w:right="1418" w:bottom="1418" w:left="1418" w:header="709" w:footer="709" w:gutter="0"/>
          <w:cols w:space="708"/>
          <w:titlePg/>
          <w:docGrid w:linePitch="360"/>
        </w:sectPr>
      </w:pPr>
      <w:r w:rsidRPr="00CA1271">
        <w:t>The results of the TTP Benchmarking Survey</w:t>
      </w:r>
      <w:r w:rsidR="007E1FFA" w:rsidRPr="00CA1271">
        <w:t>, together with an analysis of providers who did not make responses to the TTP Benchmarking Survey,</w:t>
      </w:r>
      <w:r w:rsidRPr="00CA1271">
        <w:t xml:space="preserve"> are presented in the appropriate chapters of this report.</w:t>
      </w:r>
    </w:p>
    <w:p w:rsidR="009A69D0" w:rsidRPr="00CA1271" w:rsidRDefault="00F35C26" w:rsidP="00F35C26">
      <w:pPr>
        <w:pStyle w:val="Heading1"/>
        <w:ind w:left="567" w:hanging="567"/>
      </w:pPr>
      <w:bookmarkStart w:id="19" w:name="_Toc42014717"/>
      <w:bookmarkStart w:id="20" w:name="_Ref42682820"/>
      <w:bookmarkStart w:id="21" w:name="_Ref42687660"/>
      <w:bookmarkStart w:id="22" w:name="_Ref42687670"/>
      <w:r w:rsidRPr="00CA1271">
        <w:t>Provider Administration and Participant F</w:t>
      </w:r>
      <w:r w:rsidR="009A69D0" w:rsidRPr="00CA1271">
        <w:t>lexibility</w:t>
      </w:r>
      <w:bookmarkEnd w:id="19"/>
      <w:bookmarkEnd w:id="20"/>
      <w:bookmarkEnd w:id="21"/>
      <w:bookmarkEnd w:id="22"/>
    </w:p>
    <w:p w:rsidR="00075640" w:rsidRPr="00CA1271" w:rsidRDefault="00075640" w:rsidP="005C42DB">
      <w:r w:rsidRPr="00CA1271">
        <w:t xml:space="preserve">The </w:t>
      </w:r>
      <w:r w:rsidR="00DC6F43" w:rsidRPr="00CA1271">
        <w:t>Review</w:t>
      </w:r>
      <w:r w:rsidRPr="00CA1271">
        <w:t xml:space="preserve"> was required by </w:t>
      </w:r>
      <w:r w:rsidR="00DC6F43" w:rsidRPr="00CA1271">
        <w:t>its</w:t>
      </w:r>
      <w:r w:rsidRPr="00CA1271">
        <w:t xml:space="preserve"> Terms of Reference to examine the price control framework to identify opportunities to increase flexibility for participants and reduce administrative burdens for providers.</w:t>
      </w:r>
    </w:p>
    <w:p w:rsidR="00F35C26" w:rsidRPr="00CA1271" w:rsidRDefault="00F35C26" w:rsidP="00F35C26">
      <w:pPr>
        <w:pStyle w:val="Heading2"/>
      </w:pPr>
      <w:bookmarkStart w:id="23" w:name="_Toc42014718"/>
      <w:r w:rsidRPr="00CA1271">
        <w:t>Current Arrangements</w:t>
      </w:r>
      <w:bookmarkEnd w:id="23"/>
    </w:p>
    <w:p w:rsidR="009A69D0" w:rsidRPr="00CA1271" w:rsidRDefault="009A69D0" w:rsidP="005C42DB">
      <w:r w:rsidRPr="00CA1271">
        <w:t xml:space="preserve">Two of the fundamental principles underlying the </w:t>
      </w:r>
      <w:r w:rsidR="00642DA6" w:rsidRPr="00CA1271">
        <w:t>NDIA’s</w:t>
      </w:r>
      <w:r w:rsidRPr="00CA1271">
        <w:t xml:space="preserve"> approach to price controls are minimising complexity and bureaucracy for providers and minimising restrictions on </w:t>
      </w:r>
      <w:r w:rsidR="00642DA6" w:rsidRPr="00CA1271">
        <w:t xml:space="preserve">participant choice and control. </w:t>
      </w:r>
      <w:r w:rsidRPr="00CA1271">
        <w:t xml:space="preserve">The </w:t>
      </w:r>
      <w:r w:rsidR="00642DA6" w:rsidRPr="00CA1271">
        <w:t>Agency</w:t>
      </w:r>
      <w:r w:rsidRPr="00CA1271">
        <w:t xml:space="preserve"> is concerned with striking the right balance between these two principles.</w:t>
      </w:r>
      <w:r w:rsidR="00D42151" w:rsidRPr="00CA1271">
        <w:t xml:space="preserve"> </w:t>
      </w:r>
      <w:r w:rsidRPr="00CA1271">
        <w:t xml:space="preserve">The Agency is </w:t>
      </w:r>
      <w:r w:rsidR="00642DA6" w:rsidRPr="00CA1271">
        <w:t xml:space="preserve">also </w:t>
      </w:r>
      <w:r w:rsidRPr="00CA1271">
        <w:t>aware that price control frameworks can impose administrative burdens on providers, and wishes to explore ways to reduce transactional costs through ease and simplicity in design of price control arrangements.</w:t>
      </w:r>
      <w:r w:rsidRPr="00CA1271">
        <w:rPr>
          <w:rStyle w:val="FootnoteReference"/>
        </w:rPr>
        <w:footnoteReference w:id="16"/>
      </w:r>
      <w:r w:rsidR="00642DA6" w:rsidRPr="00CA1271">
        <w:t xml:space="preserve"> </w:t>
      </w:r>
      <w:r w:rsidRPr="00CA1271">
        <w:t>Equally, the Agency must ensure that participants are fully informed and empowered to achieve maximum flexibility to use their budgets to meet their goals as they see fit.</w:t>
      </w:r>
      <w:r w:rsidR="000E52E5" w:rsidRPr="00CA1271">
        <w:t xml:space="preserve"> </w:t>
      </w:r>
    </w:p>
    <w:p w:rsidR="009A69D0" w:rsidRPr="00CA1271" w:rsidRDefault="00F35C26" w:rsidP="00F35C26">
      <w:pPr>
        <w:pStyle w:val="Heading2"/>
      </w:pPr>
      <w:bookmarkStart w:id="24" w:name="_Toc42014719"/>
      <w:r w:rsidRPr="00CA1271">
        <w:t>Consultations</w:t>
      </w:r>
      <w:bookmarkEnd w:id="24"/>
    </w:p>
    <w:p w:rsidR="00F35C26" w:rsidRPr="00CA1271" w:rsidRDefault="00F35C26" w:rsidP="00F35C26">
      <w:r w:rsidRPr="00CA1271">
        <w:t xml:space="preserve">The </w:t>
      </w:r>
      <w:r w:rsidRPr="00CA1271">
        <w:rPr>
          <w:i/>
        </w:rPr>
        <w:t>Issues Paper</w:t>
      </w:r>
      <w:r w:rsidRPr="00CA1271">
        <w:t xml:space="preserve"> asked respondents to indicate:</w:t>
      </w:r>
    </w:p>
    <w:p w:rsidR="009A69D0" w:rsidRPr="00CA1271" w:rsidRDefault="00F35C26" w:rsidP="00F35C26">
      <w:pPr>
        <w:pStyle w:val="DotPoint"/>
      </w:pPr>
      <w:r w:rsidRPr="00CA1271">
        <w:t>If there were</w:t>
      </w:r>
      <w:r w:rsidR="009A69D0" w:rsidRPr="00CA1271">
        <w:t xml:space="preserve"> changes that could be made to the </w:t>
      </w:r>
      <w:r w:rsidR="0052588D" w:rsidRPr="00CA1271">
        <w:rPr>
          <w:i/>
        </w:rPr>
        <w:t>NDIS</w:t>
      </w:r>
      <w:r w:rsidR="009A69D0" w:rsidRPr="00CA1271">
        <w:rPr>
          <w:i/>
        </w:rPr>
        <w:t xml:space="preserve"> Price Guide </w:t>
      </w:r>
      <w:r w:rsidRPr="00CA1271">
        <w:t xml:space="preserve">and the </w:t>
      </w:r>
      <w:r w:rsidRPr="00CA1271">
        <w:rPr>
          <w:i/>
        </w:rPr>
        <w:t>NDIS</w:t>
      </w:r>
      <w:r w:rsidR="009A69D0" w:rsidRPr="00CA1271">
        <w:rPr>
          <w:i/>
        </w:rPr>
        <w:t xml:space="preserve"> Support Catalogue</w:t>
      </w:r>
      <w:r w:rsidR="009A69D0" w:rsidRPr="00CA1271">
        <w:t xml:space="preserve"> that could reduce transactional costs for providers – without reducing participants’ choice and control?</w:t>
      </w:r>
    </w:p>
    <w:p w:rsidR="00F35C26" w:rsidRPr="00CA1271" w:rsidRDefault="00F35C26" w:rsidP="00F35C26">
      <w:pPr>
        <w:pStyle w:val="DotPoint"/>
      </w:pPr>
      <w:r w:rsidRPr="00CA1271">
        <w:t>If there was scope for changes in the price controls framework that would give participants greater discretion over use of their budgets – without substantially increasing costs to providers?</w:t>
      </w:r>
    </w:p>
    <w:p w:rsidR="00F35C26" w:rsidRPr="00CA1271" w:rsidRDefault="00F35C26" w:rsidP="00F35C26">
      <w:pPr>
        <w:pStyle w:val="DotPoint"/>
      </w:pPr>
      <w:r w:rsidRPr="00CA1271">
        <w:t>If there were any other issues where the current price control framework created unnecessary bureaucracy for providers or restricted participant flexibility?</w:t>
      </w:r>
    </w:p>
    <w:p w:rsidR="009A69D0" w:rsidRPr="00CA1271" w:rsidRDefault="009A69D0" w:rsidP="002A437A">
      <w:r w:rsidRPr="00CA1271">
        <w:t>The most common pricing</w:t>
      </w:r>
      <w:r w:rsidR="00AE2BBB" w:rsidRPr="00CA1271">
        <w:t>-related</w:t>
      </w:r>
      <w:r w:rsidRPr="00CA1271">
        <w:t xml:space="preserve"> administrative issue for </w:t>
      </w:r>
      <w:r w:rsidR="00AE2BBB" w:rsidRPr="00CA1271">
        <w:t xml:space="preserve">respondents </w:t>
      </w:r>
      <w:r w:rsidRPr="00CA1271">
        <w:t xml:space="preserve">was that the </w:t>
      </w:r>
      <w:r w:rsidR="00F35C26" w:rsidRPr="00CA1271">
        <w:rPr>
          <w:i/>
        </w:rPr>
        <w:t xml:space="preserve">NDIS </w:t>
      </w:r>
      <w:r w:rsidRPr="00CA1271">
        <w:rPr>
          <w:i/>
        </w:rPr>
        <w:t>Support Catalogue</w:t>
      </w:r>
      <w:r w:rsidRPr="00CA1271">
        <w:t xml:space="preserve"> </w:t>
      </w:r>
      <w:r w:rsidR="003654CA" w:rsidRPr="00CA1271">
        <w:t>was</w:t>
      </w:r>
      <w:r w:rsidR="0052588D" w:rsidRPr="00CA1271">
        <w:t xml:space="preserve"> too </w:t>
      </w:r>
      <w:r w:rsidRPr="00CA1271">
        <w:t>large and complex</w:t>
      </w:r>
      <w:r w:rsidR="00AE2BBB" w:rsidRPr="00CA1271">
        <w:t xml:space="preserve"> to understand</w:t>
      </w:r>
      <w:r w:rsidRPr="00CA1271">
        <w:t xml:space="preserve">. </w:t>
      </w:r>
      <w:r w:rsidR="0052588D" w:rsidRPr="00CA1271">
        <w:t xml:space="preserve">It </w:t>
      </w:r>
      <w:r w:rsidR="00AE2BBB" w:rsidRPr="00CA1271">
        <w:t xml:space="preserve">was </w:t>
      </w:r>
      <w:r w:rsidR="000E52E5" w:rsidRPr="00CA1271">
        <w:t xml:space="preserve">also </w:t>
      </w:r>
      <w:r w:rsidR="00AE2BBB" w:rsidRPr="00CA1271">
        <w:t xml:space="preserve">suggested </w:t>
      </w:r>
      <w:r w:rsidR="000E52E5" w:rsidRPr="00CA1271">
        <w:t>that the</w:t>
      </w:r>
      <w:r w:rsidR="0052588D" w:rsidRPr="00CA1271">
        <w:t xml:space="preserve"> </w:t>
      </w:r>
      <w:r w:rsidR="00AE2BBB" w:rsidRPr="00CA1271">
        <w:t xml:space="preserve">language </w:t>
      </w:r>
      <w:r w:rsidR="000E52E5" w:rsidRPr="00CA1271">
        <w:t xml:space="preserve">could be revised </w:t>
      </w:r>
      <w:r w:rsidR="00AE2BBB" w:rsidRPr="00CA1271">
        <w:t xml:space="preserve">to make </w:t>
      </w:r>
      <w:r w:rsidR="003654CA" w:rsidRPr="00CA1271">
        <w:t xml:space="preserve">it </w:t>
      </w:r>
      <w:r w:rsidR="00AE2BBB" w:rsidRPr="00CA1271">
        <w:t xml:space="preserve">more readable </w:t>
      </w:r>
      <w:r w:rsidR="000E52E5" w:rsidRPr="00CA1271">
        <w:t>for</w:t>
      </w:r>
      <w:r w:rsidR="00AE2BBB" w:rsidRPr="00CA1271">
        <w:t xml:space="preserve"> both participants and providers.</w:t>
      </w:r>
      <w:r w:rsidR="000E52E5" w:rsidRPr="00CA1271">
        <w:t xml:space="preserve"> A few submissions suggested that the coding system used for supports could be more logical, where the code says more about the support itself linked to that line item.</w:t>
      </w:r>
    </w:p>
    <w:p w:rsidR="009A69D0" w:rsidRPr="00CA1271" w:rsidRDefault="000E52E5" w:rsidP="002A437A">
      <w:r w:rsidRPr="00CA1271">
        <w:t>However,</w:t>
      </w:r>
      <w:r w:rsidR="0052588D" w:rsidRPr="00CA1271">
        <w:t xml:space="preserve"> some respondents thought administrative burden could be better addressed by adding </w:t>
      </w:r>
      <w:r w:rsidRPr="00CA1271">
        <w:t>n</w:t>
      </w:r>
      <w:r w:rsidR="0052588D" w:rsidRPr="00CA1271">
        <w:t xml:space="preserve">ew items to the Support Catalogue. For example, </w:t>
      </w:r>
      <w:r w:rsidR="003654CA" w:rsidRPr="00CA1271">
        <w:t xml:space="preserve">some </w:t>
      </w:r>
      <w:r w:rsidR="0052588D" w:rsidRPr="00CA1271">
        <w:t>respondent</w:t>
      </w:r>
      <w:r w:rsidR="003654CA" w:rsidRPr="00CA1271">
        <w:t>s</w:t>
      </w:r>
      <w:r w:rsidR="0052588D" w:rsidRPr="00CA1271">
        <w:t xml:space="preserve"> </w:t>
      </w:r>
      <w:r w:rsidR="003654CA" w:rsidRPr="00CA1271">
        <w:t>suggested that adding</w:t>
      </w:r>
      <w:r w:rsidR="0052588D" w:rsidRPr="00CA1271">
        <w:t xml:space="preserve"> non-standard support ratios (</w:t>
      </w:r>
      <w:r w:rsidR="000B442F" w:rsidRPr="00CA1271">
        <w:t>e.g.</w:t>
      </w:r>
      <w:r w:rsidR="003654CA" w:rsidRPr="00CA1271">
        <w:t xml:space="preserve"> </w:t>
      </w:r>
      <w:r w:rsidR="0052588D" w:rsidRPr="00CA1271">
        <w:t>2:1</w:t>
      </w:r>
      <w:r w:rsidR="003654CA" w:rsidRPr="00CA1271">
        <w:t xml:space="preserve"> or</w:t>
      </w:r>
      <w:r w:rsidR="0052588D" w:rsidRPr="00CA1271">
        <w:t xml:space="preserve"> 2:5)</w:t>
      </w:r>
      <w:r w:rsidR="003654CA" w:rsidRPr="00CA1271">
        <w:t xml:space="preserve"> would make it easier for them</w:t>
      </w:r>
      <w:r w:rsidR="0052588D" w:rsidRPr="00CA1271">
        <w:t>.</w:t>
      </w:r>
      <w:r w:rsidR="00D42151" w:rsidRPr="00CA1271">
        <w:t xml:space="preserve"> </w:t>
      </w:r>
      <w:r w:rsidR="0052588D" w:rsidRPr="00CA1271">
        <w:rPr>
          <w:rFonts w:cs="Arial"/>
        </w:rPr>
        <w:t xml:space="preserve">Two </w:t>
      </w:r>
      <w:r w:rsidR="00BB683A" w:rsidRPr="00CA1271">
        <w:rPr>
          <w:rFonts w:cs="Arial"/>
        </w:rPr>
        <w:t>respondent</w:t>
      </w:r>
      <w:r w:rsidR="0052588D" w:rsidRPr="00CA1271">
        <w:rPr>
          <w:rFonts w:cs="Arial"/>
        </w:rPr>
        <w:t>s</w:t>
      </w:r>
      <w:r w:rsidR="00BB683A" w:rsidRPr="00CA1271">
        <w:rPr>
          <w:rFonts w:cs="Arial"/>
        </w:rPr>
        <w:t xml:space="preserve"> </w:t>
      </w:r>
      <w:r w:rsidR="009A69D0" w:rsidRPr="00CA1271">
        <w:rPr>
          <w:rFonts w:cs="Arial"/>
        </w:rPr>
        <w:t xml:space="preserve">suggested </w:t>
      </w:r>
      <w:r w:rsidR="003654CA" w:rsidRPr="00CA1271">
        <w:rPr>
          <w:rFonts w:cs="Arial"/>
        </w:rPr>
        <w:t xml:space="preserve">the best </w:t>
      </w:r>
      <w:r w:rsidR="00BB683A" w:rsidRPr="00CA1271">
        <w:rPr>
          <w:rFonts w:cs="Arial"/>
        </w:rPr>
        <w:t xml:space="preserve">way </w:t>
      </w:r>
      <w:r w:rsidR="009A69D0" w:rsidRPr="00CA1271">
        <w:rPr>
          <w:rFonts w:cs="Arial"/>
        </w:rPr>
        <w:t>to reduce pricin</w:t>
      </w:r>
      <w:r w:rsidR="0052588D" w:rsidRPr="00CA1271">
        <w:rPr>
          <w:rFonts w:cs="Arial"/>
        </w:rPr>
        <w:t>g-related administrative burden</w:t>
      </w:r>
      <w:r w:rsidR="009A69D0" w:rsidRPr="00CA1271">
        <w:rPr>
          <w:rFonts w:cs="Arial"/>
        </w:rPr>
        <w:t xml:space="preserve"> </w:t>
      </w:r>
      <w:r w:rsidR="00BB683A" w:rsidRPr="00CA1271">
        <w:rPr>
          <w:rFonts w:cs="Arial"/>
        </w:rPr>
        <w:t xml:space="preserve">is to </w:t>
      </w:r>
      <w:r w:rsidR="009A69D0" w:rsidRPr="00CA1271">
        <w:rPr>
          <w:rFonts w:cs="Arial"/>
        </w:rPr>
        <w:t>remove price limits</w:t>
      </w:r>
      <w:r w:rsidR="003654CA" w:rsidRPr="00CA1271">
        <w:rPr>
          <w:rFonts w:cs="Arial"/>
        </w:rPr>
        <w:t xml:space="preserve"> </w:t>
      </w:r>
      <w:r w:rsidR="00642DA6" w:rsidRPr="00CA1271">
        <w:rPr>
          <w:rFonts w:cs="Arial"/>
        </w:rPr>
        <w:t>altogether</w:t>
      </w:r>
      <w:r w:rsidR="0052588D" w:rsidRPr="00CA1271">
        <w:rPr>
          <w:rFonts w:cs="Arial"/>
        </w:rPr>
        <w:t>.</w:t>
      </w:r>
    </w:p>
    <w:p w:rsidR="00FC3FA9" w:rsidRPr="00CA1271" w:rsidRDefault="009A69D0" w:rsidP="002A437A">
      <w:pPr>
        <w:rPr>
          <w:rFonts w:cs="Arial"/>
        </w:rPr>
      </w:pPr>
      <w:r w:rsidRPr="00CA1271">
        <w:t xml:space="preserve">A number of submissions asked </w:t>
      </w:r>
      <w:r w:rsidR="0052588D" w:rsidRPr="00CA1271">
        <w:t>for</w:t>
      </w:r>
      <w:r w:rsidRPr="00CA1271">
        <w:t xml:space="preserve"> </w:t>
      </w:r>
      <w:r w:rsidR="0052588D" w:rsidRPr="00CA1271">
        <w:t xml:space="preserve">the </w:t>
      </w:r>
      <w:r w:rsidR="00F35C26" w:rsidRPr="00CA1271">
        <w:rPr>
          <w:i/>
        </w:rPr>
        <w:t xml:space="preserve">NDIS </w:t>
      </w:r>
      <w:r w:rsidRPr="00CA1271">
        <w:rPr>
          <w:i/>
        </w:rPr>
        <w:t>Price Guide</w:t>
      </w:r>
      <w:r w:rsidRPr="00CA1271">
        <w:t xml:space="preserve"> </w:t>
      </w:r>
      <w:r w:rsidR="00BB683A" w:rsidRPr="00CA1271">
        <w:t xml:space="preserve">to </w:t>
      </w:r>
      <w:r w:rsidR="0052588D" w:rsidRPr="00CA1271">
        <w:t>be made easier to understand</w:t>
      </w:r>
      <w:r w:rsidR="00BB683A" w:rsidRPr="00CA1271">
        <w:t xml:space="preserve"> from a consumer perspective</w:t>
      </w:r>
      <w:r w:rsidR="0052588D" w:rsidRPr="00CA1271">
        <w:t xml:space="preserve"> for participants</w:t>
      </w:r>
      <w:r w:rsidRPr="00CA1271">
        <w:t xml:space="preserve">. </w:t>
      </w:r>
      <w:r w:rsidR="00FC3FA9" w:rsidRPr="00CA1271">
        <w:t>Two submissions specifically asked for a participa</w:t>
      </w:r>
      <w:r w:rsidR="0052588D" w:rsidRPr="00CA1271">
        <w:t>nt’s version of the Price Guide</w:t>
      </w:r>
      <w:r w:rsidR="00FC3FA9" w:rsidRPr="00CA1271">
        <w:t>.</w:t>
      </w:r>
      <w:r w:rsidR="000E52E5" w:rsidRPr="00CA1271">
        <w:t xml:space="preserve"> </w:t>
      </w:r>
      <w:r w:rsidR="0052588D" w:rsidRPr="00CA1271">
        <w:rPr>
          <w:rFonts w:cs="Arial"/>
        </w:rPr>
        <w:t>S</w:t>
      </w:r>
      <w:r w:rsidR="00FC3FA9" w:rsidRPr="00CA1271">
        <w:rPr>
          <w:rFonts w:cs="Arial"/>
        </w:rPr>
        <w:t xml:space="preserve">ome </w:t>
      </w:r>
      <w:r w:rsidR="0052588D" w:rsidRPr="00CA1271">
        <w:rPr>
          <w:rFonts w:cs="Arial"/>
        </w:rPr>
        <w:t xml:space="preserve">respondents </w:t>
      </w:r>
      <w:r w:rsidR="00FC3FA9" w:rsidRPr="00CA1271">
        <w:rPr>
          <w:rFonts w:cs="Arial"/>
        </w:rPr>
        <w:t xml:space="preserve">were concerned that any increase in participant flexibility might come at </w:t>
      </w:r>
      <w:r w:rsidR="0052588D" w:rsidRPr="00CA1271">
        <w:rPr>
          <w:rFonts w:cs="Arial"/>
        </w:rPr>
        <w:t>a higher administrative cost to</w:t>
      </w:r>
      <w:r w:rsidR="00FC3FA9" w:rsidRPr="00CA1271">
        <w:rPr>
          <w:rFonts w:cs="Arial"/>
        </w:rPr>
        <w:t xml:space="preserve"> providers</w:t>
      </w:r>
      <w:r w:rsidR="0052588D" w:rsidRPr="00CA1271">
        <w:rPr>
          <w:rFonts w:cs="Arial"/>
        </w:rPr>
        <w:t>, such as for group support cancellations</w:t>
      </w:r>
      <w:r w:rsidR="00FC3FA9" w:rsidRPr="00CA1271">
        <w:rPr>
          <w:rFonts w:cs="Arial"/>
        </w:rPr>
        <w:t>.</w:t>
      </w:r>
      <w:r w:rsidR="004B411F" w:rsidRPr="00CA1271">
        <w:rPr>
          <w:rFonts w:cs="Arial"/>
        </w:rPr>
        <w:t xml:space="preserve"> Providers suggested that they should be able to offer programs of support to participants, whereby the participant agreed to attend a series of supports, especially group supports, and also agreed that they should be </w:t>
      </w:r>
      <w:r w:rsidR="00C4242B" w:rsidRPr="00CA1271">
        <w:rPr>
          <w:rFonts w:cs="Arial"/>
        </w:rPr>
        <w:t>claim</w:t>
      </w:r>
      <w:r w:rsidR="004B411F" w:rsidRPr="00CA1271">
        <w:rPr>
          <w:rFonts w:cs="Arial"/>
        </w:rPr>
        <w:t>ed for those supports even if they did not attend a session.</w:t>
      </w:r>
    </w:p>
    <w:p w:rsidR="008F61DA" w:rsidRPr="00CA1271" w:rsidRDefault="008F61DA" w:rsidP="002A437A">
      <w:pPr>
        <w:rPr>
          <w:rFonts w:cs="Arial"/>
        </w:rPr>
      </w:pPr>
      <w:r w:rsidRPr="00CA1271">
        <w:rPr>
          <w:rFonts w:cs="Arial"/>
        </w:rPr>
        <w:t>Some provide</w:t>
      </w:r>
      <w:r w:rsidR="0009091A" w:rsidRPr="00CA1271">
        <w:rPr>
          <w:rFonts w:cs="Arial"/>
        </w:rPr>
        <w:t>rs also asked that the NDIS set</w:t>
      </w:r>
      <w:r w:rsidRPr="00CA1271">
        <w:rPr>
          <w:rFonts w:cs="Arial"/>
        </w:rPr>
        <w:t xml:space="preserve"> its prices much earlier as the Boards of providers were typically making their decisions about the next financial year in the third quarter of a financial year and the current release schedule did not allow them to be fully informed in their decision making. </w:t>
      </w:r>
    </w:p>
    <w:p w:rsidR="00970947" w:rsidRPr="00CA1271" w:rsidRDefault="005C42DB" w:rsidP="002A437A">
      <w:pPr>
        <w:pStyle w:val="Heading2"/>
      </w:pPr>
      <w:bookmarkStart w:id="25" w:name="_Toc42014720"/>
      <w:r w:rsidRPr="00CA1271">
        <w:t>Discussion</w:t>
      </w:r>
      <w:bookmarkEnd w:id="25"/>
    </w:p>
    <w:p w:rsidR="001D0CF8" w:rsidRPr="00CA1271" w:rsidRDefault="001D0CF8" w:rsidP="001D0CF8">
      <w:pPr>
        <w:pStyle w:val="Heading3"/>
      </w:pPr>
      <w:r w:rsidRPr="00CA1271">
        <w:t xml:space="preserve">Timing of the </w:t>
      </w:r>
      <w:r w:rsidR="0000645A" w:rsidRPr="00CA1271">
        <w:t>Annual Pricing Review</w:t>
      </w:r>
      <w:r w:rsidRPr="00CA1271">
        <w:t xml:space="preserve"> and Indexation</w:t>
      </w:r>
    </w:p>
    <w:p w:rsidR="002C56C9" w:rsidRPr="00CA1271" w:rsidRDefault="002C56C9" w:rsidP="004B411F">
      <w:r w:rsidRPr="00CA1271">
        <w:t>The Review considers that there</w:t>
      </w:r>
      <w:r w:rsidR="004B411F" w:rsidRPr="00CA1271">
        <w:t xml:space="preserve"> would be considerable merit in c</w:t>
      </w:r>
      <w:r w:rsidRPr="00CA1271">
        <w:t xml:space="preserve">hanging the timing of the </w:t>
      </w:r>
      <w:r w:rsidR="0000645A" w:rsidRPr="00CA1271">
        <w:t>Annual Pricing Review</w:t>
      </w:r>
      <w:r w:rsidRPr="00CA1271">
        <w:t xml:space="preserve"> so that providers were aware earlier of any policy changes that </w:t>
      </w:r>
      <w:r w:rsidR="00D42151" w:rsidRPr="00CA1271">
        <w:t>t</w:t>
      </w:r>
      <w:r w:rsidRPr="00CA1271">
        <w:t xml:space="preserve">he NDIA intended to </w:t>
      </w:r>
      <w:r w:rsidR="00D42151" w:rsidRPr="00CA1271">
        <w:t>make</w:t>
      </w:r>
      <w:r w:rsidRPr="00CA1271">
        <w:t>.</w:t>
      </w:r>
      <w:r w:rsidR="004B411F" w:rsidRPr="00CA1271">
        <w:t xml:space="preserve"> The Review also considers that given the uncertainty around economic conditions during the COVID-19 pandemic and as Australia emerges from the pandemic</w:t>
      </w:r>
      <w:r w:rsidR="001E0749" w:rsidRPr="00CA1271">
        <w:t>,</w:t>
      </w:r>
      <w:r w:rsidR="004B411F" w:rsidRPr="00CA1271">
        <w:t xml:space="preserve"> that the NDIA should not undertake an </w:t>
      </w:r>
      <w:r w:rsidR="0000645A" w:rsidRPr="00CA1271">
        <w:t>Annual Pricing Review</w:t>
      </w:r>
      <w:r w:rsidR="004B411F" w:rsidRPr="00CA1271">
        <w:t xml:space="preserve"> in 2020-21 but should instead monitor economic conditions carefully </w:t>
      </w:r>
      <w:r w:rsidR="00D42151" w:rsidRPr="00CA1271">
        <w:t>and</w:t>
      </w:r>
      <w:r w:rsidR="004B411F" w:rsidRPr="00CA1271">
        <w:t xml:space="preserve"> promptly respond to emerging issues.</w:t>
      </w:r>
    </w:p>
    <w:p w:rsidR="002C56C9" w:rsidRPr="00CA1271" w:rsidRDefault="004B411F" w:rsidP="004B411F">
      <w:r w:rsidRPr="00CA1271">
        <w:t xml:space="preserve">The Review also sees the merit in the NDIA publishing </w:t>
      </w:r>
      <w:r w:rsidR="002C56C9" w:rsidRPr="00CA1271">
        <w:t xml:space="preserve">the indexation </w:t>
      </w:r>
      <w:r w:rsidRPr="00CA1271">
        <w:t>methodology for price limits</w:t>
      </w:r>
      <w:r w:rsidR="002C56C9" w:rsidRPr="00CA1271">
        <w:t xml:space="preserve"> so that providers </w:t>
      </w:r>
      <w:r w:rsidRPr="00CA1271">
        <w:t>can</w:t>
      </w:r>
      <w:r w:rsidR="002C56C9" w:rsidRPr="00CA1271">
        <w:t xml:space="preserve"> better estimate their future budgets, recognising that the NDIA is not able to index and announce price limits until after the Fair Work Commission has made its Annual Mini</w:t>
      </w:r>
      <w:r w:rsidRPr="00CA1271">
        <w:t>m</w:t>
      </w:r>
      <w:r w:rsidR="002C56C9" w:rsidRPr="00CA1271">
        <w:t>um Wage Decision, which usually occurs in the middle of June each year.</w:t>
      </w:r>
    </w:p>
    <w:p w:rsidR="002233BB" w:rsidRPr="00CA1271" w:rsidRDefault="002233BB" w:rsidP="002233BB">
      <w:r w:rsidRPr="00CA1271">
        <w:t>The Review considers that it is most appropriate for price limits to continue to be indexed as</w:t>
      </w:r>
      <w:r w:rsidR="00014587" w:rsidRPr="00CA1271">
        <w:t xml:space="preserve"> follows</w:t>
      </w:r>
      <w:r w:rsidRPr="00CA1271">
        <w:t>:</w:t>
      </w:r>
    </w:p>
    <w:p w:rsidR="002233BB" w:rsidRPr="00CA1271" w:rsidRDefault="002233BB" w:rsidP="002233BB">
      <w:pPr>
        <w:pStyle w:val="DotPoint"/>
      </w:pPr>
      <w:r w:rsidRPr="00CA1271">
        <w:t xml:space="preserve">Price limits for supports delivered by Disability Support Workers should be set by the Disability Support Worker Cost Model </w:t>
      </w:r>
      <w:r w:rsidR="009E7CC2" w:rsidRPr="00CA1271">
        <w:t xml:space="preserve">on 1 July each year, </w:t>
      </w:r>
      <w:r w:rsidR="00014587" w:rsidRPr="00CA1271">
        <w:t>noting that the Cost Model is based on the minimum wage rates specified in the SCHADS Award</w:t>
      </w:r>
      <w:r w:rsidR="009E7CC2" w:rsidRPr="00CA1271">
        <w:t>.</w:t>
      </w:r>
    </w:p>
    <w:p w:rsidR="002233BB" w:rsidRPr="00CA1271" w:rsidRDefault="002233BB" w:rsidP="002233BB">
      <w:pPr>
        <w:pStyle w:val="DotPoint"/>
      </w:pPr>
      <w:r w:rsidRPr="00CA1271">
        <w:t>Price limits for Capital supports – Support Categories 2 (Transport), 3 (Consumables), 5 (Assistive Technology) and 6 (Home Modifications and Specialised Disability Accommodation) – should be indexed in line with the movement in the ABS Consumer Price (All Groups, weighted average of eight capital cities)</w:t>
      </w:r>
      <w:r w:rsidR="00014587" w:rsidRPr="00CA1271">
        <w:rPr>
          <w:rStyle w:val="FootnoteReference"/>
        </w:rPr>
        <w:footnoteReference w:id="17"/>
      </w:r>
      <w:r w:rsidRPr="00CA1271">
        <w:t xml:space="preserve"> over the 12 months to the March Quarter pr</w:t>
      </w:r>
      <w:r w:rsidR="009E7CC2" w:rsidRPr="00CA1271">
        <w:t>eceding the indexation date.</w:t>
      </w:r>
    </w:p>
    <w:p w:rsidR="002233BB" w:rsidRPr="00CA1271" w:rsidRDefault="002233BB" w:rsidP="00FF27D6">
      <w:pPr>
        <w:pStyle w:val="DotPoint"/>
      </w:pPr>
      <w:r w:rsidRPr="00CA1271">
        <w:t>Price limits for other supports should be indexed in line with the weighted movement over the previous twelve months in the ABS Wage Price Index (Australia, total hourly rates of pay excluding bonuses)</w:t>
      </w:r>
      <w:r w:rsidR="009E7CC2" w:rsidRPr="00CA1271">
        <w:rPr>
          <w:rStyle w:val="FootnoteReference"/>
        </w:rPr>
        <w:footnoteReference w:id="18"/>
      </w:r>
      <w:r w:rsidRPr="00CA1271">
        <w:t xml:space="preserve"> and the ABS Consumer Price Index (All Groups, weighted average of eight capital cities) over the 12 months to the March Quarter preceding the indexation date (with an 80/20 weighting).</w:t>
      </w:r>
    </w:p>
    <w:p w:rsidR="00FF27D6" w:rsidRPr="00CA1271" w:rsidRDefault="00B10EF0" w:rsidP="00B10EF0">
      <w:pPr>
        <w:pStyle w:val="DotPoint"/>
        <w:numPr>
          <w:ilvl w:val="0"/>
          <w:numId w:val="0"/>
        </w:numPr>
      </w:pPr>
      <w:r w:rsidRPr="00CA1271">
        <w:t>The Review has examined the other Fair Work Commission determinations that have materially affected the key parameters of the Disability Support Worker Cost Model, and considers that</w:t>
      </w:r>
      <w:r w:rsidR="00FF27D6" w:rsidRPr="00CA1271">
        <w:t xml:space="preserve">, the price limits for supports delivered by Disability Support Workers should </w:t>
      </w:r>
      <w:r w:rsidRPr="00CA1271">
        <w:t xml:space="preserve">also </w:t>
      </w:r>
      <w:r w:rsidR="00FF27D6" w:rsidRPr="00CA1271">
        <w:t xml:space="preserve">be </w:t>
      </w:r>
      <w:r w:rsidR="00A01380" w:rsidRPr="00CA1271">
        <w:t>increased on</w:t>
      </w:r>
      <w:r w:rsidR="00FF27D6" w:rsidRPr="00CA1271">
        <w:t>:</w:t>
      </w:r>
    </w:p>
    <w:p w:rsidR="00FF27D6" w:rsidRPr="00CA1271" w:rsidRDefault="00FF27D6" w:rsidP="00FF27D6">
      <w:pPr>
        <w:pStyle w:val="DotPoint"/>
      </w:pPr>
      <w:r w:rsidRPr="00CA1271">
        <w:t>1 July 2020 to take account of any changes flowing from the Fair Work Commission’s</w:t>
      </w:r>
      <w:r w:rsidR="008E6A7F">
        <w:t xml:space="preserve"> </w:t>
      </w:r>
      <w:r w:rsidR="00285ADA" w:rsidRPr="00CA1271">
        <w:t>A</w:t>
      </w:r>
      <w:r w:rsidRPr="00CA1271">
        <w:t>nnual Wage Review 2019-20;</w:t>
      </w:r>
      <w:r w:rsidR="00A01380" w:rsidRPr="00CA1271">
        <w:rPr>
          <w:rStyle w:val="FootnoteReference"/>
        </w:rPr>
        <w:footnoteReference w:id="19"/>
      </w:r>
      <w:r w:rsidR="00A01380" w:rsidRPr="00CA1271">
        <w:t xml:space="preserve"> and</w:t>
      </w:r>
    </w:p>
    <w:p w:rsidR="00FF27D6" w:rsidRPr="00CA1271" w:rsidRDefault="00FF27D6" w:rsidP="006E68FF">
      <w:pPr>
        <w:pStyle w:val="DotPoint"/>
      </w:pPr>
      <w:r w:rsidRPr="00CA1271">
        <w:t>1 December 2020 for the final tranche of the Fair Work Commission’s Equal Remuneration Order</w:t>
      </w:r>
      <w:r w:rsidR="006E68FF" w:rsidRPr="00CA1271">
        <w:t xml:space="preserve"> (</w:t>
      </w:r>
      <w:r w:rsidR="00285ADA" w:rsidRPr="00CA1271">
        <w:t xml:space="preserve">MA000100 </w:t>
      </w:r>
      <w:r w:rsidR="006E68FF" w:rsidRPr="00CA1271">
        <w:t>PR525485)</w:t>
      </w:r>
      <w:r w:rsidRPr="00CA1271">
        <w:t>.</w:t>
      </w:r>
      <w:r w:rsidRPr="00CA1271">
        <w:rPr>
          <w:rStyle w:val="FootnoteReference"/>
        </w:rPr>
        <w:footnoteReference w:id="20"/>
      </w:r>
    </w:p>
    <w:p w:rsidR="00977D24" w:rsidRPr="00CA1271" w:rsidRDefault="00977D24" w:rsidP="00977D24">
      <w:pPr>
        <w:pStyle w:val="DotPoint"/>
        <w:numPr>
          <w:ilvl w:val="0"/>
          <w:numId w:val="0"/>
        </w:numPr>
      </w:pPr>
      <w:r w:rsidRPr="00CA1271">
        <w:t xml:space="preserve">The Fair Work Commission (FWC) has made a Decision [2019] (FWCFB 7096) that will increase casual loadings for workers employed under the SCHADS Award from 1 July 2020 (see </w:t>
      </w:r>
      <w:r w:rsidRPr="00CA1271">
        <w:fldChar w:fldCharType="begin"/>
      </w:r>
      <w:r w:rsidRPr="00CA1271">
        <w:instrText xml:space="preserve"> REF _Ref37882605 \h  \* MERGEFORMAT </w:instrText>
      </w:r>
      <w:r w:rsidRPr="00CA1271">
        <w:fldChar w:fldCharType="separate"/>
      </w:r>
      <w:r w:rsidR="00B621CC" w:rsidRPr="00CA1271">
        <w:t xml:space="preserve">Table </w:t>
      </w:r>
      <w:r w:rsidR="00B621CC">
        <w:rPr>
          <w:noProof/>
        </w:rPr>
        <w:t>2</w:t>
      </w:r>
      <w:r w:rsidRPr="00CA1271">
        <w:fldChar w:fldCharType="end"/>
      </w:r>
      <w:r w:rsidRPr="00CA1271">
        <w:t>).</w:t>
      </w:r>
      <w:r w:rsidRPr="00CA1271">
        <w:rPr>
          <w:rStyle w:val="FootnoteReference"/>
          <w:rFonts w:cs="Arial"/>
        </w:rPr>
        <w:footnoteReference w:id="21"/>
      </w:r>
    </w:p>
    <w:p w:rsidR="00977D24" w:rsidRPr="00CA1271" w:rsidRDefault="00977D24" w:rsidP="00977D24">
      <w:pPr>
        <w:pStyle w:val="Caption"/>
      </w:pPr>
      <w:bookmarkStart w:id="26" w:name="_Ref37882605"/>
      <w:bookmarkStart w:id="27" w:name="_Toc42014781"/>
      <w:r w:rsidRPr="00CA1271">
        <w:t xml:space="preserve">Table </w:t>
      </w:r>
      <w:r w:rsidRPr="00CA1271">
        <w:fldChar w:fldCharType="begin"/>
      </w:r>
      <w:r w:rsidRPr="00CA1271">
        <w:instrText xml:space="preserve"> SEQ Table \* ARABIC </w:instrText>
      </w:r>
      <w:r w:rsidRPr="00CA1271">
        <w:fldChar w:fldCharType="separate"/>
      </w:r>
      <w:r w:rsidR="00B621CC">
        <w:rPr>
          <w:noProof/>
        </w:rPr>
        <w:t>2</w:t>
      </w:r>
      <w:r w:rsidRPr="00CA1271">
        <w:fldChar w:fldCharType="end"/>
      </w:r>
      <w:bookmarkEnd w:id="26"/>
      <w:r w:rsidRPr="00CA1271">
        <w:t xml:space="preserve"> - FWC Decision on SCHADS Shift Loadings - 1 July 2020</w:t>
      </w:r>
      <w:bookmarkEnd w:id="27"/>
    </w:p>
    <w:tbl>
      <w:tblPr>
        <w:tblStyle w:val="GridTable4-Accent4"/>
        <w:tblW w:w="4999" w:type="pct"/>
        <w:tblLook w:val="04A0" w:firstRow="1" w:lastRow="0" w:firstColumn="1" w:lastColumn="0" w:noHBand="0" w:noVBand="1"/>
        <w:tblCaption w:val="Table 3: FWC Decision on SCHADS Shift Loadings - 1 July 2020"/>
        <w:tblDescription w:val="This table describes the difference between the permanent and casual loadings associated with the time and day of the shifts, with the proposed increase in loading from 1 July 2020."/>
      </w:tblPr>
      <w:tblGrid>
        <w:gridCol w:w="2268"/>
        <w:gridCol w:w="2265"/>
        <w:gridCol w:w="2263"/>
        <w:gridCol w:w="2263"/>
      </w:tblGrid>
      <w:tr w:rsidR="00977D24" w:rsidRPr="00CA1271" w:rsidTr="00A976A5">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1252" w:type="pct"/>
            <w:vAlign w:val="center"/>
            <w:hideMark/>
          </w:tcPr>
          <w:p w:rsidR="00977D24" w:rsidRPr="00CA1271" w:rsidRDefault="00977D24" w:rsidP="00A976A5">
            <w:pPr>
              <w:jc w:val="center"/>
              <w:rPr>
                <w:rFonts w:ascii="Calibri" w:hAnsi="Calibri" w:cs="Calibri"/>
                <w:szCs w:val="18"/>
              </w:rPr>
            </w:pPr>
          </w:p>
        </w:tc>
        <w:tc>
          <w:tcPr>
            <w:tcW w:w="1250" w:type="pct"/>
            <w:vAlign w:val="center"/>
          </w:tcPr>
          <w:p w:rsidR="00977D24" w:rsidRPr="00CA1271" w:rsidRDefault="00977D24" w:rsidP="00A976A5">
            <w:pPr>
              <w:jc w:val="center"/>
              <w:cnfStyle w:val="100000000000" w:firstRow="1" w:lastRow="0" w:firstColumn="0" w:lastColumn="0" w:oddVBand="0" w:evenVBand="0" w:oddHBand="0" w:evenHBand="0" w:firstRowFirstColumn="0" w:firstRowLastColumn="0" w:lastRowFirstColumn="0" w:lastRowLastColumn="0"/>
              <w:rPr>
                <w:szCs w:val="18"/>
              </w:rPr>
            </w:pPr>
            <w:r w:rsidRPr="00CA1271">
              <w:rPr>
                <w:szCs w:val="18"/>
              </w:rPr>
              <w:t>Saturday</w:t>
            </w:r>
          </w:p>
        </w:tc>
        <w:tc>
          <w:tcPr>
            <w:tcW w:w="1249" w:type="pct"/>
            <w:vAlign w:val="center"/>
          </w:tcPr>
          <w:p w:rsidR="00977D24" w:rsidRPr="00CA1271" w:rsidRDefault="00977D24" w:rsidP="00A976A5">
            <w:pPr>
              <w:jc w:val="center"/>
              <w:cnfStyle w:val="100000000000" w:firstRow="1" w:lastRow="0" w:firstColumn="0" w:lastColumn="0" w:oddVBand="0" w:evenVBand="0" w:oddHBand="0" w:evenHBand="0" w:firstRowFirstColumn="0" w:firstRowLastColumn="0" w:lastRowFirstColumn="0" w:lastRowLastColumn="0"/>
              <w:rPr>
                <w:szCs w:val="18"/>
              </w:rPr>
            </w:pPr>
            <w:r w:rsidRPr="00CA1271">
              <w:rPr>
                <w:szCs w:val="18"/>
              </w:rPr>
              <w:t>Sunday</w:t>
            </w:r>
          </w:p>
        </w:tc>
        <w:tc>
          <w:tcPr>
            <w:tcW w:w="1249" w:type="pct"/>
          </w:tcPr>
          <w:p w:rsidR="00977D24" w:rsidRPr="00CA1271" w:rsidRDefault="00977D24" w:rsidP="00A976A5">
            <w:pPr>
              <w:jc w:val="center"/>
              <w:cnfStyle w:val="100000000000" w:firstRow="1" w:lastRow="0" w:firstColumn="0" w:lastColumn="0" w:oddVBand="0" w:evenVBand="0" w:oddHBand="0" w:evenHBand="0" w:firstRowFirstColumn="0" w:firstRowLastColumn="0" w:lastRowFirstColumn="0" w:lastRowLastColumn="0"/>
              <w:rPr>
                <w:szCs w:val="18"/>
              </w:rPr>
            </w:pPr>
            <w:r w:rsidRPr="00CA1271">
              <w:rPr>
                <w:szCs w:val="18"/>
              </w:rPr>
              <w:t>Public Holiday</w:t>
            </w:r>
          </w:p>
        </w:tc>
      </w:tr>
      <w:tr w:rsidR="00977D24" w:rsidRPr="00CA1271" w:rsidTr="00A976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2" w:type="pct"/>
            <w:vAlign w:val="center"/>
            <w:hideMark/>
          </w:tcPr>
          <w:p w:rsidR="00977D24" w:rsidRPr="00CA1271" w:rsidRDefault="00977D24" w:rsidP="00A976A5">
            <w:pPr>
              <w:jc w:val="center"/>
              <w:rPr>
                <w:szCs w:val="18"/>
              </w:rPr>
            </w:pPr>
            <w:r w:rsidRPr="00CA1271">
              <w:rPr>
                <w:szCs w:val="18"/>
              </w:rPr>
              <w:t>Casual Loading – 1/7/2019</w:t>
            </w:r>
          </w:p>
        </w:tc>
        <w:tc>
          <w:tcPr>
            <w:tcW w:w="1250" w:type="pct"/>
            <w:vAlign w:val="center"/>
          </w:tcPr>
          <w:p w:rsidR="00977D24" w:rsidRPr="00CA1271" w:rsidRDefault="00977D24" w:rsidP="00A976A5">
            <w:pPr>
              <w:jc w:val="center"/>
              <w:cnfStyle w:val="000000100000" w:firstRow="0" w:lastRow="0" w:firstColumn="0" w:lastColumn="0" w:oddVBand="0" w:evenVBand="0" w:oddHBand="1" w:evenHBand="0" w:firstRowFirstColumn="0" w:firstRowLastColumn="0" w:lastRowFirstColumn="0" w:lastRowLastColumn="0"/>
              <w:rPr>
                <w:szCs w:val="18"/>
              </w:rPr>
            </w:pPr>
            <w:r w:rsidRPr="00CA1271">
              <w:rPr>
                <w:szCs w:val="18"/>
              </w:rPr>
              <w:t>50.0%</w:t>
            </w:r>
          </w:p>
        </w:tc>
        <w:tc>
          <w:tcPr>
            <w:tcW w:w="1249" w:type="pct"/>
            <w:vAlign w:val="center"/>
          </w:tcPr>
          <w:p w:rsidR="00977D24" w:rsidRPr="00CA1271" w:rsidRDefault="00977D24" w:rsidP="00A976A5">
            <w:pPr>
              <w:jc w:val="center"/>
              <w:cnfStyle w:val="000000100000" w:firstRow="0" w:lastRow="0" w:firstColumn="0" w:lastColumn="0" w:oddVBand="0" w:evenVBand="0" w:oddHBand="1" w:evenHBand="0" w:firstRowFirstColumn="0" w:firstRowLastColumn="0" w:lastRowFirstColumn="0" w:lastRowLastColumn="0"/>
              <w:rPr>
                <w:szCs w:val="18"/>
              </w:rPr>
            </w:pPr>
            <w:r w:rsidRPr="00CA1271">
              <w:rPr>
                <w:szCs w:val="18"/>
              </w:rPr>
              <w:t>100.0%</w:t>
            </w:r>
          </w:p>
        </w:tc>
        <w:tc>
          <w:tcPr>
            <w:tcW w:w="1249" w:type="pct"/>
          </w:tcPr>
          <w:p w:rsidR="00977D24" w:rsidRPr="00CA1271" w:rsidRDefault="00977D24" w:rsidP="00A976A5">
            <w:pPr>
              <w:jc w:val="center"/>
              <w:cnfStyle w:val="000000100000" w:firstRow="0" w:lastRow="0" w:firstColumn="0" w:lastColumn="0" w:oddVBand="0" w:evenVBand="0" w:oddHBand="1" w:evenHBand="0" w:firstRowFirstColumn="0" w:firstRowLastColumn="0" w:lastRowFirstColumn="0" w:lastRowLastColumn="0"/>
              <w:rPr>
                <w:szCs w:val="18"/>
              </w:rPr>
            </w:pPr>
            <w:r w:rsidRPr="00CA1271">
              <w:rPr>
                <w:szCs w:val="18"/>
              </w:rPr>
              <w:t>150.0%</w:t>
            </w:r>
          </w:p>
        </w:tc>
      </w:tr>
      <w:tr w:rsidR="00977D24" w:rsidRPr="00CA1271" w:rsidTr="00A976A5">
        <w:trPr>
          <w:trHeight w:val="300"/>
        </w:trPr>
        <w:tc>
          <w:tcPr>
            <w:cnfStyle w:val="001000000000" w:firstRow="0" w:lastRow="0" w:firstColumn="1" w:lastColumn="0" w:oddVBand="0" w:evenVBand="0" w:oddHBand="0" w:evenHBand="0" w:firstRowFirstColumn="0" w:firstRowLastColumn="0" w:lastRowFirstColumn="0" w:lastRowLastColumn="0"/>
            <w:tcW w:w="1252" w:type="pct"/>
            <w:vAlign w:val="center"/>
            <w:hideMark/>
          </w:tcPr>
          <w:p w:rsidR="00977D24" w:rsidRPr="00CA1271" w:rsidRDefault="00977D24" w:rsidP="00A976A5">
            <w:pPr>
              <w:jc w:val="center"/>
              <w:rPr>
                <w:szCs w:val="18"/>
              </w:rPr>
            </w:pPr>
            <w:r w:rsidRPr="00CA1271">
              <w:rPr>
                <w:szCs w:val="18"/>
              </w:rPr>
              <w:t>Casual Loading – 1/7/2020</w:t>
            </w:r>
          </w:p>
        </w:tc>
        <w:tc>
          <w:tcPr>
            <w:tcW w:w="1250" w:type="pct"/>
            <w:vAlign w:val="center"/>
          </w:tcPr>
          <w:p w:rsidR="00977D24" w:rsidRPr="00CA1271" w:rsidRDefault="00977D24" w:rsidP="00A976A5">
            <w:pPr>
              <w:jc w:val="center"/>
              <w:cnfStyle w:val="000000000000" w:firstRow="0" w:lastRow="0" w:firstColumn="0" w:lastColumn="0" w:oddVBand="0" w:evenVBand="0" w:oddHBand="0" w:evenHBand="0" w:firstRowFirstColumn="0" w:firstRowLastColumn="0" w:lastRowFirstColumn="0" w:lastRowLastColumn="0"/>
              <w:rPr>
                <w:szCs w:val="18"/>
              </w:rPr>
            </w:pPr>
            <w:r w:rsidRPr="00CA1271">
              <w:rPr>
                <w:szCs w:val="18"/>
              </w:rPr>
              <w:t>75.0%</w:t>
            </w:r>
          </w:p>
        </w:tc>
        <w:tc>
          <w:tcPr>
            <w:tcW w:w="1249" w:type="pct"/>
            <w:vAlign w:val="center"/>
          </w:tcPr>
          <w:p w:rsidR="00977D24" w:rsidRPr="00CA1271" w:rsidRDefault="00977D24" w:rsidP="00A976A5">
            <w:pPr>
              <w:jc w:val="center"/>
              <w:cnfStyle w:val="000000000000" w:firstRow="0" w:lastRow="0" w:firstColumn="0" w:lastColumn="0" w:oddVBand="0" w:evenVBand="0" w:oddHBand="0" w:evenHBand="0" w:firstRowFirstColumn="0" w:firstRowLastColumn="0" w:lastRowFirstColumn="0" w:lastRowLastColumn="0"/>
              <w:rPr>
                <w:szCs w:val="18"/>
              </w:rPr>
            </w:pPr>
            <w:r w:rsidRPr="00CA1271">
              <w:rPr>
                <w:szCs w:val="18"/>
              </w:rPr>
              <w:t>125.0%</w:t>
            </w:r>
          </w:p>
        </w:tc>
        <w:tc>
          <w:tcPr>
            <w:tcW w:w="1249" w:type="pct"/>
          </w:tcPr>
          <w:p w:rsidR="00977D24" w:rsidRPr="00CA1271" w:rsidRDefault="00977D24" w:rsidP="00A976A5">
            <w:pPr>
              <w:jc w:val="center"/>
              <w:cnfStyle w:val="000000000000" w:firstRow="0" w:lastRow="0" w:firstColumn="0" w:lastColumn="0" w:oddVBand="0" w:evenVBand="0" w:oddHBand="0" w:evenHBand="0" w:firstRowFirstColumn="0" w:firstRowLastColumn="0" w:lastRowFirstColumn="0" w:lastRowLastColumn="0"/>
              <w:rPr>
                <w:szCs w:val="18"/>
              </w:rPr>
            </w:pPr>
            <w:r w:rsidRPr="00CA1271">
              <w:rPr>
                <w:szCs w:val="18"/>
              </w:rPr>
              <w:t>175.0%</w:t>
            </w:r>
          </w:p>
        </w:tc>
      </w:tr>
    </w:tbl>
    <w:p w:rsidR="00977D24" w:rsidRPr="00CA1271" w:rsidRDefault="00977D24" w:rsidP="00977D24">
      <w:pPr>
        <w:pStyle w:val="DotPoint"/>
        <w:numPr>
          <w:ilvl w:val="0"/>
          <w:numId w:val="0"/>
        </w:numPr>
      </w:pPr>
      <w:r w:rsidRPr="00CA1271">
        <w:t>The Review notes that the Agency has already indicated that the NDIS Disability Support Worker Cost Model (and the relevant price limits) will be adjusted accordingly from 1 July 2020.</w:t>
      </w:r>
    </w:p>
    <w:p w:rsidR="003C1E7B" w:rsidRPr="00CA1271" w:rsidRDefault="003C1E7B" w:rsidP="003C1E7B">
      <w:pPr>
        <w:pStyle w:val="Heading3"/>
      </w:pPr>
      <w:r w:rsidRPr="00CA1271">
        <w:t>Programs of Supports</w:t>
      </w:r>
    </w:p>
    <w:p w:rsidR="003C1E7B" w:rsidRPr="00CA1271" w:rsidRDefault="003C1E7B" w:rsidP="003C1E7B">
      <w:r w:rsidRPr="00CA1271">
        <w:t>The Review also supports the introduction of programs of supports, whereby providers enter into contracts for the provision of programs of supports</w:t>
      </w:r>
      <w:r w:rsidR="00B4271B" w:rsidRPr="00CA1271">
        <w:t xml:space="preserve">, especially </w:t>
      </w:r>
      <w:r w:rsidR="00A976A5" w:rsidRPr="00CA1271">
        <w:t>where the program of support is towards the achievement of specified outcome</w:t>
      </w:r>
      <w:r w:rsidRPr="00CA1271">
        <w:t xml:space="preserve">. </w:t>
      </w:r>
      <w:r w:rsidR="00A976A5" w:rsidRPr="00CA1271">
        <w:t xml:space="preserve">Under the program of support approach, providers claim for </w:t>
      </w:r>
      <w:r w:rsidRPr="00CA1271">
        <w:t>participant</w:t>
      </w:r>
      <w:r w:rsidR="00A976A5" w:rsidRPr="00CA1271">
        <w:t>s who do</w:t>
      </w:r>
      <w:r w:rsidRPr="00CA1271">
        <w:t xml:space="preserve"> not attend one part of a program as though they did attend – that is, this is not a cancellation, as long as the provider had the capacity to deliver the support. The Review considers that it is important to include safeguards in these arrangements, including that programs of support cannot be for longer than 12 weeks (unless specifically allowed for in the </w:t>
      </w:r>
      <w:r w:rsidRPr="00CA1271">
        <w:rPr>
          <w:i/>
        </w:rPr>
        <w:t>NDIS Price Guide</w:t>
      </w:r>
      <w:r w:rsidRPr="00CA1271">
        <w:t xml:space="preserve">) and that participants should be able to exit from an agreed program of supports without cost, subject to an agreed notice period that can be no longer than </w:t>
      </w:r>
      <w:r w:rsidR="00AF45A5" w:rsidRPr="00CA1271">
        <w:t xml:space="preserve">two </w:t>
      </w:r>
      <w:r w:rsidRPr="00CA1271">
        <w:t>(</w:t>
      </w:r>
      <w:r w:rsidR="00AF45A5" w:rsidRPr="00CA1271">
        <w:t>2</w:t>
      </w:r>
      <w:r w:rsidRPr="00CA1271">
        <w:t xml:space="preserve">) weeks. Supports delivered as part of a program of supports would not be subject to the short notice cancellation rules. </w:t>
      </w:r>
    </w:p>
    <w:p w:rsidR="003C1E7B" w:rsidRPr="00CA1271" w:rsidRDefault="003C1E7B" w:rsidP="003C1E7B">
      <w:r w:rsidRPr="00CA1271">
        <w:t>The Review considers that these arrangements would be administratively easier for providers and participants and would allow providers to better manage their workforce. It would also reduce the impact on other participants of the current short notice cancellation rules. Under the current arrangements, if a participant who has agreed to attend a group session with, say two, other participants gives proper notice then they do not have to pay a cancellation fee for the support that they do not attend. If the provider is not able to find another participant to join the group at short notice then the remaining two participants may be asked to pay for the group session at the 1:2 rate rather than at the 1:3 rate for which they have budgeted. Under the program of supports arrangement, where cancellations occur, it may also be possible for the participant and provider to re-schedule some supports so that the participant receives their services at a later date, while also allowing the provider to manage staff more cost efficiently.</w:t>
      </w:r>
    </w:p>
    <w:p w:rsidR="003C1E7B" w:rsidRPr="00CA1271" w:rsidRDefault="003C1E7B" w:rsidP="003C1E7B">
      <w:r w:rsidRPr="00CA1271">
        <w:t>A number of studies in other sectors have illustrated the efficiencies that can be driven by a “programs of supports” approach. In its 2018 submission to the Medicare Benefits Schedule Review Allied Health Reference Group, Allied Health Professions Australia identified cancellations to group services as having an outsized detrimental effect on the finances of providers and argued that:</w:t>
      </w:r>
    </w:p>
    <w:p w:rsidR="003C1E7B" w:rsidRPr="00CA1271" w:rsidRDefault="003C1E7B" w:rsidP="003C1E7B">
      <w:pPr>
        <w:pStyle w:val="Quote1"/>
      </w:pPr>
      <w:r w:rsidRPr="00CA1271">
        <w:t>Group allied health services belonging to this subgroup require adjustment to ensure that providers are able to offer group services without undue risk of income loss due to cancellations by participants, an issue that is currently limiting their use.</w:t>
      </w:r>
      <w:r w:rsidRPr="00CA1271">
        <w:rPr>
          <w:rStyle w:val="FootnoteReference"/>
        </w:rPr>
        <w:footnoteReference w:id="22"/>
      </w:r>
    </w:p>
    <w:p w:rsidR="00A976A5" w:rsidRPr="00CA1271" w:rsidRDefault="00A976A5" w:rsidP="00A976A5">
      <w:r w:rsidRPr="00CA1271">
        <w:t>The Review recognises the concerns raised in consultations with participant advocates that the programs of support approach should not be permitted to be used by providers to return themselves to a quasi-form of block funding. Participant advocates did acknowledge, however, that the program concept was common in the commercial world and that it could be beneficial for other participants taking part in a program as they would have a greater certainty that the program would operate fully throughout its term.</w:t>
      </w:r>
      <w:r w:rsidR="008E6A7F">
        <w:t xml:space="preserve"> </w:t>
      </w:r>
      <w:r w:rsidRPr="00CA1271">
        <w:t xml:space="preserve">On balance, the Review considers that the advantages outweigh the risks, but recommends that the introduction of programs of support approach be carefully evaluated and that </w:t>
      </w:r>
      <w:r w:rsidR="00A826B3" w:rsidRPr="00CA1271">
        <w:t xml:space="preserve">guidance </w:t>
      </w:r>
      <w:r w:rsidRPr="00CA1271">
        <w:t>materials be produced by the NDIA for participants, including on their right to choose not to engage their provider through a program of support.</w:t>
      </w:r>
      <w:r w:rsidR="00B10EF0" w:rsidRPr="00CA1271">
        <w:t xml:space="preserve"> In the first instance, program of supports should only be able to be offered for group supports.</w:t>
      </w:r>
    </w:p>
    <w:p w:rsidR="001D0CF8" w:rsidRPr="00CA1271" w:rsidRDefault="001D0CF8" w:rsidP="001D0CF8">
      <w:pPr>
        <w:pStyle w:val="Heading3"/>
      </w:pPr>
      <w:r w:rsidRPr="00CA1271">
        <w:t>Group Rates</w:t>
      </w:r>
    </w:p>
    <w:p w:rsidR="00176F10" w:rsidRPr="00CA1271" w:rsidRDefault="004B411F" w:rsidP="001D0CF8">
      <w:r w:rsidRPr="00CA1271">
        <w:t xml:space="preserve">The Review also considers that there are other opportunities to simplify the </w:t>
      </w:r>
      <w:r w:rsidRPr="00CA1271">
        <w:rPr>
          <w:i/>
        </w:rPr>
        <w:t>NDIS Support Catalogue</w:t>
      </w:r>
      <w:r w:rsidRPr="00CA1271">
        <w:t xml:space="preserve"> by removing the various worker to participant ratio support item</w:t>
      </w:r>
      <w:r w:rsidR="008E6694" w:rsidRPr="00CA1271">
        <w:t>s</w:t>
      </w:r>
      <w:r w:rsidRPr="00CA1271">
        <w:t>. Providers would divide the number of worker hours by the number of participant hours to derive their own fractions of hours to charge participants</w:t>
      </w:r>
      <w:r w:rsidR="008E6694" w:rsidRPr="00CA1271">
        <w:t xml:space="preserve"> and would claim for these hours against the 1:1 support item and subject to the standard price limit</w:t>
      </w:r>
      <w:r w:rsidRPr="00CA1271">
        <w:t xml:space="preserve">. </w:t>
      </w:r>
      <w:r w:rsidR="00A316DC" w:rsidRPr="00CA1271">
        <w:t>For example, one worker delivering a one-hour session on a Saturday to three participants would be claimed as 1/3 of an hour per participant subject to the 1:1 Saturday price limit rather than as currently where an hour is claimed for each participant but subject to a reduced 1:3 Saturday price limit</w:t>
      </w:r>
      <w:r w:rsidR="008E6694" w:rsidRPr="00CA1271">
        <w:t>. This is discussed further in Chapter 4.</w:t>
      </w:r>
    </w:p>
    <w:p w:rsidR="00970947" w:rsidRPr="00CA1271" w:rsidRDefault="00970947" w:rsidP="00977D24">
      <w:pPr>
        <w:pStyle w:val="Heading2"/>
      </w:pPr>
      <w:bookmarkStart w:id="28" w:name="_Toc42014721"/>
      <w:r w:rsidRPr="00CA1271">
        <w:t>Recommendations</w:t>
      </w:r>
      <w:bookmarkEnd w:id="28"/>
    </w:p>
    <w:p w:rsidR="00176F10" w:rsidRPr="00CA1271" w:rsidRDefault="0000645A" w:rsidP="00977D24">
      <w:pPr>
        <w:pStyle w:val="REcommendation"/>
        <w:numPr>
          <w:ilvl w:val="0"/>
          <w:numId w:val="23"/>
        </w:numPr>
        <w:ind w:left="2126" w:hanging="2126"/>
        <w:rPr>
          <w:b/>
        </w:rPr>
      </w:pPr>
      <w:r w:rsidRPr="00CA1271">
        <w:rPr>
          <w:b/>
        </w:rPr>
        <w:t>Annual Pricing Review</w:t>
      </w:r>
    </w:p>
    <w:p w:rsidR="00AD1364" w:rsidRPr="00CA1271" w:rsidRDefault="0008512C" w:rsidP="007A045B">
      <w:pPr>
        <w:pStyle w:val="REcommendation"/>
        <w:keepNext w:val="0"/>
        <w:numPr>
          <w:ilvl w:val="1"/>
          <w:numId w:val="11"/>
        </w:numPr>
      </w:pPr>
      <w:r w:rsidRPr="00CA1271">
        <w:t>The NDIA</w:t>
      </w:r>
      <w:r w:rsidR="003A54D3" w:rsidRPr="00CA1271">
        <w:t xml:space="preserve"> should</w:t>
      </w:r>
      <w:r w:rsidR="00373B85" w:rsidRPr="00CA1271">
        <w:t xml:space="preserve"> not undertake an</w:t>
      </w:r>
      <w:r w:rsidR="00AD1364" w:rsidRPr="00CA1271">
        <w:t xml:space="preserve"> </w:t>
      </w:r>
      <w:r w:rsidR="0000645A" w:rsidRPr="00CA1271">
        <w:t>Annual Pricing Review</w:t>
      </w:r>
      <w:r w:rsidR="00AD1364" w:rsidRPr="00CA1271">
        <w:t xml:space="preserve"> in 2020-21 but </w:t>
      </w:r>
      <w:r w:rsidR="00373B85" w:rsidRPr="00CA1271">
        <w:t xml:space="preserve">instead monitor </w:t>
      </w:r>
      <w:r w:rsidR="00AD1364" w:rsidRPr="00CA1271">
        <w:t xml:space="preserve">economic conditions </w:t>
      </w:r>
      <w:r w:rsidR="004B411F" w:rsidRPr="00CA1271">
        <w:t xml:space="preserve">carefully as the COVID-19 pandemic progresses and the economy recovers </w:t>
      </w:r>
      <w:r w:rsidR="00373B85" w:rsidRPr="00CA1271">
        <w:t>and</w:t>
      </w:r>
      <w:r w:rsidR="004B411F" w:rsidRPr="00CA1271">
        <w:t xml:space="preserve"> promptly respond to any emerging issues.</w:t>
      </w:r>
    </w:p>
    <w:p w:rsidR="000A6BB0" w:rsidRPr="00CA1271" w:rsidRDefault="0008512C" w:rsidP="007A045B">
      <w:pPr>
        <w:pStyle w:val="REcommendation"/>
        <w:keepNext w:val="0"/>
        <w:numPr>
          <w:ilvl w:val="1"/>
          <w:numId w:val="11"/>
        </w:numPr>
      </w:pPr>
      <w:r w:rsidRPr="00CA1271">
        <w:t>The NDIA</w:t>
      </w:r>
      <w:r w:rsidR="000A6BB0" w:rsidRPr="00CA1271">
        <w:t xml:space="preserve"> should undertake the Annual Pricing Review from July to December each year (commencing 2021), reporting in February/March of the following year to the Board of the NDIA, through the Chief Executive Officer, with changes to take effect from the following 1 July.</w:t>
      </w:r>
    </w:p>
    <w:p w:rsidR="002233BB" w:rsidRPr="00CA1271" w:rsidRDefault="002233BB" w:rsidP="002233BB">
      <w:pPr>
        <w:pStyle w:val="REcommendation"/>
        <w:keepNext w:val="0"/>
        <w:rPr>
          <w:b/>
        </w:rPr>
      </w:pPr>
      <w:r w:rsidRPr="00CA1271">
        <w:rPr>
          <w:b/>
        </w:rPr>
        <w:t>Annual Indexation of Price Limits</w:t>
      </w:r>
    </w:p>
    <w:p w:rsidR="003706EF" w:rsidRPr="00CA1271" w:rsidRDefault="003706EF" w:rsidP="003706EF">
      <w:pPr>
        <w:pStyle w:val="REcommendation"/>
        <w:keepNext w:val="0"/>
        <w:numPr>
          <w:ilvl w:val="1"/>
          <w:numId w:val="11"/>
        </w:numPr>
      </w:pPr>
      <w:r w:rsidRPr="00CA1271">
        <w:t xml:space="preserve">The NDIA should </w:t>
      </w:r>
      <w:r>
        <w:t>increase</w:t>
      </w:r>
      <w:r w:rsidRPr="00CA1271">
        <w:t xml:space="preserve"> price limits </w:t>
      </w:r>
      <w:r>
        <w:t>during 2020</w:t>
      </w:r>
      <w:r w:rsidRPr="00CA1271">
        <w:t xml:space="preserve"> to maintain their real value through the following indexation arrangements:</w:t>
      </w:r>
    </w:p>
    <w:p w:rsidR="003706EF" w:rsidRPr="00CA1271" w:rsidRDefault="003706EF" w:rsidP="003706EF">
      <w:pPr>
        <w:pStyle w:val="REcommendation"/>
        <w:keepNext w:val="0"/>
        <w:numPr>
          <w:ilvl w:val="2"/>
          <w:numId w:val="11"/>
        </w:numPr>
      </w:pPr>
      <w:r w:rsidRPr="00CA1271">
        <w:t xml:space="preserve">Price limits for supports delivered by Disability Support Workers should be set by the NDIS Disability Support Worker Cost Model </w:t>
      </w:r>
      <w:r>
        <w:t>from the operative date of</w:t>
      </w:r>
      <w:r w:rsidRPr="00CA1271">
        <w:t xml:space="preserve"> the Fair Work Commission’s Annual Wage Review;</w:t>
      </w:r>
    </w:p>
    <w:p w:rsidR="003706EF" w:rsidRPr="00CA1271" w:rsidRDefault="003706EF" w:rsidP="003706EF">
      <w:pPr>
        <w:pStyle w:val="REcommendation"/>
        <w:keepNext w:val="0"/>
        <w:numPr>
          <w:ilvl w:val="2"/>
          <w:numId w:val="11"/>
        </w:numPr>
      </w:pPr>
      <w:r w:rsidRPr="00CA1271">
        <w:t xml:space="preserve">Price limits for Capital supports – Support Categories 2 (Transport), 3 (Consumables), 5 (Assistive Technology) and 6 (Home Modifications and Specialised Disability Accommodation) – should be indexed </w:t>
      </w:r>
      <w:r>
        <w:t xml:space="preserve">on 1 July 2020 </w:t>
      </w:r>
      <w:r w:rsidRPr="00CA1271">
        <w:t>in line with the movement in the ABS Consumer Price (All Groups, weighted average of eight capital cities) over the 12 months to the March Quarter preceding the indexation date; and</w:t>
      </w:r>
    </w:p>
    <w:p w:rsidR="003706EF" w:rsidRDefault="003706EF" w:rsidP="003706EF">
      <w:pPr>
        <w:pStyle w:val="REcommendation"/>
        <w:keepNext w:val="0"/>
        <w:numPr>
          <w:ilvl w:val="2"/>
          <w:numId w:val="11"/>
        </w:numPr>
      </w:pPr>
      <w:r w:rsidRPr="00CA1271">
        <w:t xml:space="preserve">Price limits for other supports should be indexed </w:t>
      </w:r>
      <w:r>
        <w:t xml:space="preserve">on 1 July 2020 </w:t>
      </w:r>
      <w:r w:rsidRPr="00CA1271">
        <w:t>in line with the weighted movement over the previous twelve months in the ABS Wage Price Index (Australia, total hourly rates of pay excluding bonuses) and the ABS Consumer Price Index (All Groups, weighted average of eight capital cities) over the 12 months to the March Quarter preceding the indexation date (with an 80/20 weighting).</w:t>
      </w:r>
    </w:p>
    <w:p w:rsidR="0052152B" w:rsidRPr="00CA1271" w:rsidRDefault="0052152B" w:rsidP="0052152B">
      <w:pPr>
        <w:pStyle w:val="REcommendation"/>
        <w:keepNext w:val="0"/>
        <w:numPr>
          <w:ilvl w:val="1"/>
          <w:numId w:val="11"/>
        </w:numPr>
      </w:pPr>
      <w:r w:rsidRPr="00CA1271">
        <w:t>That in addition to the annual indexation arrangements, the NDIA should also reset all price limits determined by the NDIS Disability Support Worker Cost Model in response to the following Fair Work Commission determinations, with effect from the date of effect of the Fair Work Commission’s determination:</w:t>
      </w:r>
    </w:p>
    <w:p w:rsidR="0052152B" w:rsidRPr="00CA1271" w:rsidRDefault="0052152B" w:rsidP="0052152B">
      <w:pPr>
        <w:pStyle w:val="REcommendation"/>
        <w:keepNext w:val="0"/>
        <w:numPr>
          <w:ilvl w:val="2"/>
          <w:numId w:val="11"/>
        </w:numPr>
      </w:pPr>
      <w:r w:rsidRPr="00CA1271">
        <w:t>1 December 2020, for the final tranche of the Fair Work Commission’s Equal Remuneration Order</w:t>
      </w:r>
      <w:r w:rsidRPr="00CA1271">
        <w:rPr>
          <w:color w:val="000000"/>
        </w:rPr>
        <w:t xml:space="preserve"> (MA000100</w:t>
      </w:r>
      <w:r w:rsidR="008E6A7F">
        <w:rPr>
          <w:color w:val="000000"/>
        </w:rPr>
        <w:t xml:space="preserve"> </w:t>
      </w:r>
      <w:r w:rsidRPr="00CA1271">
        <w:rPr>
          <w:color w:val="000000"/>
        </w:rPr>
        <w:t>PR525485); and</w:t>
      </w:r>
    </w:p>
    <w:p w:rsidR="0052152B" w:rsidRPr="00CA1271" w:rsidRDefault="0052152B" w:rsidP="0052152B">
      <w:pPr>
        <w:pStyle w:val="REcommendation"/>
        <w:keepNext w:val="0"/>
        <w:numPr>
          <w:ilvl w:val="2"/>
          <w:numId w:val="11"/>
        </w:numPr>
      </w:pPr>
      <w:r w:rsidRPr="00CA1271">
        <w:t>1 July 2020, for the adjustment of the shift loadings for casual workers on Saturdays and Sundays in the SCHADS Award (</w:t>
      </w:r>
      <w:r w:rsidRPr="00CA1271">
        <w:rPr>
          <w:rFonts w:cs="Arial"/>
        </w:rPr>
        <w:t>Fair Work Commission Decision [2019] FWCFB 7096)</w:t>
      </w:r>
      <w:r w:rsidRPr="00CA1271">
        <w:t>.</w:t>
      </w:r>
    </w:p>
    <w:p w:rsidR="004B411F" w:rsidRPr="00CA1271" w:rsidRDefault="004B411F" w:rsidP="006E68FF">
      <w:pPr>
        <w:pStyle w:val="REcommendation"/>
        <w:ind w:left="2126" w:hanging="2126"/>
        <w:rPr>
          <w:b/>
        </w:rPr>
      </w:pPr>
      <w:r w:rsidRPr="00CA1271">
        <w:rPr>
          <w:b/>
        </w:rPr>
        <w:t>Programs of Supports</w:t>
      </w:r>
    </w:p>
    <w:p w:rsidR="00B10EF0" w:rsidRPr="00CA1271" w:rsidRDefault="00B10EF0" w:rsidP="00B10EF0">
      <w:pPr>
        <w:pStyle w:val="REcommendation"/>
        <w:keepNext w:val="0"/>
        <w:numPr>
          <w:ilvl w:val="0"/>
          <w:numId w:val="0"/>
        </w:numPr>
        <w:ind w:left="851"/>
        <w:rPr>
          <w:b/>
        </w:rPr>
      </w:pPr>
      <w:r w:rsidRPr="00CA1271">
        <w:t xml:space="preserve">The NDIA should amend the </w:t>
      </w:r>
      <w:r w:rsidRPr="00CA1271">
        <w:rPr>
          <w:i/>
        </w:rPr>
        <w:t>NDIS Price Guide</w:t>
      </w:r>
      <w:r w:rsidRPr="00CA1271">
        <w:t xml:space="preserve"> from 1 July 2020, to make clear that providers are allowed to enter into service agreements for the provision of programs of supports, where those supports are group supports, subject to the following safeguards:</w:t>
      </w:r>
    </w:p>
    <w:p w:rsidR="00A64919" w:rsidRPr="00CA1271" w:rsidRDefault="00A64919" w:rsidP="007A045B">
      <w:pPr>
        <w:pStyle w:val="REcommendation"/>
        <w:keepNext w:val="0"/>
        <w:numPr>
          <w:ilvl w:val="2"/>
          <w:numId w:val="11"/>
        </w:numPr>
      </w:pPr>
      <w:r w:rsidRPr="00CA1271">
        <w:t xml:space="preserve">that programs of support cannot be for longer than 12 weeks (unless specifically allowed for in the </w:t>
      </w:r>
      <w:r w:rsidRPr="00CA1271">
        <w:rPr>
          <w:i/>
        </w:rPr>
        <w:t>NDIS Price Guide</w:t>
      </w:r>
      <w:r w:rsidRPr="00CA1271">
        <w:t xml:space="preserve">); </w:t>
      </w:r>
    </w:p>
    <w:p w:rsidR="00963D6B" w:rsidRPr="00CA1271" w:rsidRDefault="00A64919" w:rsidP="007A045B">
      <w:pPr>
        <w:pStyle w:val="REcommendation"/>
        <w:keepNext w:val="0"/>
        <w:numPr>
          <w:ilvl w:val="2"/>
          <w:numId w:val="11"/>
        </w:numPr>
      </w:pPr>
      <w:r w:rsidRPr="00CA1271">
        <w:t>that participants should be able to exit from an agreed program of supports without cost, subject to an agreed notice period that can b</w:t>
      </w:r>
      <w:r w:rsidR="00963D6B" w:rsidRPr="00CA1271">
        <w:t xml:space="preserve">e no longer than </w:t>
      </w:r>
      <w:r w:rsidR="00AF45A5" w:rsidRPr="00CA1271">
        <w:t xml:space="preserve">two </w:t>
      </w:r>
      <w:r w:rsidR="00963D6B" w:rsidRPr="00CA1271">
        <w:t>(</w:t>
      </w:r>
      <w:r w:rsidR="00AF45A5" w:rsidRPr="00CA1271">
        <w:t>2</w:t>
      </w:r>
      <w:r w:rsidR="00963D6B" w:rsidRPr="00CA1271">
        <w:t>) weeks;</w:t>
      </w:r>
    </w:p>
    <w:p w:rsidR="00963D6B" w:rsidRPr="00CA1271" w:rsidRDefault="00963D6B" w:rsidP="007A045B">
      <w:pPr>
        <w:pStyle w:val="REcommendation"/>
        <w:keepNext w:val="0"/>
        <w:numPr>
          <w:ilvl w:val="2"/>
          <w:numId w:val="11"/>
        </w:numPr>
      </w:pPr>
      <w:r w:rsidRPr="00CA1271">
        <w:t xml:space="preserve">the introduction of programs of supports should be carefully evaluated; and </w:t>
      </w:r>
    </w:p>
    <w:p w:rsidR="00A64919" w:rsidRPr="00CA1271" w:rsidRDefault="00A826B3" w:rsidP="007A045B">
      <w:pPr>
        <w:pStyle w:val="REcommendation"/>
        <w:keepNext w:val="0"/>
        <w:numPr>
          <w:ilvl w:val="2"/>
          <w:numId w:val="11"/>
        </w:numPr>
      </w:pPr>
      <w:proofErr w:type="gramStart"/>
      <w:r w:rsidRPr="00CA1271">
        <w:t>guidance</w:t>
      </w:r>
      <w:proofErr w:type="gramEnd"/>
      <w:r w:rsidRPr="00CA1271">
        <w:t xml:space="preserve"> </w:t>
      </w:r>
      <w:r w:rsidR="00963D6B" w:rsidRPr="00CA1271">
        <w:t>materials should be produced for participants before programs of supports are introduced.</w:t>
      </w:r>
      <w:r w:rsidR="00A64919" w:rsidRPr="00CA1271">
        <w:t xml:space="preserve"> </w:t>
      </w:r>
    </w:p>
    <w:p w:rsidR="00A64919" w:rsidRPr="00CA1271" w:rsidRDefault="00A64919" w:rsidP="00A64919">
      <w:pPr>
        <w:sectPr w:rsidR="00A64919" w:rsidRPr="00CA1271" w:rsidSect="00CA5B7E">
          <w:pgSz w:w="11907" w:h="16839" w:code="9"/>
          <w:pgMar w:top="1418" w:right="1418" w:bottom="1418" w:left="1418" w:header="709" w:footer="709" w:gutter="0"/>
          <w:cols w:space="708"/>
          <w:titlePg/>
          <w:docGrid w:linePitch="360"/>
        </w:sectPr>
      </w:pPr>
    </w:p>
    <w:p w:rsidR="00ED0FA8" w:rsidRPr="00CA1271" w:rsidRDefault="00ED0FA8" w:rsidP="00F35C26">
      <w:pPr>
        <w:pStyle w:val="Heading1"/>
        <w:ind w:left="567" w:hanging="567"/>
      </w:pPr>
      <w:bookmarkStart w:id="29" w:name="_Ref37260885"/>
      <w:bookmarkStart w:id="30" w:name="_Toc42014722"/>
      <w:r w:rsidRPr="00CA1271">
        <w:t>Price limits for 1:1 core supports</w:t>
      </w:r>
      <w:bookmarkEnd w:id="29"/>
      <w:bookmarkEnd w:id="30"/>
    </w:p>
    <w:p w:rsidR="00075640" w:rsidRPr="00CA1271" w:rsidRDefault="00DC6F43" w:rsidP="00075640">
      <w:r w:rsidRPr="00CA1271">
        <w:t>The Review</w:t>
      </w:r>
      <w:r w:rsidR="00075640" w:rsidRPr="00CA1271">
        <w:t xml:space="preserve"> was required by the </w:t>
      </w:r>
      <w:r w:rsidRPr="00CA1271">
        <w:t>its</w:t>
      </w:r>
      <w:r w:rsidR="00075640" w:rsidRPr="00CA1271">
        <w:t xml:space="preserve"> Terms of Reference to examine the assumptions and parameters outlined in the NDIS </w:t>
      </w:r>
      <w:r w:rsidR="00A6443D" w:rsidRPr="00CA1271">
        <w:t>Disability Support Worker Cost Model</w:t>
      </w:r>
      <w:r w:rsidR="00F17237" w:rsidRPr="00CA1271">
        <w:rPr>
          <w:i/>
        </w:rPr>
        <w:t>,</w:t>
      </w:r>
      <w:r w:rsidR="00075640" w:rsidRPr="00CA1271">
        <w:t xml:space="preserve"> including</w:t>
      </w:r>
      <w:r w:rsidR="00075640" w:rsidRPr="00CA1271">
        <w:rPr>
          <w:i/>
        </w:rPr>
        <w:t xml:space="preserve"> </w:t>
      </w:r>
      <w:r w:rsidR="00075640" w:rsidRPr="00CA1271">
        <w:t>through analysis of the financial benchmarking data collected through the Temporary Transformation Payment</w:t>
      </w:r>
      <w:r w:rsidR="00A6443D" w:rsidRPr="00CA1271">
        <w:t xml:space="preserve"> (TTP)</w:t>
      </w:r>
      <w:r w:rsidR="00075640" w:rsidRPr="00CA1271">
        <w:t xml:space="preserve"> arrangements.</w:t>
      </w:r>
    </w:p>
    <w:p w:rsidR="00665933" w:rsidRPr="00CA1271" w:rsidRDefault="00665933" w:rsidP="002A437A">
      <w:pPr>
        <w:pStyle w:val="Heading2"/>
      </w:pPr>
      <w:bookmarkStart w:id="31" w:name="_Toc37096067"/>
      <w:bookmarkStart w:id="32" w:name="_Toc42014723"/>
      <w:r w:rsidRPr="00CA1271">
        <w:t>Current Arrangements</w:t>
      </w:r>
      <w:bookmarkEnd w:id="31"/>
      <w:bookmarkEnd w:id="32"/>
      <w:r w:rsidRPr="00CA1271">
        <w:t xml:space="preserve"> </w:t>
      </w:r>
    </w:p>
    <w:p w:rsidR="005C42DB" w:rsidRPr="00CA1271" w:rsidRDefault="005C42DB" w:rsidP="005C42DB">
      <w:r w:rsidRPr="00CA1271">
        <w:t xml:space="preserve">The price limits for core supports are determined by the application of the NDIS </w:t>
      </w:r>
      <w:r w:rsidR="00A6443D" w:rsidRPr="00CA1271">
        <w:t>Disability Support Worker Cost Model</w:t>
      </w:r>
      <w:r w:rsidRPr="00CA1271">
        <w:t xml:space="preserve">. </w:t>
      </w:r>
      <w:r w:rsidR="004347B5" w:rsidRPr="00CA1271">
        <w:t>The full details of the cost model were published in June 2019.</w:t>
      </w:r>
      <w:r w:rsidR="004347B5" w:rsidRPr="00CA1271">
        <w:rPr>
          <w:rStyle w:val="FootnoteReference"/>
          <w:i/>
        </w:rPr>
        <w:t xml:space="preserve"> </w:t>
      </w:r>
      <w:r w:rsidR="004347B5" w:rsidRPr="00CA1271">
        <w:rPr>
          <w:rStyle w:val="FootnoteReference"/>
          <w:i/>
        </w:rPr>
        <w:footnoteReference w:id="23"/>
      </w:r>
      <w:r w:rsidR="004347B5" w:rsidRPr="00CA1271">
        <w:t xml:space="preserve"> </w:t>
      </w:r>
      <w:r w:rsidRPr="00CA1271">
        <w:t>The cost model estimates the cost of delivering a billable hour of support taking into account all of the costs associated with every billable hour, including: base pay; shift loadings; holiday pay; salary on costs; supervision costs;</w:t>
      </w:r>
      <w:r w:rsidR="000B442F" w:rsidRPr="00CA1271">
        <w:t xml:space="preserve"> utilisation (non-</w:t>
      </w:r>
      <w:r w:rsidRPr="00CA1271">
        <w:t xml:space="preserve">billable activities); corporate overheads and margin. </w:t>
      </w:r>
    </w:p>
    <w:p w:rsidR="005C42DB" w:rsidRPr="00CA1271" w:rsidRDefault="005C42DB" w:rsidP="005C42DB">
      <w:r w:rsidRPr="00CA1271">
        <w:t xml:space="preserve">Base rates of pay under the model are set in accordance with the </w:t>
      </w:r>
      <w:r w:rsidRPr="00CA1271">
        <w:rPr>
          <w:i/>
        </w:rPr>
        <w:t>Social, Community, Home Care and Disability Services Industry Award 2010</w:t>
      </w:r>
      <w:r w:rsidRPr="00CA1271">
        <w:t>.</w:t>
      </w:r>
      <w:r w:rsidR="00F17237" w:rsidRPr="00CA1271">
        <w:rPr>
          <w:rStyle w:val="FootnoteReference"/>
        </w:rPr>
        <w:footnoteReference w:id="24"/>
      </w:r>
      <w:r w:rsidRPr="00CA1271">
        <w:t xml:space="preserve"> The cost model also contains a range of key assumptions and parameters that determine the level of the price limits. </w:t>
      </w:r>
    </w:p>
    <w:p w:rsidR="00614351" w:rsidRPr="00CA1271" w:rsidRDefault="005C42DB" w:rsidP="00614351">
      <w:r w:rsidRPr="00CA1271">
        <w:t xml:space="preserve">The cost model also varies according to a range of factors, including: the intensity of support, the level of skills and experience of the worker delivering the support, whether the worker is permitted to sleep over, the time of day and day of the week the support is delivered and whether or not the provider claims </w:t>
      </w:r>
      <w:r w:rsidR="001E0749" w:rsidRPr="00CA1271">
        <w:t>the TTP</w:t>
      </w:r>
      <w:r w:rsidRPr="00CA1271">
        <w:t>.</w:t>
      </w:r>
      <w:r w:rsidR="00614351" w:rsidRPr="00CA1271">
        <w:t xml:space="preserve"> </w:t>
      </w:r>
    </w:p>
    <w:p w:rsidR="00665933" w:rsidRPr="00CA1271" w:rsidRDefault="00665933" w:rsidP="00614351">
      <w:r w:rsidRPr="00CA1271">
        <w:t xml:space="preserve">The </w:t>
      </w:r>
      <w:r w:rsidR="00614351" w:rsidRPr="00CA1271">
        <w:t xml:space="preserve">definitions of these concepts are set out in the </w:t>
      </w:r>
      <w:r w:rsidRPr="00CA1271">
        <w:t xml:space="preserve">current </w:t>
      </w:r>
      <w:r w:rsidRPr="00CA1271">
        <w:rPr>
          <w:i/>
        </w:rPr>
        <w:t>NDIS Price Guide</w:t>
      </w:r>
      <w:r w:rsidR="00614351" w:rsidRPr="00CA1271">
        <w:t xml:space="preserve"> as follows</w:t>
      </w:r>
      <w:r w:rsidR="00773E00" w:rsidRPr="00CA1271">
        <w:t>:</w:t>
      </w:r>
    </w:p>
    <w:p w:rsidR="00665933" w:rsidRPr="00CA1271" w:rsidRDefault="00665933" w:rsidP="00614351">
      <w:pPr>
        <w:pStyle w:val="Quote1"/>
      </w:pPr>
      <w:r w:rsidRPr="00CA1271">
        <w:t>A hierarchy of price limits applies to this group of supports, based on:</w:t>
      </w:r>
    </w:p>
    <w:p w:rsidR="00665933" w:rsidRPr="00CA1271" w:rsidRDefault="00665933" w:rsidP="007A045B">
      <w:pPr>
        <w:pStyle w:val="Quote1"/>
        <w:numPr>
          <w:ilvl w:val="1"/>
          <w:numId w:val="16"/>
        </w:numPr>
        <w:ind w:left="851"/>
      </w:pPr>
      <w:r w:rsidRPr="00CA1271">
        <w:t>the time of day that the support is delivered;</w:t>
      </w:r>
    </w:p>
    <w:p w:rsidR="00665933" w:rsidRPr="00CA1271" w:rsidRDefault="00665933" w:rsidP="007A045B">
      <w:pPr>
        <w:pStyle w:val="Quote1"/>
        <w:numPr>
          <w:ilvl w:val="1"/>
          <w:numId w:val="16"/>
        </w:numPr>
        <w:ind w:left="851"/>
      </w:pPr>
      <w:r w:rsidRPr="00CA1271">
        <w:t>the day of week that the support is delivered;</w:t>
      </w:r>
    </w:p>
    <w:p w:rsidR="00665933" w:rsidRPr="00CA1271" w:rsidRDefault="00665933" w:rsidP="007A045B">
      <w:pPr>
        <w:pStyle w:val="Quote1"/>
        <w:numPr>
          <w:ilvl w:val="1"/>
          <w:numId w:val="16"/>
        </w:numPr>
        <w:ind w:left="851"/>
      </w:pPr>
      <w:r w:rsidRPr="00CA1271">
        <w:t>whether the support is Standard Intensity or High Intensity;</w:t>
      </w:r>
    </w:p>
    <w:p w:rsidR="00665933" w:rsidRPr="00CA1271" w:rsidRDefault="00665933" w:rsidP="007A045B">
      <w:pPr>
        <w:pStyle w:val="Quote1"/>
        <w:numPr>
          <w:ilvl w:val="1"/>
          <w:numId w:val="16"/>
        </w:numPr>
        <w:ind w:left="851"/>
      </w:pPr>
      <w:r w:rsidRPr="00CA1271">
        <w:t>if the support is High Intensity then whether it is a Level 1 (Standard), Level 2 (High Intensity) or Level 3 (Very High Intensity) support; and</w:t>
      </w:r>
    </w:p>
    <w:p w:rsidR="00665933" w:rsidRPr="00CA1271" w:rsidRDefault="00665933" w:rsidP="007A045B">
      <w:pPr>
        <w:pStyle w:val="Quote1"/>
        <w:numPr>
          <w:ilvl w:val="1"/>
          <w:numId w:val="16"/>
        </w:numPr>
        <w:ind w:left="851"/>
      </w:pPr>
      <w:proofErr w:type="gramStart"/>
      <w:r w:rsidRPr="00CA1271">
        <w:t>whether</w:t>
      </w:r>
      <w:proofErr w:type="gramEnd"/>
      <w:r w:rsidRPr="00CA1271">
        <w:t xml:space="preserve"> the provider is eligible for the Temporary Transformation Payment.</w:t>
      </w:r>
    </w:p>
    <w:p w:rsidR="00665933" w:rsidRPr="00CA1271" w:rsidRDefault="00665933" w:rsidP="00614351">
      <w:pPr>
        <w:pStyle w:val="Quote1"/>
        <w:rPr>
          <w:b/>
        </w:rPr>
      </w:pPr>
      <w:r w:rsidRPr="00CA1271">
        <w:rPr>
          <w:b/>
        </w:rPr>
        <w:t>Time of day and day of week</w:t>
      </w:r>
    </w:p>
    <w:p w:rsidR="00665933" w:rsidRPr="00CA1271" w:rsidRDefault="00665933" w:rsidP="00614351">
      <w:pPr>
        <w:pStyle w:val="Quote1"/>
        <w:rPr>
          <w:szCs w:val="18"/>
        </w:rPr>
      </w:pPr>
      <w:r w:rsidRPr="00CA1271">
        <w:rPr>
          <w:szCs w:val="18"/>
        </w:rPr>
        <w:t>In determining which price limit is applicable to a support, providers should note that a support is considered to be:</w:t>
      </w:r>
    </w:p>
    <w:p w:rsidR="00665933" w:rsidRPr="00CA1271" w:rsidRDefault="00665933" w:rsidP="007A045B">
      <w:pPr>
        <w:pStyle w:val="Quote1"/>
        <w:numPr>
          <w:ilvl w:val="1"/>
          <w:numId w:val="16"/>
        </w:numPr>
        <w:ind w:left="851"/>
        <w:rPr>
          <w:szCs w:val="18"/>
        </w:rPr>
      </w:pPr>
      <w:r w:rsidRPr="00CA1271">
        <w:rPr>
          <w:szCs w:val="18"/>
        </w:rPr>
        <w:t xml:space="preserve">a Daytime </w:t>
      </w:r>
      <w:r w:rsidRPr="00CA1271">
        <w:t>Support</w:t>
      </w:r>
      <w:r w:rsidRPr="00CA1271">
        <w:rPr>
          <w:szCs w:val="18"/>
        </w:rPr>
        <w:t xml:space="preserve"> is it is delivered between 6 am and 8 pm;</w:t>
      </w:r>
    </w:p>
    <w:p w:rsidR="00665933" w:rsidRPr="00CA1271" w:rsidRDefault="00665933" w:rsidP="007A045B">
      <w:pPr>
        <w:pStyle w:val="Quote1"/>
        <w:numPr>
          <w:ilvl w:val="1"/>
          <w:numId w:val="16"/>
        </w:numPr>
        <w:ind w:left="851"/>
      </w:pPr>
      <w:r w:rsidRPr="00CA1271">
        <w:rPr>
          <w:szCs w:val="18"/>
        </w:rPr>
        <w:t xml:space="preserve">an </w:t>
      </w:r>
      <w:r w:rsidRPr="00CA1271">
        <w:t>Afternoon (formerly Evening) Support if it is delivered after 8 pm and before 12 midnight; and</w:t>
      </w:r>
    </w:p>
    <w:p w:rsidR="00665933" w:rsidRPr="00CA1271" w:rsidRDefault="00665933" w:rsidP="007A045B">
      <w:pPr>
        <w:pStyle w:val="Quote1"/>
        <w:numPr>
          <w:ilvl w:val="1"/>
          <w:numId w:val="16"/>
        </w:numPr>
        <w:ind w:left="851"/>
      </w:pPr>
      <w:proofErr w:type="gramStart"/>
      <w:r w:rsidRPr="00CA1271">
        <w:t>an</w:t>
      </w:r>
      <w:proofErr w:type="gramEnd"/>
      <w:r w:rsidRPr="00CA1271">
        <w:t xml:space="preserve"> Overnight Support is it is delivered between 12 midnight and 6 am.</w:t>
      </w:r>
    </w:p>
    <w:p w:rsidR="00665933" w:rsidRPr="00CA1271" w:rsidRDefault="00665933" w:rsidP="00614351">
      <w:pPr>
        <w:pStyle w:val="Quote1"/>
      </w:pPr>
      <w:r w:rsidRPr="00CA1271">
        <w:t>In determining which price limit is applicable to a support, providers should also note:</w:t>
      </w:r>
    </w:p>
    <w:p w:rsidR="00665933" w:rsidRPr="00CA1271" w:rsidRDefault="00665933" w:rsidP="007A045B">
      <w:pPr>
        <w:pStyle w:val="Quote1"/>
        <w:numPr>
          <w:ilvl w:val="1"/>
          <w:numId w:val="16"/>
        </w:numPr>
        <w:ind w:left="851"/>
        <w:rPr>
          <w:szCs w:val="18"/>
        </w:rPr>
      </w:pPr>
      <w:r w:rsidRPr="00CA1271">
        <w:t>a weekday is Monday</w:t>
      </w:r>
      <w:r w:rsidRPr="00CA1271">
        <w:rPr>
          <w:szCs w:val="18"/>
        </w:rPr>
        <w:t xml:space="preserve"> to Friday; </w:t>
      </w:r>
    </w:p>
    <w:p w:rsidR="00665933" w:rsidRPr="00CA1271" w:rsidRDefault="00665933" w:rsidP="007A045B">
      <w:pPr>
        <w:pStyle w:val="Quote1"/>
        <w:numPr>
          <w:ilvl w:val="1"/>
          <w:numId w:val="16"/>
        </w:numPr>
        <w:ind w:left="851"/>
      </w:pPr>
      <w:r w:rsidRPr="00CA1271">
        <w:rPr>
          <w:szCs w:val="18"/>
        </w:rPr>
        <w:t xml:space="preserve">the extra rates paid for Saturday, Sunday and Public holidays are in substitution for, and not </w:t>
      </w:r>
      <w:r w:rsidRPr="00CA1271">
        <w:t>cumulative upon, the shift premiums payable for afternoon and overnight supports; and</w:t>
      </w:r>
    </w:p>
    <w:p w:rsidR="00665933" w:rsidRPr="00CA1271" w:rsidRDefault="00665933" w:rsidP="007A045B">
      <w:pPr>
        <w:pStyle w:val="Quote1"/>
        <w:numPr>
          <w:ilvl w:val="1"/>
          <w:numId w:val="16"/>
        </w:numPr>
        <w:ind w:left="851"/>
        <w:rPr>
          <w:szCs w:val="18"/>
        </w:rPr>
      </w:pPr>
      <w:proofErr w:type="gramStart"/>
      <w:r w:rsidRPr="00CA1271">
        <w:t>the</w:t>
      </w:r>
      <w:proofErr w:type="gramEnd"/>
      <w:r w:rsidRPr="00CA1271">
        <w:t xml:space="preserve"> extra rates for Saturday/Sunday/Public holidays do not increase further when the support finishes</w:t>
      </w:r>
      <w:r w:rsidRPr="00CA1271">
        <w:rPr>
          <w:szCs w:val="18"/>
        </w:rPr>
        <w:t xml:space="preserve"> after 8pm.</w:t>
      </w:r>
    </w:p>
    <w:p w:rsidR="00665933" w:rsidRPr="00CA1271" w:rsidRDefault="00665933" w:rsidP="00614351">
      <w:pPr>
        <w:pStyle w:val="Quote1"/>
        <w:rPr>
          <w:b/>
        </w:rPr>
      </w:pPr>
      <w:r w:rsidRPr="00CA1271">
        <w:rPr>
          <w:b/>
        </w:rPr>
        <w:t>High intensity supports</w:t>
      </w:r>
    </w:p>
    <w:p w:rsidR="00665933" w:rsidRPr="00CA1271" w:rsidRDefault="00665933" w:rsidP="00614351">
      <w:pPr>
        <w:pStyle w:val="Quote1"/>
      </w:pPr>
      <w:r w:rsidRPr="00CA1271">
        <w:t>A support is considered a high intensity support if the participant requires assistance from a support worker with additional qualifications and experience relevant to the participant’s complex needs. The high intensity price limits may be considered when:</w:t>
      </w:r>
    </w:p>
    <w:p w:rsidR="00665933" w:rsidRPr="00CA1271" w:rsidRDefault="00665933" w:rsidP="007A045B">
      <w:pPr>
        <w:pStyle w:val="Quote1"/>
        <w:numPr>
          <w:ilvl w:val="1"/>
          <w:numId w:val="16"/>
        </w:numPr>
        <w:ind w:left="851"/>
      </w:pPr>
      <w:r w:rsidRPr="00CA1271">
        <w:rPr>
          <w:szCs w:val="18"/>
        </w:rPr>
        <w:t xml:space="preserve">frequent (at least 1 instance per shift) assistance is required to manage challenging behaviours that </w:t>
      </w:r>
      <w:r w:rsidRPr="00CA1271">
        <w:t>require intensive positive behaviour support; and/or</w:t>
      </w:r>
    </w:p>
    <w:p w:rsidR="00665933" w:rsidRPr="00CA1271" w:rsidRDefault="00665933" w:rsidP="007A045B">
      <w:pPr>
        <w:pStyle w:val="Quote1"/>
        <w:numPr>
          <w:ilvl w:val="1"/>
          <w:numId w:val="16"/>
        </w:numPr>
        <w:ind w:left="851"/>
        <w:rPr>
          <w:szCs w:val="18"/>
        </w:rPr>
      </w:pPr>
      <w:r w:rsidRPr="00CA1271">
        <w:t>continual active support</w:t>
      </w:r>
      <w:r w:rsidRPr="00CA1271">
        <w:rPr>
          <w:szCs w:val="18"/>
        </w:rPr>
        <w:t xml:space="preserve"> is required due to high medical support needs (such as unstable seizure activity or respiratory support)</w:t>
      </w:r>
    </w:p>
    <w:p w:rsidR="00665933" w:rsidRPr="00CA1271" w:rsidRDefault="00665933" w:rsidP="00614351">
      <w:pPr>
        <w:pStyle w:val="Quote1"/>
      </w:pPr>
      <w:r w:rsidRPr="00CA1271">
        <w:t>In determining which price limit for High Intensity Supports should apply to a given support, the provider should consider the skills and experience of the worker delivering the support. 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cap, with the participant’s prior agreement.</w:t>
      </w:r>
    </w:p>
    <w:p w:rsidR="00ED0CA9" w:rsidRPr="00CA1271" w:rsidRDefault="00ED0CA9" w:rsidP="00ED0CA9">
      <w:pPr>
        <w:pStyle w:val="Quote1"/>
        <w:rPr>
          <w:b/>
        </w:rPr>
      </w:pPr>
      <w:r w:rsidRPr="00CA1271">
        <w:rPr>
          <w:b/>
        </w:rPr>
        <w:t>Temporary Transformation Payment (TTP)</w:t>
      </w:r>
    </w:p>
    <w:p w:rsidR="00ED0CA9" w:rsidRPr="00CA1271" w:rsidRDefault="00ED0CA9" w:rsidP="00ED0CA9">
      <w:pPr>
        <w:pStyle w:val="Quote1"/>
      </w:pPr>
      <w:r w:rsidRPr="00CA1271">
        <w:t>Providers of attendant care and community participation supports who meet the eligibility criteria set out below will have access to a higher price limit through a Temporary Transformation Payment (TTP).</w:t>
      </w:r>
      <w:r w:rsidR="00773E00" w:rsidRPr="00CA1271">
        <w:rPr>
          <w:rStyle w:val="FootnoteReference"/>
        </w:rPr>
        <w:footnoteReference w:id="25"/>
      </w:r>
      <w:r w:rsidRPr="00CA1271">
        <w:t xml:space="preserve"> This conditional loading will assist providers to continue transforming their businesses in the move towards a more competitive marketplace. This replaces the Temporary Support for Overheads. In order to access the higher TTP price limits, providers will have to:</w:t>
      </w:r>
    </w:p>
    <w:p w:rsidR="00ED0CA9" w:rsidRPr="00CA1271" w:rsidRDefault="00ED0CA9" w:rsidP="007A045B">
      <w:pPr>
        <w:pStyle w:val="Quote1"/>
        <w:numPr>
          <w:ilvl w:val="1"/>
          <w:numId w:val="16"/>
        </w:numPr>
        <w:ind w:left="851"/>
        <w:rPr>
          <w:szCs w:val="18"/>
        </w:rPr>
      </w:pPr>
      <w:r w:rsidRPr="00CA1271">
        <w:t xml:space="preserve">publish </w:t>
      </w:r>
      <w:r w:rsidRPr="00CA1271">
        <w:rPr>
          <w:szCs w:val="18"/>
        </w:rPr>
        <w:t>their service prices;</w:t>
      </w:r>
    </w:p>
    <w:p w:rsidR="00ED0CA9" w:rsidRPr="00CA1271" w:rsidRDefault="00ED0CA9" w:rsidP="007A045B">
      <w:pPr>
        <w:pStyle w:val="Quote1"/>
        <w:numPr>
          <w:ilvl w:val="1"/>
          <w:numId w:val="16"/>
        </w:numPr>
        <w:ind w:left="851"/>
      </w:pPr>
      <w:r w:rsidRPr="00CA1271">
        <w:rPr>
          <w:szCs w:val="18"/>
        </w:rPr>
        <w:t>list their business contact details in the Provider Finder and ensure those details are kept up-to-date;</w:t>
      </w:r>
      <w:r w:rsidRPr="00CA1271">
        <w:t xml:space="preserve"> and</w:t>
      </w:r>
    </w:p>
    <w:p w:rsidR="00ED0CA9" w:rsidRPr="00CA1271" w:rsidRDefault="00ED0CA9" w:rsidP="007A045B">
      <w:pPr>
        <w:pStyle w:val="Quote1"/>
        <w:numPr>
          <w:ilvl w:val="1"/>
          <w:numId w:val="16"/>
        </w:numPr>
        <w:ind w:left="851"/>
      </w:pPr>
      <w:proofErr w:type="gramStart"/>
      <w:r w:rsidRPr="00CA1271">
        <w:rPr>
          <w:szCs w:val="18"/>
        </w:rPr>
        <w:t>participate</w:t>
      </w:r>
      <w:proofErr w:type="gramEnd"/>
      <w:r w:rsidRPr="00CA1271">
        <w:t xml:space="preserve"> annually in an Agency-approved market benchmarking survey.</w:t>
      </w:r>
    </w:p>
    <w:p w:rsidR="00ED0CA9" w:rsidRPr="00CA1271" w:rsidRDefault="00ED0CA9" w:rsidP="00ED0CA9">
      <w:pPr>
        <w:pStyle w:val="Quote1"/>
      </w:pPr>
      <w:r w:rsidRPr="00CA1271">
        <w:t>Pr</w:t>
      </w:r>
      <w:r w:rsidR="006A7531" w:rsidRPr="00CA1271">
        <w:t>oviders must meet those three</w:t>
      </w:r>
      <w:r w:rsidRPr="00CA1271">
        <w:t xml:space="preserve"> TTP requirements, and to include in their contractual arrangements with their participants that they are entitled to use the TTP support items (and price limits).</w:t>
      </w:r>
    </w:p>
    <w:p w:rsidR="00ED0CA9" w:rsidRPr="00CA1271" w:rsidRDefault="00ED0CA9" w:rsidP="00ED0CA9">
      <w:pPr>
        <w:pStyle w:val="Quote1"/>
      </w:pPr>
      <w:r w:rsidRPr="00CA1271">
        <w:t xml:space="preserve">That is, in the first year, providers can commence making claims using the TTP items from 1 July 2019, and will have until 31 March 2020 to meet the three compliance requirements. In later years, providers will need to be compliant by the start of the financial year, noting that the Benchmarking Requirement is met up until 31 December of any year by the provider’s intention to take part in the next Benchmarking Survey, and after that date by actual participation in the most recent Benchmarking Survey. Providers who become non-compliant during a financial year should not claim for TTP items while they are non-compliant. </w:t>
      </w:r>
    </w:p>
    <w:p w:rsidR="00ED0CA9" w:rsidRPr="00CA1271" w:rsidRDefault="00ED0CA9" w:rsidP="00ED0CA9">
      <w:pPr>
        <w:pStyle w:val="Quote1"/>
      </w:pPr>
      <w:r w:rsidRPr="00CA1271">
        <w:t>Every support item in scope of the TTP has two support items and two price limits. The non-TTP items should be used by providers who are not compliant with the TTP conditions. The TTP items should be used by providers who are compliant with the TTP conditions, an example is given in the following Table.</w:t>
      </w:r>
    </w:p>
    <w:tbl>
      <w:tblPr>
        <w:tblW w:w="5000" w:type="pct"/>
        <w:tblInd w:w="-5" w:type="dxa"/>
        <w:tblLook w:val="04A0" w:firstRow="1" w:lastRow="0" w:firstColumn="1" w:lastColumn="0" w:noHBand="0" w:noVBand="1"/>
      </w:tblPr>
      <w:tblGrid>
        <w:gridCol w:w="2138"/>
        <w:gridCol w:w="6923"/>
      </w:tblGrid>
      <w:tr w:rsidR="00ED0CA9" w:rsidRPr="00CA1271" w:rsidTr="00ED0CA9">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ED0CA9" w:rsidRPr="00CA1271" w:rsidRDefault="00ED0CA9" w:rsidP="00DE306E">
            <w:pPr>
              <w:spacing w:before="40" w:after="40" w:line="240" w:lineRule="auto"/>
              <w:rPr>
                <w:rFonts w:eastAsia="Times New Roman" w:cstheme="minorHAnsi"/>
                <w:color w:val="000000"/>
                <w:sz w:val="18"/>
                <w:szCs w:val="18"/>
                <w:lang w:eastAsia="en-AU"/>
              </w:rPr>
            </w:pPr>
            <w:r w:rsidRPr="00CA1271">
              <w:rPr>
                <w:rFonts w:eastAsia="Times New Roman" w:cstheme="minorHAnsi"/>
                <w:color w:val="000000"/>
                <w:sz w:val="18"/>
                <w:szCs w:val="18"/>
                <w:lang w:eastAsia="en-AU"/>
              </w:rPr>
              <w:t>01_011_0107_1_1</w:t>
            </w:r>
          </w:p>
        </w:tc>
        <w:tc>
          <w:tcPr>
            <w:tcW w:w="6889" w:type="dxa"/>
            <w:tcBorders>
              <w:top w:val="single" w:sz="4" w:space="0" w:color="auto"/>
              <w:left w:val="nil"/>
              <w:bottom w:val="single" w:sz="4" w:space="0" w:color="auto"/>
              <w:right w:val="single" w:sz="4" w:space="0" w:color="auto"/>
            </w:tcBorders>
            <w:shd w:val="clear" w:color="auto" w:fill="FFFFFF"/>
            <w:hideMark/>
          </w:tcPr>
          <w:p w:rsidR="00ED0CA9" w:rsidRPr="00CA1271" w:rsidRDefault="00ED0CA9" w:rsidP="00DE306E">
            <w:pPr>
              <w:spacing w:before="40" w:after="40" w:line="240" w:lineRule="auto"/>
              <w:rPr>
                <w:rFonts w:eastAsia="Times New Roman" w:cstheme="minorHAnsi"/>
                <w:color w:val="000000"/>
                <w:sz w:val="18"/>
                <w:szCs w:val="18"/>
                <w:lang w:eastAsia="en-AU"/>
              </w:rPr>
            </w:pPr>
            <w:r w:rsidRPr="00CA1271">
              <w:rPr>
                <w:rFonts w:eastAsia="Times New Roman" w:cstheme="minorHAnsi"/>
                <w:color w:val="000000"/>
                <w:sz w:val="18"/>
                <w:szCs w:val="18"/>
                <w:lang w:eastAsia="en-AU"/>
              </w:rPr>
              <w:t>Assistance With Self-Care Activities - Standard - Weekday Daytime</w:t>
            </w:r>
          </w:p>
        </w:tc>
      </w:tr>
      <w:tr w:rsidR="00ED0CA9" w:rsidRPr="00CA1271" w:rsidTr="00ED0CA9">
        <w:tc>
          <w:tcPr>
            <w:tcW w:w="2127" w:type="dxa"/>
            <w:tcBorders>
              <w:top w:val="nil"/>
              <w:left w:val="single" w:sz="4" w:space="0" w:color="auto"/>
              <w:bottom w:val="single" w:sz="4" w:space="0" w:color="auto"/>
              <w:right w:val="single" w:sz="4" w:space="0" w:color="auto"/>
            </w:tcBorders>
            <w:shd w:val="clear" w:color="auto" w:fill="FFFFFF"/>
            <w:hideMark/>
          </w:tcPr>
          <w:p w:rsidR="00ED0CA9" w:rsidRPr="00CA1271" w:rsidRDefault="00ED0CA9" w:rsidP="00DE306E">
            <w:pPr>
              <w:spacing w:before="40" w:after="40" w:line="240" w:lineRule="auto"/>
              <w:rPr>
                <w:rFonts w:eastAsia="Times New Roman" w:cstheme="minorHAnsi"/>
                <w:color w:val="000000"/>
                <w:sz w:val="18"/>
                <w:szCs w:val="18"/>
                <w:lang w:eastAsia="en-AU"/>
              </w:rPr>
            </w:pPr>
            <w:r w:rsidRPr="00CA1271">
              <w:rPr>
                <w:rFonts w:eastAsia="Times New Roman" w:cstheme="minorHAnsi"/>
                <w:color w:val="000000"/>
                <w:sz w:val="18"/>
                <w:szCs w:val="18"/>
                <w:lang w:eastAsia="en-AU"/>
              </w:rPr>
              <w:t>01_011_0107_1_1_T</w:t>
            </w:r>
          </w:p>
        </w:tc>
        <w:tc>
          <w:tcPr>
            <w:tcW w:w="6889" w:type="dxa"/>
            <w:tcBorders>
              <w:top w:val="nil"/>
              <w:left w:val="nil"/>
              <w:bottom w:val="single" w:sz="4" w:space="0" w:color="auto"/>
              <w:right w:val="single" w:sz="4" w:space="0" w:color="auto"/>
            </w:tcBorders>
            <w:shd w:val="clear" w:color="auto" w:fill="FFFFFF"/>
            <w:hideMark/>
          </w:tcPr>
          <w:p w:rsidR="00ED0CA9" w:rsidRPr="00CA1271" w:rsidRDefault="00ED0CA9" w:rsidP="00DE306E">
            <w:pPr>
              <w:spacing w:before="40" w:after="40" w:line="240" w:lineRule="auto"/>
              <w:rPr>
                <w:rFonts w:eastAsia="Times New Roman" w:cstheme="minorHAnsi"/>
                <w:color w:val="000000"/>
                <w:sz w:val="18"/>
                <w:szCs w:val="18"/>
                <w:lang w:eastAsia="en-AU"/>
              </w:rPr>
            </w:pPr>
            <w:r w:rsidRPr="00CA1271">
              <w:rPr>
                <w:rFonts w:eastAsia="Times New Roman" w:cstheme="minorHAnsi"/>
                <w:color w:val="000000"/>
                <w:sz w:val="18"/>
                <w:szCs w:val="18"/>
                <w:lang w:eastAsia="en-AU"/>
              </w:rPr>
              <w:t>Assistance With Self-Care Activities - Standard - Weekday Daytime - TTP</w:t>
            </w:r>
          </w:p>
        </w:tc>
      </w:tr>
    </w:tbl>
    <w:p w:rsidR="00ED0CA9" w:rsidRPr="00CA1271" w:rsidRDefault="00ED0CA9" w:rsidP="00ED0CA9">
      <w:pPr>
        <w:pStyle w:val="Quote1"/>
      </w:pPr>
      <w:r w:rsidRPr="00CA1271">
        <w:t xml:space="preserve">There will be no formal registration process for TTP providers. Providers indicate that they intend to fulfil the TTP conditions by making a claim for a TTP support item through the payment system. They will be required to acknowledge compliance to the Price Guide terms, including the TTP terms if applicable, when submitting a payment request through the </w:t>
      </w:r>
      <w:proofErr w:type="spellStart"/>
      <w:r w:rsidRPr="00CA1271">
        <w:t>Myplace</w:t>
      </w:r>
      <w:proofErr w:type="spellEnd"/>
      <w:r w:rsidRPr="00CA1271">
        <w:t xml:space="preserve"> Provider Portal. By claiming TTP items through the NDIA payment system, or from a plan manager, providers are warranting that they have complied with the TTP conditions, or intend to comply with the TTP conditions by the relevant time.</w:t>
      </w:r>
    </w:p>
    <w:p w:rsidR="00ED0CA9" w:rsidRPr="00CA1271" w:rsidRDefault="00ED0CA9" w:rsidP="00ED0CA9">
      <w:pPr>
        <w:pStyle w:val="Quote1"/>
      </w:pPr>
      <w:r w:rsidRPr="00CA1271">
        <w:t>Plan managers will not be responsible for ensuring providers are TTP compliant. They can accept the claim for a TTP support item by a registered provider as proof of TTP compliance. However, non-registered providers are not eligible for the TTP and plan managers should not use TTP line items to claim for services delivered by non-registered providers.</w:t>
      </w:r>
    </w:p>
    <w:p w:rsidR="00614351" w:rsidRPr="00CA1271" w:rsidRDefault="001E0749" w:rsidP="00614351">
      <w:r w:rsidRPr="00CA1271">
        <w:fldChar w:fldCharType="begin"/>
      </w:r>
      <w:r w:rsidRPr="00CA1271">
        <w:instrText xml:space="preserve"> REF _Ref37881301 \h </w:instrText>
      </w:r>
      <w:r w:rsidR="006D7957" w:rsidRPr="00CA1271">
        <w:instrText xml:space="preserve"> \* MERGEFORMAT </w:instrText>
      </w:r>
      <w:r w:rsidRPr="00CA1271">
        <w:fldChar w:fldCharType="separate"/>
      </w:r>
      <w:r w:rsidR="00B621CC" w:rsidRPr="00CA1271">
        <w:t xml:space="preserve">Table </w:t>
      </w:r>
      <w:r w:rsidR="00B621CC">
        <w:rPr>
          <w:noProof/>
        </w:rPr>
        <w:t>3</w:t>
      </w:r>
      <w:r w:rsidRPr="00CA1271">
        <w:fldChar w:fldCharType="end"/>
      </w:r>
      <w:r w:rsidRPr="00CA1271">
        <w:t xml:space="preserve"> </w:t>
      </w:r>
      <w:r w:rsidR="00614351" w:rsidRPr="00CA1271">
        <w:t>set</w:t>
      </w:r>
      <w:r w:rsidRPr="00CA1271">
        <w:t>s</w:t>
      </w:r>
      <w:r w:rsidR="00614351" w:rsidRPr="00CA1271">
        <w:t xml:space="preserve"> out the key assumptions of the current NDIS </w:t>
      </w:r>
      <w:r w:rsidR="000A5D9B" w:rsidRPr="00CA1271">
        <w:t>Disability Support Worker</w:t>
      </w:r>
      <w:r w:rsidR="00614351" w:rsidRPr="00CA1271">
        <w:t xml:space="preserve"> Cost Model.</w:t>
      </w:r>
    </w:p>
    <w:p w:rsidR="001E0749" w:rsidRPr="00CA1271" w:rsidRDefault="001E0749" w:rsidP="000A5D9B">
      <w:pPr>
        <w:pStyle w:val="Caption"/>
      </w:pPr>
      <w:bookmarkStart w:id="33" w:name="_Ref37881301"/>
      <w:bookmarkStart w:id="34" w:name="_Toc42014782"/>
      <w:r w:rsidRPr="00CA1271">
        <w:t xml:space="preserve">Table </w:t>
      </w:r>
      <w:r w:rsidRPr="00CA1271">
        <w:fldChar w:fldCharType="begin"/>
      </w:r>
      <w:r w:rsidRPr="00CA1271">
        <w:instrText xml:space="preserve"> SEQ Table \* ARABIC </w:instrText>
      </w:r>
      <w:r w:rsidRPr="00CA1271">
        <w:fldChar w:fldCharType="separate"/>
      </w:r>
      <w:r w:rsidR="00B621CC">
        <w:rPr>
          <w:noProof/>
        </w:rPr>
        <w:t>3</w:t>
      </w:r>
      <w:r w:rsidRPr="00CA1271">
        <w:fldChar w:fldCharType="end"/>
      </w:r>
      <w:bookmarkEnd w:id="33"/>
      <w:r w:rsidRPr="00CA1271">
        <w:t xml:space="preserve"> - NDIS </w:t>
      </w:r>
      <w:r w:rsidR="000A5D9B" w:rsidRPr="00CA1271">
        <w:t>Disability Support Worker</w:t>
      </w:r>
      <w:r w:rsidRPr="00CA1271">
        <w:t xml:space="preserve"> Cost Model </w:t>
      </w:r>
      <w:r w:rsidR="000A5D9B" w:rsidRPr="00CA1271">
        <w:t xml:space="preserve">– Key </w:t>
      </w:r>
      <w:r w:rsidRPr="00CA1271">
        <w:t>Assumptions</w:t>
      </w:r>
      <w:bookmarkEnd w:id="34"/>
    </w:p>
    <w:tbl>
      <w:tblPr>
        <w:tblStyle w:val="GridTable4-Accent4"/>
        <w:tblW w:w="5106" w:type="pct"/>
        <w:tblLook w:val="04A0" w:firstRow="1" w:lastRow="0" w:firstColumn="1" w:lastColumn="0" w:noHBand="0" w:noVBand="1"/>
        <w:tblCaption w:val="Current Assumptions for DSW Cost Model"/>
        <w:tblDescription w:val="Assumptions used by the NDIA when calculating the 1:1 price limits for levels 1, 2 and 3 disability support workers."/>
      </w:tblPr>
      <w:tblGrid>
        <w:gridCol w:w="3985"/>
        <w:gridCol w:w="1566"/>
        <w:gridCol w:w="1851"/>
        <w:gridCol w:w="1851"/>
      </w:tblGrid>
      <w:tr w:rsidR="00614351" w:rsidRPr="00CA1271" w:rsidTr="00C0552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rPr>
                <w:rFonts w:cstheme="minorHAnsi"/>
                <w:szCs w:val="18"/>
              </w:rPr>
            </w:pPr>
          </w:p>
        </w:tc>
        <w:tc>
          <w:tcPr>
            <w:tcW w:w="846" w:type="pct"/>
          </w:tcPr>
          <w:p w:rsidR="00614351" w:rsidRPr="00CA1271" w:rsidRDefault="00614351" w:rsidP="00B31142">
            <w:pPr>
              <w:jc w:val="center"/>
              <w:cnfStyle w:val="100000000000" w:firstRow="1"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Standard</w:t>
            </w:r>
            <w:r w:rsidRPr="00CA1271">
              <w:rPr>
                <w:rFonts w:cstheme="minorHAnsi"/>
                <w:szCs w:val="18"/>
              </w:rPr>
              <w:br/>
              <w:t>Support</w:t>
            </w:r>
            <w:r w:rsidRPr="00CA1271">
              <w:rPr>
                <w:rFonts w:cstheme="minorHAnsi"/>
                <w:szCs w:val="18"/>
              </w:rPr>
              <w:br/>
              <w:t>(Level 1)</w:t>
            </w:r>
          </w:p>
        </w:tc>
        <w:tc>
          <w:tcPr>
            <w:tcW w:w="1000" w:type="pct"/>
          </w:tcPr>
          <w:p w:rsidR="00614351" w:rsidRPr="00CA1271" w:rsidRDefault="00614351" w:rsidP="00B31142">
            <w:pPr>
              <w:jc w:val="center"/>
              <w:cnfStyle w:val="100000000000" w:firstRow="1"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High Intensity</w:t>
            </w:r>
            <w:r w:rsidRPr="00CA1271">
              <w:rPr>
                <w:rFonts w:cstheme="minorHAnsi"/>
                <w:szCs w:val="18"/>
              </w:rPr>
              <w:br/>
              <w:t>Support</w:t>
            </w:r>
            <w:r w:rsidRPr="00CA1271">
              <w:rPr>
                <w:rFonts w:cstheme="minorHAnsi"/>
                <w:szCs w:val="18"/>
              </w:rPr>
              <w:br/>
              <w:t>(Level 2)</w:t>
            </w:r>
          </w:p>
        </w:tc>
        <w:tc>
          <w:tcPr>
            <w:tcW w:w="1000" w:type="pct"/>
          </w:tcPr>
          <w:p w:rsidR="00614351" w:rsidRPr="00CA1271" w:rsidRDefault="00614351" w:rsidP="00B31142">
            <w:pPr>
              <w:jc w:val="center"/>
              <w:cnfStyle w:val="100000000000" w:firstRow="1"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Very High Intensity</w:t>
            </w:r>
            <w:r w:rsidRPr="00CA1271">
              <w:rPr>
                <w:rFonts w:cstheme="minorHAnsi"/>
                <w:szCs w:val="18"/>
              </w:rPr>
              <w:br/>
              <w:t>Support</w:t>
            </w:r>
            <w:r w:rsidRPr="00CA1271">
              <w:rPr>
                <w:rFonts w:cstheme="minorHAnsi"/>
                <w:szCs w:val="18"/>
              </w:rPr>
              <w:br/>
              <w:t>(Level 3)</w:t>
            </w:r>
          </w:p>
        </w:tc>
      </w:tr>
      <w:tr w:rsidR="00614351" w:rsidRPr="00CA1271"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rPr>
                <w:rFonts w:cstheme="minorHAnsi"/>
                <w:szCs w:val="18"/>
              </w:rPr>
            </w:pPr>
            <w:r w:rsidRPr="00CA1271">
              <w:rPr>
                <w:rFonts w:cstheme="minorHAnsi"/>
                <w:szCs w:val="18"/>
              </w:rPr>
              <w:t>Disability Support Worker</w:t>
            </w:r>
          </w:p>
        </w:tc>
        <w:tc>
          <w:tcPr>
            <w:tcW w:w="846"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w:t>
            </w:r>
          </w:p>
        </w:tc>
      </w:tr>
      <w:tr w:rsidR="00614351" w:rsidRPr="00CA1271" w:rsidTr="00C05522">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284"/>
              <w:rPr>
                <w:rFonts w:cstheme="minorHAnsi"/>
                <w:szCs w:val="18"/>
              </w:rPr>
            </w:pPr>
            <w:r w:rsidRPr="00CA1271">
              <w:rPr>
                <w:rFonts w:cstheme="minorHAnsi"/>
                <w:szCs w:val="18"/>
              </w:rPr>
              <w:t>Salary costs</w:t>
            </w:r>
          </w:p>
        </w:tc>
        <w:tc>
          <w:tcPr>
            <w:tcW w:w="846"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w:t>
            </w:r>
          </w:p>
        </w:tc>
      </w:tr>
      <w:tr w:rsidR="00614351" w:rsidRPr="00CA1271"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567"/>
              <w:rPr>
                <w:rFonts w:cstheme="minorHAnsi"/>
                <w:b w:val="0"/>
                <w:szCs w:val="18"/>
              </w:rPr>
            </w:pPr>
            <w:r w:rsidRPr="00CA1271">
              <w:rPr>
                <w:rFonts w:cstheme="minorHAnsi"/>
                <w:b w:val="0"/>
                <w:szCs w:val="18"/>
              </w:rPr>
              <w:t>Award Rate from SCHADS Award</w:t>
            </w:r>
          </w:p>
        </w:tc>
        <w:tc>
          <w:tcPr>
            <w:tcW w:w="846"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2.3</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2.4/3.1</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3.2</w:t>
            </w:r>
          </w:p>
        </w:tc>
      </w:tr>
      <w:tr w:rsidR="00614351" w:rsidRPr="00CA1271" w:rsidTr="00C05522">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567"/>
              <w:rPr>
                <w:rFonts w:cstheme="minorHAnsi"/>
                <w:b w:val="0"/>
                <w:szCs w:val="18"/>
              </w:rPr>
            </w:pPr>
            <w:r w:rsidRPr="00CA1271">
              <w:rPr>
                <w:rFonts w:cstheme="minorHAnsi"/>
                <w:b w:val="0"/>
                <w:szCs w:val="18"/>
              </w:rPr>
              <w:t>Working Days in Year</w:t>
            </w:r>
          </w:p>
        </w:tc>
        <w:tc>
          <w:tcPr>
            <w:tcW w:w="846"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220</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220</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220</w:t>
            </w:r>
          </w:p>
        </w:tc>
      </w:tr>
      <w:tr w:rsidR="00614351" w:rsidRPr="00CA1271"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567"/>
              <w:rPr>
                <w:rFonts w:cstheme="minorHAnsi"/>
                <w:b w:val="0"/>
                <w:szCs w:val="18"/>
              </w:rPr>
            </w:pPr>
            <w:r w:rsidRPr="00CA1271">
              <w:rPr>
                <w:rFonts w:cstheme="minorHAnsi"/>
                <w:b w:val="0"/>
                <w:szCs w:val="18"/>
              </w:rPr>
              <w:t>Shift Loadings</w:t>
            </w:r>
          </w:p>
        </w:tc>
        <w:tc>
          <w:tcPr>
            <w:tcW w:w="846"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As per Award</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As per Award</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As per Award</w:t>
            </w:r>
          </w:p>
        </w:tc>
      </w:tr>
      <w:tr w:rsidR="00614351" w:rsidRPr="00CA1271" w:rsidTr="00C05522">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567"/>
              <w:rPr>
                <w:rFonts w:cstheme="minorHAnsi"/>
                <w:b w:val="0"/>
                <w:szCs w:val="18"/>
              </w:rPr>
            </w:pPr>
            <w:r w:rsidRPr="00CA1271">
              <w:rPr>
                <w:rFonts w:cstheme="minorHAnsi"/>
                <w:b w:val="0"/>
                <w:szCs w:val="18"/>
              </w:rPr>
              <w:t>Ratio of permanent to casual (percentage)</w:t>
            </w:r>
          </w:p>
        </w:tc>
        <w:tc>
          <w:tcPr>
            <w:tcW w:w="846"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80/20</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80/20</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80/20</w:t>
            </w:r>
          </w:p>
        </w:tc>
      </w:tr>
      <w:tr w:rsidR="00614351" w:rsidRPr="00CA1271"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284"/>
              <w:rPr>
                <w:rFonts w:cstheme="minorHAnsi"/>
                <w:szCs w:val="18"/>
              </w:rPr>
            </w:pPr>
            <w:r w:rsidRPr="00CA1271">
              <w:rPr>
                <w:rFonts w:cstheme="minorHAnsi"/>
                <w:szCs w:val="18"/>
              </w:rPr>
              <w:t>Salary on costs</w:t>
            </w:r>
          </w:p>
        </w:tc>
        <w:tc>
          <w:tcPr>
            <w:tcW w:w="846"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w:t>
            </w:r>
          </w:p>
        </w:tc>
      </w:tr>
      <w:tr w:rsidR="00614351" w:rsidRPr="00CA1271" w:rsidTr="00C05522">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567"/>
              <w:rPr>
                <w:rFonts w:cstheme="minorHAnsi"/>
                <w:b w:val="0"/>
                <w:szCs w:val="18"/>
              </w:rPr>
            </w:pPr>
            <w:r w:rsidRPr="00CA1271">
              <w:rPr>
                <w:rFonts w:cstheme="minorHAnsi"/>
                <w:b w:val="0"/>
                <w:szCs w:val="18"/>
              </w:rPr>
              <w:t>Superannuation</w:t>
            </w:r>
          </w:p>
        </w:tc>
        <w:tc>
          <w:tcPr>
            <w:tcW w:w="846"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9.5%</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9.5%</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9.5%</w:t>
            </w:r>
          </w:p>
        </w:tc>
      </w:tr>
      <w:tr w:rsidR="00614351" w:rsidRPr="00CA1271"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567"/>
              <w:rPr>
                <w:rFonts w:cstheme="minorHAnsi"/>
                <w:b w:val="0"/>
                <w:szCs w:val="18"/>
              </w:rPr>
            </w:pPr>
            <w:r w:rsidRPr="00CA1271">
              <w:rPr>
                <w:rFonts w:cstheme="minorHAnsi"/>
                <w:b w:val="0"/>
                <w:szCs w:val="18"/>
              </w:rPr>
              <w:t>Workers compensation</w:t>
            </w:r>
          </w:p>
        </w:tc>
        <w:tc>
          <w:tcPr>
            <w:tcW w:w="846"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3.0%</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3.0%</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3.0%</w:t>
            </w:r>
          </w:p>
        </w:tc>
      </w:tr>
      <w:tr w:rsidR="00614351" w:rsidRPr="00CA1271" w:rsidTr="00C05522">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284"/>
              <w:rPr>
                <w:rFonts w:cstheme="minorHAnsi"/>
                <w:b w:val="0"/>
                <w:szCs w:val="18"/>
              </w:rPr>
            </w:pPr>
            <w:r w:rsidRPr="00CA1271">
              <w:rPr>
                <w:rFonts w:cstheme="minorHAnsi"/>
                <w:szCs w:val="18"/>
              </w:rPr>
              <w:t>Utilisation rate for DSW</w:t>
            </w:r>
          </w:p>
        </w:tc>
        <w:tc>
          <w:tcPr>
            <w:tcW w:w="846"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92.0%</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89.0%</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87.7%</w:t>
            </w:r>
          </w:p>
        </w:tc>
      </w:tr>
      <w:tr w:rsidR="00614351" w:rsidRPr="00CA1271"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rPr>
                <w:rFonts w:cstheme="minorHAnsi"/>
                <w:szCs w:val="18"/>
              </w:rPr>
            </w:pPr>
            <w:r w:rsidRPr="00CA1271">
              <w:rPr>
                <w:rFonts w:cstheme="minorHAnsi"/>
                <w:szCs w:val="18"/>
              </w:rPr>
              <w:t>Supervisor</w:t>
            </w:r>
          </w:p>
        </w:tc>
        <w:tc>
          <w:tcPr>
            <w:tcW w:w="846"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w:t>
            </w:r>
          </w:p>
        </w:tc>
      </w:tr>
      <w:tr w:rsidR="00614351" w:rsidRPr="00CA1271" w:rsidTr="00C05522">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284"/>
              <w:rPr>
                <w:rFonts w:cstheme="minorHAnsi"/>
                <w:szCs w:val="18"/>
              </w:rPr>
            </w:pPr>
            <w:r w:rsidRPr="00CA1271">
              <w:rPr>
                <w:rFonts w:cstheme="minorHAnsi"/>
                <w:szCs w:val="18"/>
              </w:rPr>
              <w:t>Salary costs</w:t>
            </w:r>
          </w:p>
        </w:tc>
        <w:tc>
          <w:tcPr>
            <w:tcW w:w="846"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w:t>
            </w:r>
          </w:p>
        </w:tc>
      </w:tr>
      <w:tr w:rsidR="00614351" w:rsidRPr="00CA1271"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567"/>
              <w:rPr>
                <w:rFonts w:cstheme="minorHAnsi"/>
                <w:b w:val="0"/>
                <w:szCs w:val="18"/>
              </w:rPr>
            </w:pPr>
            <w:r w:rsidRPr="00CA1271">
              <w:rPr>
                <w:rFonts w:cstheme="minorHAnsi"/>
                <w:b w:val="0"/>
                <w:szCs w:val="18"/>
              </w:rPr>
              <w:t>Classification (SCHADS Award)</w:t>
            </w:r>
          </w:p>
        </w:tc>
        <w:tc>
          <w:tcPr>
            <w:tcW w:w="846"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3.2</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4.2</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4.2</w:t>
            </w:r>
          </w:p>
        </w:tc>
      </w:tr>
      <w:tr w:rsidR="00614351" w:rsidRPr="00CA1271" w:rsidTr="00C05522">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567"/>
              <w:rPr>
                <w:rFonts w:cstheme="minorHAnsi"/>
                <w:b w:val="0"/>
                <w:szCs w:val="18"/>
              </w:rPr>
            </w:pPr>
            <w:r w:rsidRPr="00CA1271">
              <w:rPr>
                <w:rFonts w:cstheme="minorHAnsi"/>
                <w:b w:val="0"/>
                <w:szCs w:val="18"/>
              </w:rPr>
              <w:t>Working Days in Year</w:t>
            </w:r>
          </w:p>
        </w:tc>
        <w:tc>
          <w:tcPr>
            <w:tcW w:w="846"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220</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220</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220</w:t>
            </w:r>
          </w:p>
        </w:tc>
      </w:tr>
      <w:tr w:rsidR="00614351" w:rsidRPr="00CA1271"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567"/>
              <w:rPr>
                <w:rFonts w:cstheme="minorHAnsi"/>
                <w:b w:val="0"/>
                <w:szCs w:val="18"/>
              </w:rPr>
            </w:pPr>
            <w:r w:rsidRPr="00CA1271">
              <w:rPr>
                <w:rFonts w:cstheme="minorHAnsi"/>
                <w:b w:val="0"/>
                <w:szCs w:val="18"/>
              </w:rPr>
              <w:t>Shift Loadings</w:t>
            </w:r>
          </w:p>
        </w:tc>
        <w:tc>
          <w:tcPr>
            <w:tcW w:w="846"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As per Award</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As per Award</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As per Award</w:t>
            </w:r>
          </w:p>
        </w:tc>
      </w:tr>
      <w:tr w:rsidR="00614351" w:rsidRPr="00CA1271" w:rsidTr="00C05522">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284"/>
              <w:rPr>
                <w:rFonts w:cstheme="minorHAnsi"/>
                <w:szCs w:val="18"/>
              </w:rPr>
            </w:pPr>
            <w:r w:rsidRPr="00CA1271">
              <w:rPr>
                <w:rFonts w:cstheme="minorHAnsi"/>
                <w:szCs w:val="18"/>
              </w:rPr>
              <w:t>Salary on costs</w:t>
            </w:r>
          </w:p>
        </w:tc>
        <w:tc>
          <w:tcPr>
            <w:tcW w:w="846"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w:t>
            </w:r>
          </w:p>
        </w:tc>
      </w:tr>
      <w:tr w:rsidR="00614351" w:rsidRPr="00CA1271"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567"/>
              <w:rPr>
                <w:rFonts w:cstheme="minorHAnsi"/>
                <w:szCs w:val="18"/>
              </w:rPr>
            </w:pPr>
            <w:r w:rsidRPr="00CA1271">
              <w:rPr>
                <w:rFonts w:cstheme="minorHAnsi"/>
                <w:b w:val="0"/>
                <w:szCs w:val="18"/>
              </w:rPr>
              <w:t>Superannuation</w:t>
            </w:r>
          </w:p>
        </w:tc>
        <w:tc>
          <w:tcPr>
            <w:tcW w:w="846"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9.5%</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9.5%</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9.5%</w:t>
            </w:r>
          </w:p>
        </w:tc>
      </w:tr>
      <w:tr w:rsidR="00614351" w:rsidRPr="00CA1271" w:rsidTr="00C05522">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567"/>
              <w:rPr>
                <w:rFonts w:cstheme="minorHAnsi"/>
                <w:b w:val="0"/>
                <w:szCs w:val="18"/>
              </w:rPr>
            </w:pPr>
            <w:r w:rsidRPr="00CA1271">
              <w:rPr>
                <w:rFonts w:cstheme="minorHAnsi"/>
                <w:b w:val="0"/>
                <w:szCs w:val="18"/>
              </w:rPr>
              <w:t>Workers compensation</w:t>
            </w:r>
          </w:p>
        </w:tc>
        <w:tc>
          <w:tcPr>
            <w:tcW w:w="846"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3.0%</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3.0%</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3.0%</w:t>
            </w:r>
          </w:p>
        </w:tc>
      </w:tr>
      <w:tr w:rsidR="00614351" w:rsidRPr="00CA1271"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284"/>
              <w:rPr>
                <w:rFonts w:cstheme="minorHAnsi"/>
                <w:szCs w:val="18"/>
              </w:rPr>
            </w:pPr>
            <w:r w:rsidRPr="00CA1271">
              <w:rPr>
                <w:rFonts w:cstheme="minorHAnsi"/>
                <w:szCs w:val="18"/>
              </w:rPr>
              <w:t>Utilisation rate</w:t>
            </w:r>
          </w:p>
        </w:tc>
        <w:tc>
          <w:tcPr>
            <w:tcW w:w="846"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92.0%</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89.0%</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87.7%</w:t>
            </w:r>
          </w:p>
        </w:tc>
      </w:tr>
      <w:tr w:rsidR="00614351" w:rsidRPr="00CA1271" w:rsidTr="00C05522">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ind w:left="284"/>
              <w:rPr>
                <w:rFonts w:cstheme="minorHAnsi"/>
                <w:b w:val="0"/>
                <w:szCs w:val="18"/>
              </w:rPr>
            </w:pPr>
            <w:r w:rsidRPr="00CA1271">
              <w:rPr>
                <w:rFonts w:cstheme="minorHAnsi"/>
                <w:szCs w:val="18"/>
              </w:rPr>
              <w:t>Management ratio (FTE basis)</w:t>
            </w:r>
          </w:p>
        </w:tc>
        <w:tc>
          <w:tcPr>
            <w:tcW w:w="846"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1:11</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1:11</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1:11</w:t>
            </w:r>
          </w:p>
        </w:tc>
      </w:tr>
      <w:tr w:rsidR="00614351" w:rsidRPr="00CA1271" w:rsidTr="00C055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rPr>
                <w:rFonts w:cstheme="minorHAnsi"/>
                <w:szCs w:val="18"/>
              </w:rPr>
            </w:pPr>
            <w:r w:rsidRPr="00CA1271">
              <w:rPr>
                <w:rFonts w:cstheme="minorHAnsi"/>
                <w:szCs w:val="18"/>
              </w:rPr>
              <w:t>Overheads (ratio to costs)</w:t>
            </w:r>
          </w:p>
        </w:tc>
        <w:tc>
          <w:tcPr>
            <w:tcW w:w="846"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10.5%</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10.5%</w:t>
            </w:r>
          </w:p>
        </w:tc>
        <w:tc>
          <w:tcPr>
            <w:tcW w:w="1000" w:type="pct"/>
          </w:tcPr>
          <w:p w:rsidR="00614351" w:rsidRPr="00CA1271" w:rsidRDefault="00614351" w:rsidP="00B31142">
            <w:pPr>
              <w:jc w:val="center"/>
              <w:cnfStyle w:val="000000100000" w:firstRow="0" w:lastRow="0" w:firstColumn="0" w:lastColumn="0" w:oddVBand="0" w:evenVBand="0" w:oddHBand="1" w:evenHBand="0" w:firstRowFirstColumn="0" w:firstRowLastColumn="0" w:lastRowFirstColumn="0" w:lastRowLastColumn="0"/>
              <w:rPr>
                <w:rFonts w:cstheme="minorHAnsi"/>
                <w:szCs w:val="18"/>
              </w:rPr>
            </w:pPr>
            <w:r w:rsidRPr="00CA1271">
              <w:rPr>
                <w:rFonts w:cstheme="minorHAnsi"/>
                <w:szCs w:val="18"/>
              </w:rPr>
              <w:t>10.5%</w:t>
            </w:r>
          </w:p>
        </w:tc>
      </w:tr>
      <w:tr w:rsidR="00614351" w:rsidRPr="00CA1271" w:rsidTr="00C05522">
        <w:tc>
          <w:tcPr>
            <w:cnfStyle w:val="001000000000" w:firstRow="0" w:lastRow="0" w:firstColumn="1" w:lastColumn="0" w:oddVBand="0" w:evenVBand="0" w:oddHBand="0" w:evenHBand="0" w:firstRowFirstColumn="0" w:firstRowLastColumn="0" w:lastRowFirstColumn="0" w:lastRowLastColumn="0"/>
            <w:tcW w:w="2154" w:type="pct"/>
          </w:tcPr>
          <w:p w:rsidR="00614351" w:rsidRPr="00CA1271" w:rsidRDefault="00614351" w:rsidP="00B31142">
            <w:pPr>
              <w:rPr>
                <w:rFonts w:cstheme="minorHAnsi"/>
                <w:szCs w:val="18"/>
              </w:rPr>
            </w:pPr>
            <w:r w:rsidRPr="00CA1271">
              <w:rPr>
                <w:rFonts w:cstheme="minorHAnsi"/>
                <w:szCs w:val="18"/>
              </w:rPr>
              <w:t>Pre-tax margin (ratio to costs + overheads)</w:t>
            </w:r>
          </w:p>
        </w:tc>
        <w:tc>
          <w:tcPr>
            <w:tcW w:w="846"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2.0%</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2.0%</w:t>
            </w:r>
          </w:p>
        </w:tc>
        <w:tc>
          <w:tcPr>
            <w:tcW w:w="1000" w:type="pct"/>
          </w:tcPr>
          <w:p w:rsidR="00614351" w:rsidRPr="00CA1271" w:rsidRDefault="00614351" w:rsidP="00B31142">
            <w:pPr>
              <w:jc w:val="center"/>
              <w:cnfStyle w:val="000000000000" w:firstRow="0" w:lastRow="0" w:firstColumn="0" w:lastColumn="0" w:oddVBand="0" w:evenVBand="0" w:oddHBand="0" w:evenHBand="0" w:firstRowFirstColumn="0" w:firstRowLastColumn="0" w:lastRowFirstColumn="0" w:lastRowLastColumn="0"/>
              <w:rPr>
                <w:rFonts w:cstheme="minorHAnsi"/>
                <w:szCs w:val="18"/>
              </w:rPr>
            </w:pPr>
            <w:r w:rsidRPr="00CA1271">
              <w:rPr>
                <w:rFonts w:cstheme="minorHAnsi"/>
                <w:szCs w:val="18"/>
              </w:rPr>
              <w:t>2.0%</w:t>
            </w:r>
          </w:p>
        </w:tc>
      </w:tr>
    </w:tbl>
    <w:p w:rsidR="005C42DB" w:rsidRPr="00CA1271" w:rsidRDefault="005C42DB" w:rsidP="00ED0CA9">
      <w:pPr>
        <w:pStyle w:val="Heading2"/>
      </w:pPr>
      <w:bookmarkStart w:id="35" w:name="_Toc42014724"/>
      <w:r w:rsidRPr="00CA1271">
        <w:t>Consultations</w:t>
      </w:r>
      <w:bookmarkEnd w:id="35"/>
    </w:p>
    <w:p w:rsidR="00665933" w:rsidRPr="00CA1271" w:rsidRDefault="00773E00" w:rsidP="002A437A">
      <w:pPr>
        <w:rPr>
          <w:rFonts w:cs="Arial"/>
        </w:rPr>
      </w:pPr>
      <w:r w:rsidRPr="00CA1271">
        <w:rPr>
          <w:rFonts w:cs="Arial"/>
        </w:rPr>
        <w:t xml:space="preserve">The </w:t>
      </w:r>
      <w:r w:rsidRPr="00CA1271">
        <w:rPr>
          <w:rFonts w:cs="Arial"/>
          <w:i/>
        </w:rPr>
        <w:t>Issues P</w:t>
      </w:r>
      <w:r w:rsidR="00665933" w:rsidRPr="00CA1271">
        <w:rPr>
          <w:rFonts w:cs="Arial"/>
          <w:i/>
        </w:rPr>
        <w:t>aper</w:t>
      </w:r>
      <w:r w:rsidR="00665933" w:rsidRPr="00CA1271">
        <w:rPr>
          <w:rFonts w:cs="Arial"/>
        </w:rPr>
        <w:t xml:space="preserve"> presented a number of issues that had been raised by the sector, including:</w:t>
      </w:r>
    </w:p>
    <w:p w:rsidR="00665933" w:rsidRPr="00CA1271" w:rsidRDefault="00665933" w:rsidP="00ED0CA9">
      <w:pPr>
        <w:pStyle w:val="DotPoint"/>
      </w:pPr>
      <w:r w:rsidRPr="00CA1271">
        <w:t>Whether it is easy to determine the level of intensity of a support?</w:t>
      </w:r>
    </w:p>
    <w:p w:rsidR="00665933" w:rsidRPr="00CA1271" w:rsidRDefault="00665933" w:rsidP="00ED0CA9">
      <w:pPr>
        <w:pStyle w:val="DotPoint"/>
      </w:pPr>
      <w:r w:rsidRPr="00CA1271">
        <w:t xml:space="preserve">Whether it is easy to determine the time of day </w:t>
      </w:r>
      <w:r w:rsidR="000A5D9B" w:rsidRPr="00CA1271">
        <w:t>/</w:t>
      </w:r>
      <w:r w:rsidRPr="00CA1271">
        <w:t xml:space="preserve"> day of week </w:t>
      </w:r>
      <w:r w:rsidR="000A5D9B" w:rsidRPr="00CA1271">
        <w:t>a</w:t>
      </w:r>
      <w:r w:rsidRPr="00CA1271">
        <w:t xml:space="preserve"> support is provided?</w:t>
      </w:r>
    </w:p>
    <w:p w:rsidR="00665933" w:rsidRPr="00CA1271" w:rsidRDefault="00665933" w:rsidP="00ED0CA9">
      <w:pPr>
        <w:pStyle w:val="DotPoint"/>
      </w:pPr>
      <w:r w:rsidRPr="00CA1271">
        <w:t>Whether providers pay allowances to disability support workers on top of their salaries?</w:t>
      </w:r>
    </w:p>
    <w:p w:rsidR="00665933" w:rsidRPr="00CA1271" w:rsidRDefault="00665933" w:rsidP="00ED0CA9">
      <w:pPr>
        <w:pStyle w:val="DotPoint"/>
      </w:pPr>
      <w:r w:rsidRPr="00CA1271">
        <w:t>Whether the allowance for workers compensation costs is adequate?</w:t>
      </w:r>
    </w:p>
    <w:p w:rsidR="00665933" w:rsidRPr="00CA1271" w:rsidRDefault="00665933" w:rsidP="00ED0CA9">
      <w:pPr>
        <w:pStyle w:val="DotPoint"/>
      </w:pPr>
      <w:r w:rsidRPr="00CA1271">
        <w:t>Whether providers were liable to pay payroll tax?</w:t>
      </w:r>
    </w:p>
    <w:p w:rsidR="00665933" w:rsidRPr="00CA1271" w:rsidRDefault="00665933" w:rsidP="00ED0CA9">
      <w:pPr>
        <w:pStyle w:val="DotPoint"/>
      </w:pPr>
      <w:r w:rsidRPr="00CA1271">
        <w:t>Whether the assumed mix of permanent to casual workers is reasonable?</w:t>
      </w:r>
    </w:p>
    <w:p w:rsidR="00665933" w:rsidRPr="00CA1271" w:rsidRDefault="00665933" w:rsidP="00ED0CA9">
      <w:pPr>
        <w:pStyle w:val="DotPoint"/>
      </w:pPr>
      <w:r w:rsidRPr="00CA1271">
        <w:t>Whether the assumed supervision ratio is reasonable?</w:t>
      </w:r>
    </w:p>
    <w:p w:rsidR="00665933" w:rsidRPr="00CA1271" w:rsidRDefault="00665933" w:rsidP="00ED0CA9">
      <w:pPr>
        <w:pStyle w:val="DotPoint"/>
      </w:pPr>
      <w:r w:rsidRPr="00CA1271">
        <w:t>Whether the assumed utilisation rates are appropriate?</w:t>
      </w:r>
    </w:p>
    <w:p w:rsidR="00665933" w:rsidRPr="00CA1271" w:rsidRDefault="00665933" w:rsidP="00ED0CA9">
      <w:pPr>
        <w:pStyle w:val="DotPoint"/>
      </w:pPr>
      <w:r w:rsidRPr="00CA1271">
        <w:t>Whether casual to permanent staff ratios, utilisation rates and supervision ratios vary by day of the week, or level of workers?</w:t>
      </w:r>
    </w:p>
    <w:p w:rsidR="00665933" w:rsidRPr="00CA1271" w:rsidRDefault="00665933" w:rsidP="00ED0CA9">
      <w:pPr>
        <w:pStyle w:val="DotPoint"/>
      </w:pPr>
      <w:r w:rsidRPr="00CA1271">
        <w:t>Whether the provision for overheads are adequate?</w:t>
      </w:r>
    </w:p>
    <w:p w:rsidR="00665933" w:rsidRPr="00CA1271" w:rsidRDefault="00665933" w:rsidP="00ED0CA9">
      <w:pPr>
        <w:pStyle w:val="DotPoint"/>
      </w:pPr>
      <w:r w:rsidRPr="00CA1271">
        <w:t>Whether the allowance for margin is sufficient?</w:t>
      </w:r>
    </w:p>
    <w:p w:rsidR="00665933" w:rsidRPr="00CA1271" w:rsidRDefault="00665933" w:rsidP="00F17237">
      <w:pPr>
        <w:pStyle w:val="Heading3"/>
      </w:pPr>
      <w:bookmarkStart w:id="36" w:name="_Toc37096068"/>
      <w:r w:rsidRPr="00CA1271">
        <w:t>High intensity supports</w:t>
      </w:r>
      <w:bookmarkEnd w:id="36"/>
    </w:p>
    <w:p w:rsidR="00665933" w:rsidRPr="00CA1271" w:rsidRDefault="00665933" w:rsidP="002A437A">
      <w:r w:rsidRPr="00CA1271">
        <w:t xml:space="preserve">Feedback from the provider community indicated a desire for reform of the definitions used in the </w:t>
      </w:r>
      <w:r w:rsidRPr="00CA1271">
        <w:rPr>
          <w:i/>
        </w:rPr>
        <w:t>NDIS Price Guide</w:t>
      </w:r>
      <w:r w:rsidRPr="00CA1271">
        <w:t xml:space="preserve">. Most providers considered that the definition of higher intensity supports </w:t>
      </w:r>
      <w:r w:rsidR="00A102AA" w:rsidRPr="00CA1271">
        <w:t>were</w:t>
      </w:r>
      <w:r w:rsidRPr="00CA1271">
        <w:t xml:space="preserve"> unclear and too complex, in addition to creating difficulty for participants. A number of submissions suggested that an assessment tool should be developed to aid in the classification of the intensity of supports and some providers had actually developed such tools for internal use. </w:t>
      </w:r>
    </w:p>
    <w:p w:rsidR="00665933" w:rsidRPr="00CA1271" w:rsidRDefault="00665933" w:rsidP="002A437A">
      <w:r w:rsidRPr="00CA1271">
        <w:t>Some providers recommended collapsing the distinction between intensity levels, either entirely or in part as a means of lowering the administrative burden and saving time. It was further suggested that providers should be able to rely on reports from medical specialists to determine the appropriate intensity level of a support. There were also suggestions that the level of intensity of supports needs to be agreed upon when developing participa</w:t>
      </w:r>
      <w:r w:rsidR="00A102AA" w:rsidRPr="00CA1271">
        <w:t xml:space="preserve">nts’ plan and included in the </w:t>
      </w:r>
      <w:r w:rsidRPr="00CA1271">
        <w:t>plan for ease of interpretation and application to agreements.</w:t>
      </w:r>
    </w:p>
    <w:p w:rsidR="00665933" w:rsidRPr="00CA1271" w:rsidRDefault="00665933" w:rsidP="002A437A">
      <w:r w:rsidRPr="00CA1271">
        <w:t xml:space="preserve">One provider pointed out that some of the current criteria for high intensity supports created a perverse incentive to manage participants’ needs sub-optimally. </w:t>
      </w:r>
      <w:r w:rsidR="00994A3D" w:rsidRPr="00CA1271">
        <w:t>Some providers also argued that s</w:t>
      </w:r>
      <w:r w:rsidRPr="00CA1271">
        <w:t xml:space="preserve">ome higher intensity supports are conditioned on the number of instances of challenging behaviours requiring management per shift, whereas effective care would ideally result in </w:t>
      </w:r>
      <w:r w:rsidR="00782DF5" w:rsidRPr="00CA1271">
        <w:t>fewer</w:t>
      </w:r>
      <w:r w:rsidRPr="00CA1271">
        <w:t xml:space="preserve"> instances of these behaviours. If those behaviours were successfully managed, the support would attract a lower rate of remuneration under the current criteria. Accordingly, the provider recommended adopting guidelines for supporting clients with behaviours of concern that </w:t>
      </w:r>
      <w:r w:rsidR="001E0749" w:rsidRPr="00CA1271">
        <w:t>did not</w:t>
      </w:r>
      <w:r w:rsidRPr="00CA1271">
        <w:t xml:space="preserve"> rely on a “frequent and continual” criteri</w:t>
      </w:r>
      <w:r w:rsidR="001E0749" w:rsidRPr="00CA1271">
        <w:t>on</w:t>
      </w:r>
      <w:r w:rsidRPr="00CA1271">
        <w:t xml:space="preserve"> but instead rel</w:t>
      </w:r>
      <w:r w:rsidR="001E0749" w:rsidRPr="00CA1271">
        <w:t>ied</w:t>
      </w:r>
      <w:r w:rsidRPr="00CA1271">
        <w:t xml:space="preserve"> on the strategies put in place by the provider or a behaviour support specialist.</w:t>
      </w:r>
    </w:p>
    <w:p w:rsidR="00665933" w:rsidRPr="00CA1271" w:rsidRDefault="006A7531" w:rsidP="002A437A">
      <w:r w:rsidRPr="00CA1271">
        <w:t>Some</w:t>
      </w:r>
      <w:r w:rsidR="00665933" w:rsidRPr="00CA1271">
        <w:t xml:space="preserve"> submissions </w:t>
      </w:r>
      <w:r w:rsidRPr="00CA1271">
        <w:t>argued</w:t>
      </w:r>
      <w:r w:rsidR="00665933" w:rsidRPr="00CA1271">
        <w:t xml:space="preserve"> that registered providers cannot deliver supports to participants with high intensity needs without the required skills and training. Therefore, they suggested that support levels should be linked to the requirements of the participant and that classification according to the level of skill and experience of the worker should be removed. Submissions to the review also argued for an increase in the price limits for higher intensity supports to reflect their additional cost of delivery.</w:t>
      </w:r>
      <w:r w:rsidRPr="00CA1271">
        <w:t xml:space="preserve"> The majority of providers consulted, however, favoured price limits linked to the skills ad competencies of staff.</w:t>
      </w:r>
    </w:p>
    <w:p w:rsidR="00665933" w:rsidRPr="00CA1271" w:rsidRDefault="004C7065" w:rsidP="00F17237">
      <w:pPr>
        <w:pStyle w:val="Heading3"/>
      </w:pPr>
      <w:bookmarkStart w:id="37" w:name="_Toc37096069"/>
      <w:r w:rsidRPr="00CA1271">
        <w:t xml:space="preserve">Leave Provisions and </w:t>
      </w:r>
      <w:r w:rsidR="00665933" w:rsidRPr="00CA1271">
        <w:t>Shift Definitions</w:t>
      </w:r>
      <w:bookmarkEnd w:id="37"/>
    </w:p>
    <w:p w:rsidR="00665933" w:rsidRPr="00CA1271" w:rsidRDefault="00665933" w:rsidP="002A437A">
      <w:r w:rsidRPr="00CA1271">
        <w:t xml:space="preserve">The vast majority of submissions indicated that there were no difficulties in determining the time of day and day of week that a support was provided. The demarcations outlined in the </w:t>
      </w:r>
      <w:r w:rsidRPr="00CA1271">
        <w:rPr>
          <w:i/>
        </w:rPr>
        <w:t xml:space="preserve">SCHADS Award </w:t>
      </w:r>
      <w:r w:rsidRPr="00CA1271">
        <w:t>were considered to be very clear and easy to comply with in practice. The only area of confusion surrounded afternoon and night rates. It was suggested the afternoon rate start time be brought forward to commence from 6pm, because the term “afternoon” was causing some confusion for participants given it currently commences at 8pm.</w:t>
      </w:r>
    </w:p>
    <w:p w:rsidR="00F17237" w:rsidRPr="00CA1271" w:rsidRDefault="00F17237" w:rsidP="00F17237">
      <w:r w:rsidRPr="00CA1271">
        <w:t>Some providers indicated that time of day provisio</w:t>
      </w:r>
      <w:r w:rsidR="00A102AA" w:rsidRPr="00CA1271">
        <w:t>ns were problematic. If a worker</w:t>
      </w:r>
      <w:r w:rsidRPr="00CA1271">
        <w:t xml:space="preserve"> was required to provide a support past 8pm then the award </w:t>
      </w:r>
      <w:r w:rsidR="00A102AA" w:rsidRPr="00CA1271">
        <w:t>required</w:t>
      </w:r>
      <w:r w:rsidRPr="00CA1271">
        <w:t xml:space="preserve"> they be paid at the penalty rate for the entire shift. A lot of supports are provided at 8pm.</w:t>
      </w:r>
      <w:r w:rsidR="00A102AA" w:rsidRPr="00CA1271">
        <w:t xml:space="preserve"> Other providers indicated that they understood that it was their responsibility to manage their workforce and that the current arr</w:t>
      </w:r>
      <w:r w:rsidR="001E0749" w:rsidRPr="00CA1271">
        <w:t>an</w:t>
      </w:r>
      <w:r w:rsidR="00A102AA" w:rsidRPr="00CA1271">
        <w:t xml:space="preserve">gements, which were concerned with the time that the support was delivered rather than the shift that the worker was employed on, were appropriate. Not all providers were aware of the provision in the </w:t>
      </w:r>
      <w:r w:rsidR="00A102AA" w:rsidRPr="00CA1271">
        <w:rPr>
          <w:i/>
        </w:rPr>
        <w:t>NDIS Price Guide</w:t>
      </w:r>
      <w:r w:rsidR="00A102AA" w:rsidRPr="00CA1271">
        <w:t xml:space="preserve"> that allowed providers to charge a higher rate for an entire support if the support crossed over the boundary between two pricing points.</w:t>
      </w:r>
    </w:p>
    <w:p w:rsidR="00665933" w:rsidRPr="00CA1271" w:rsidRDefault="00665933" w:rsidP="002A437A">
      <w:r w:rsidRPr="00CA1271">
        <w:t xml:space="preserve">Providers highlighted that some states and territories have additional public holidays, leading to inconsistency in the application of the cost model across states and higher labour costs for organisations in those states. </w:t>
      </w:r>
      <w:r w:rsidR="005D139C" w:rsidRPr="00CA1271">
        <w:t>One provider noted that Queensland had 13.25 gazetted public holidays in the 2020 calendar year and that an adjustment should be made for this in the cost model. Another provide</w:t>
      </w:r>
      <w:r w:rsidR="00190321" w:rsidRPr="00CA1271">
        <w:t>r</w:t>
      </w:r>
      <w:r w:rsidR="005D139C" w:rsidRPr="00CA1271">
        <w:t xml:space="preserve"> noted that workers in the Northern Territory are typically permitted one or two additional weeks of annual leave. </w:t>
      </w:r>
      <w:r w:rsidRPr="00CA1271">
        <w:t xml:space="preserve">Some providers further </w:t>
      </w:r>
      <w:r w:rsidR="00190321" w:rsidRPr="00CA1271">
        <w:t xml:space="preserve">mentioned </w:t>
      </w:r>
      <w:r w:rsidRPr="00CA1271">
        <w:t>that some regional areas have half day public holidays and that these were not provided for in the model. In relation to public holidays more generally, it was suggested that disclaimers should be provided in plans, outlining that higher rates would be charged for public holidays.</w:t>
      </w:r>
    </w:p>
    <w:p w:rsidR="004C7065" w:rsidRPr="00CA1271" w:rsidRDefault="004C7065" w:rsidP="004C7065">
      <w:r w:rsidRPr="00CA1271">
        <w:t>Some providers highlighted that under the SCHADS Award workers were entitled to an additional week of annual leave if they worked in excess of 10 weekends in a year. The current cost model currently makes no explicit allowance for that entitlement because it assumes businesses will run their operations efficiently and only incur this additional liability where the benefits of doing so outweigh the cost. One provider reported providing an additional week of leave for worker supporting participants with complex needs. Providers also complained that the cost model made no explicit provision for overtime payments.</w:t>
      </w:r>
    </w:p>
    <w:p w:rsidR="00665933" w:rsidRPr="00CA1271" w:rsidRDefault="00665933" w:rsidP="002A437A">
      <w:r w:rsidRPr="00CA1271">
        <w:t>Feedback from providers indicated concern about broken shifts. Broken shifts occur when supports are provided by workers across less than the full extent of a shift. Some providers reported that splitting shifts was difficult due to the additional time it took to roster and claim exactly, and that it led them to incur losses when splitting claims across shifts. It was recommended that if any part of a shift falls into a penalty rate, then the penalty rate should apply to the whole shift. It was argued that this would align claiming to wage costs.</w:t>
      </w:r>
    </w:p>
    <w:p w:rsidR="00665933" w:rsidRPr="00CA1271" w:rsidRDefault="00665933" w:rsidP="002A437A">
      <w:r w:rsidRPr="00CA1271">
        <w:t>Only limited feedback was received in submissions on the issue of whether the casual to permanent staff ratio, utilisation rate and supervision ratios varied depending on the day of the week, or for different levels of workers. Some providers suggested it was reasonable to assume that the elements of the cost model were constant across the days of the week, and for different levels of workers. However, there was feedback to suggest that more casuals were engaged to provide supports on weekends and evenings and that flexibility should be provided for cost model assumptions to vary by day of the week and level of worker.</w:t>
      </w:r>
    </w:p>
    <w:p w:rsidR="00665933" w:rsidRPr="00CA1271" w:rsidRDefault="00665933" w:rsidP="00A102AA">
      <w:pPr>
        <w:pStyle w:val="Heading3"/>
      </w:pPr>
      <w:bookmarkStart w:id="38" w:name="_Toc37096070"/>
      <w:r w:rsidRPr="00CA1271">
        <w:t>Casual and permanent staff mix</w:t>
      </w:r>
      <w:bookmarkEnd w:id="38"/>
    </w:p>
    <w:p w:rsidR="00A102AA" w:rsidRPr="00CA1271" w:rsidRDefault="00665933" w:rsidP="00A102AA">
      <w:r w:rsidRPr="00CA1271">
        <w:t>Many providers indicated that the 80</w:t>
      </w:r>
      <w:r w:rsidR="00F37B73" w:rsidRPr="00CA1271">
        <w:t>%</w:t>
      </w:r>
      <w:r w:rsidRPr="00CA1271">
        <w:t xml:space="preserve"> permanent to </w:t>
      </w:r>
      <w:r w:rsidR="00A102AA" w:rsidRPr="00CA1271">
        <w:t>20</w:t>
      </w:r>
      <w:r w:rsidR="00E80A7C" w:rsidRPr="00CA1271">
        <w:t>%</w:t>
      </w:r>
      <w:r w:rsidR="00A102AA" w:rsidRPr="00CA1271">
        <w:t xml:space="preserve"> </w:t>
      </w:r>
      <w:r w:rsidRPr="00CA1271">
        <w:t>casual staff ratio used in the cost model was no longer appropriate and that there was a strong trend toward increased casual employment in the sector. Permanent to casual ratios reported by providers varied widely across submissions and averaged out around a roughly even split. However, subject to the caveat that there were limited responses, submissions tended to point toward modalities within the industry of either 80-20 permanent to casual, or 20-80 permanent to casual.</w:t>
      </w:r>
      <w:r w:rsidR="00A102AA" w:rsidRPr="00CA1271">
        <w:t xml:space="preserve"> Members of the Working Group on the Cost Model agreed that the current casual ratio assumption is too low. They considered casuals were closer to 40% </w:t>
      </w:r>
      <w:r w:rsidR="00A102AA" w:rsidRPr="00CA1271">
        <w:noBreakHyphen/>
        <w:t xml:space="preserve"> across metro, regional and remote areas.</w:t>
      </w:r>
    </w:p>
    <w:p w:rsidR="00665933" w:rsidRPr="00CA1271" w:rsidRDefault="00665933" w:rsidP="002A437A">
      <w:r w:rsidRPr="00CA1271">
        <w:t>A number of submissions indicated that the permanent to casual split could change throughout the year and depended of a range of factors, particularly the availability of staff, and that staff employed on public holidays and weekends were virtually always casuals. Feedback from providers also pointed to the ratio of permanent to casual staff varying widely depending on the nature of the service being provided. The increased casualization of the workforce was being driven by participant demand and participant expectations for flexibility.</w:t>
      </w:r>
      <w:r w:rsidR="005D139C" w:rsidRPr="00CA1271">
        <w:t xml:space="preserve"> </w:t>
      </w:r>
      <w:r w:rsidR="00A102AA" w:rsidRPr="00CA1271">
        <w:t>Providers also pointed out that e</w:t>
      </w:r>
      <w:r w:rsidRPr="00CA1271">
        <w:t>vening supports made a high use of casuals</w:t>
      </w:r>
      <w:r w:rsidR="00A102AA" w:rsidRPr="00CA1271">
        <w:t>,</w:t>
      </w:r>
      <w:r w:rsidRPr="00CA1271">
        <w:t xml:space="preserve"> which raised costs for prov</w:t>
      </w:r>
      <w:r w:rsidR="005D139C" w:rsidRPr="00CA1271">
        <w:t>iders and that the current cost model assumption that the ratio of</w:t>
      </w:r>
      <w:r w:rsidR="00647B74" w:rsidRPr="00CA1271">
        <w:t xml:space="preserve"> </w:t>
      </w:r>
      <w:r w:rsidR="005D139C" w:rsidRPr="00CA1271">
        <w:t>permanent to casual staff was the same for all shifts was not appropriate.</w:t>
      </w:r>
    </w:p>
    <w:p w:rsidR="00665933" w:rsidRPr="00CA1271" w:rsidRDefault="00665933" w:rsidP="002A437A">
      <w:r w:rsidRPr="00CA1271">
        <w:t xml:space="preserve">Some </w:t>
      </w:r>
      <w:r w:rsidR="00A102AA" w:rsidRPr="00CA1271">
        <w:t>providers indicated that they were</w:t>
      </w:r>
      <w:r w:rsidRPr="00CA1271">
        <w:t xml:space="preserve"> attempting to move to a more permanent workforce but this is difficult in a sector where flexibility is often required.</w:t>
      </w:r>
      <w:r w:rsidR="00A102AA" w:rsidRPr="00CA1271">
        <w:t xml:space="preserve"> </w:t>
      </w:r>
      <w:r w:rsidRPr="00CA1271">
        <w:t xml:space="preserve">Some </w:t>
      </w:r>
      <w:r w:rsidR="00A102AA" w:rsidRPr="00CA1271">
        <w:t xml:space="preserve">providers reported that they were innovating </w:t>
      </w:r>
      <w:r w:rsidRPr="00CA1271">
        <w:t>and experimenting with permanent casual arrangements. Such workers have guaranteed minimum hours, with the choice of working more when they wish to.</w:t>
      </w:r>
    </w:p>
    <w:p w:rsidR="00665933" w:rsidRPr="00CA1271" w:rsidRDefault="00665933" w:rsidP="002A437A">
      <w:r w:rsidRPr="00CA1271">
        <w:t xml:space="preserve">Some members </w:t>
      </w:r>
      <w:r w:rsidR="00A102AA" w:rsidRPr="00CA1271">
        <w:t xml:space="preserve">of the Cost Model Working Group </w:t>
      </w:r>
      <w:r w:rsidRPr="00CA1271">
        <w:t>called for the cost model to allow for ag</w:t>
      </w:r>
      <w:r w:rsidR="00A102AA" w:rsidRPr="00CA1271">
        <w:t>ency workers, who are around 25</w:t>
      </w:r>
      <w:r w:rsidR="00E80A7C" w:rsidRPr="00CA1271">
        <w:t>%</w:t>
      </w:r>
      <w:r w:rsidRPr="00CA1271">
        <w:t xml:space="preserve"> more expensive, but as “rostering is more of an art than a science” sometimes need to be used when casuals are not available. Although others noted they never used agency workers.</w:t>
      </w:r>
    </w:p>
    <w:p w:rsidR="00665933" w:rsidRPr="00CA1271" w:rsidRDefault="004347B5" w:rsidP="00A102AA">
      <w:pPr>
        <w:pStyle w:val="Heading3"/>
      </w:pPr>
      <w:bookmarkStart w:id="39" w:name="_Toc37096072"/>
      <w:r w:rsidRPr="00CA1271">
        <w:t>Uti</w:t>
      </w:r>
      <w:r w:rsidR="00665933" w:rsidRPr="00CA1271">
        <w:t>lisation</w:t>
      </w:r>
      <w:bookmarkEnd w:id="39"/>
    </w:p>
    <w:p w:rsidR="00665933" w:rsidRPr="00CA1271" w:rsidRDefault="00665933" w:rsidP="002A437A">
      <w:r w:rsidRPr="00CA1271">
        <w:t>The cost model recognises that not all working hours are billable. Allowances are made in the cost model for legally required break periods, staff training and administrative tasks. The cost per billable hour for disability support workers in the cost model is inflated to account for less than complete labour utilisation. Training requirements are assumed to be higher for high intensity and very high intensity workers, so allowances for training time in the cost model is reflected in lower levels of utilisation for these workers.</w:t>
      </w:r>
    </w:p>
    <w:p w:rsidR="00665933" w:rsidRPr="00CA1271" w:rsidRDefault="00665933" w:rsidP="002A437A">
      <w:r w:rsidRPr="00CA1271">
        <w:t>Provider submissions challenged the operating benchmarks used in the cost model with respect to utilisation rates. The cost model assumes an efficient utilisation rate of 92</w:t>
      </w:r>
      <w:r w:rsidR="00F37B73" w:rsidRPr="00CA1271">
        <w:t>%</w:t>
      </w:r>
      <w:r w:rsidRPr="00CA1271">
        <w:t xml:space="preserve"> for standard intensity disability support workers and lower rates for higher intensity workers. Feedback from most providers indicated that the rate of utilisation assumed in the model was too high, with some providers further suggesting that the cost model did not adequately reflect sufficient time for training and development of staff. A number of providers also contended that staff turnover increased training time and that the cost model had to make allowance for training associated with staff turnover.</w:t>
      </w:r>
    </w:p>
    <w:p w:rsidR="00665933" w:rsidRPr="00CA1271" w:rsidRDefault="00665933" w:rsidP="002A437A">
      <w:r w:rsidRPr="00CA1271">
        <w:t>However, while there was almost universal feedback from providers that the efficient rates of labour utilisation assumed in the cost model were too high, there were very limited responses outlining actual rates of staff utilisation.</w:t>
      </w:r>
    </w:p>
    <w:p w:rsidR="00665933" w:rsidRPr="00CA1271" w:rsidRDefault="00665933" w:rsidP="002A437A">
      <w:r w:rsidRPr="00CA1271">
        <w:t xml:space="preserve">Feedback from some providers indicated that utilisation rates were lower for part-time workers. The inability to schedule therapy sessions with participants back to back results in lower levels of utilisation, as does travel between shifts. </w:t>
      </w:r>
    </w:p>
    <w:p w:rsidR="005D139C" w:rsidRPr="00CA1271" w:rsidRDefault="005D139C" w:rsidP="005D139C">
      <w:r w:rsidRPr="00CA1271">
        <w:t>Some members of the Cost Mode</w:t>
      </w:r>
      <w:r w:rsidR="00071F6A" w:rsidRPr="00CA1271">
        <w:t>l</w:t>
      </w:r>
      <w:r w:rsidRPr="00CA1271">
        <w:t xml:space="preserve"> Working Group commented that they had 30-40</w:t>
      </w:r>
      <w:r w:rsidR="00E80A7C" w:rsidRPr="00CA1271">
        <w:t>%</w:t>
      </w:r>
      <w:r w:rsidRPr="00CA1271">
        <w:t xml:space="preserve"> turnover in a year and that training and induction time is close to double with such turnover compared to a stable team. This is exacerbated with complex needs and behaviour, as there is higher turnover of staff. Higher complexity also requires much more training, team meetings, debriefs and compulsory personal development, which all lower utilisation. </w:t>
      </w:r>
    </w:p>
    <w:p w:rsidR="00665933" w:rsidRPr="00CA1271" w:rsidRDefault="00665933" w:rsidP="004C7065">
      <w:pPr>
        <w:pStyle w:val="Heading3"/>
      </w:pPr>
      <w:bookmarkStart w:id="40" w:name="_Toc37096073"/>
      <w:r w:rsidRPr="00CA1271">
        <w:t>Supervision ratios</w:t>
      </w:r>
      <w:bookmarkEnd w:id="40"/>
    </w:p>
    <w:p w:rsidR="00665933" w:rsidRPr="00CA1271" w:rsidRDefault="00665933" w:rsidP="002A437A">
      <w:r w:rsidRPr="00CA1271">
        <w:t>The cost model provides for the cost of supervising disability support workers. The cost model assumes an efficient ratio of workers to supervisors of 11 to 1. The cost model assumes that supervisors have the same shift loadings, leave entitlements and salary on-costs as the workers they manage, and that higher skilled workers require higher skilled supervisors.</w:t>
      </w:r>
    </w:p>
    <w:p w:rsidR="00665933" w:rsidRPr="00CA1271" w:rsidRDefault="00665933" w:rsidP="002A437A">
      <w:r w:rsidRPr="00CA1271">
        <w:t>Submissions from most providers contended that the supervision ratio used in the cost model was too high and unrealistic compared to actual ratios. However, some providers indicated that they were able to achieve higher spans of control but at the expense of much higher hourly rates of remuneration. Limited feedback was provided in submissions on the actual ratio of supervisors to workers achieved by providers.</w:t>
      </w:r>
    </w:p>
    <w:p w:rsidR="00665933" w:rsidRPr="00CA1271" w:rsidRDefault="00665933" w:rsidP="002A437A">
      <w:r w:rsidRPr="00CA1271">
        <w:t>Spans of control were reported to differ markedly depending on the number of casual staff employed by a provider. Workforces dominated by casual staff could have supervision ratios orders of magnitude higher than the 11 to 1 benchmark. There were suggestions that the supervision ratio should be based on headcount rather than the number of full-time equivalent workers, in part because providers maintained that disability support workers rarely work full</w:t>
      </w:r>
      <w:r w:rsidRPr="00CA1271">
        <w:noBreakHyphen/>
        <w:t>time hours. One provider counselled that the supervision ratio is actually more closely linked to the number of participants serviced, rather that the number of staff supervised.</w:t>
      </w:r>
    </w:p>
    <w:p w:rsidR="00665933" w:rsidRPr="00CA1271" w:rsidRDefault="00665933" w:rsidP="002A437A">
      <w:r w:rsidRPr="00CA1271">
        <w:t>The supervision ratio was also reported to varying depending on the nature of the particular support provided, the experience level of staff and the quality of care. Some providers advised that</w:t>
      </w:r>
      <w:r w:rsidR="009B753D" w:rsidRPr="00CA1271">
        <w:t xml:space="preserve"> partici</w:t>
      </w:r>
      <w:r w:rsidR="00190321" w:rsidRPr="00CA1271">
        <w:t>pants who required</w:t>
      </w:r>
      <w:r w:rsidRPr="00CA1271">
        <w:t xml:space="preserve"> level 2 and level 3 </w:t>
      </w:r>
      <w:r w:rsidR="00190321" w:rsidRPr="00CA1271">
        <w:t xml:space="preserve">supports </w:t>
      </w:r>
      <w:r w:rsidRPr="00CA1271">
        <w:t>required more intensive support and in turn more intensive supervision, they suggested that the supervision ratio should be elevated for more intensive supports. There appeared to be considerable agreement amongst providers that it was difficult to set a generic assumption for the supervision ratio, in part because it varied as a result of a range of factors, particularly the rate of casualization of the workforce.</w:t>
      </w:r>
    </w:p>
    <w:p w:rsidR="004C7065" w:rsidRPr="00CA1271" w:rsidRDefault="004C7065" w:rsidP="002A437A">
      <w:r w:rsidRPr="00CA1271">
        <w:t>Members of the Cost Model Working Group raised two further issues</w:t>
      </w:r>
      <w:r w:rsidR="00782DF5" w:rsidRPr="00CA1271">
        <w:t>.</w:t>
      </w:r>
    </w:p>
    <w:p w:rsidR="004C7065" w:rsidRPr="00CA1271" w:rsidRDefault="004C7065" w:rsidP="004C7065">
      <w:pPr>
        <w:pStyle w:val="DotPoint"/>
      </w:pPr>
      <w:r w:rsidRPr="00CA1271">
        <w:t>Supervision ratios were higher for casuals. More casuals are required to deliver the same number of hours and each requires supervision. Thus, twice as much supervision could be required for casuals over full-time employees.</w:t>
      </w:r>
    </w:p>
    <w:p w:rsidR="004C7065" w:rsidRPr="00CA1271" w:rsidRDefault="004C7065" w:rsidP="004C7065">
      <w:pPr>
        <w:pStyle w:val="DotPoint"/>
      </w:pPr>
      <w:r w:rsidRPr="00CA1271">
        <w:t>One provider indicated that it was possible to have 3 or 4 workers completing the total hours of one full-time employee, and it is the number of people supervised that matters for costs, not the number of hours delivered.</w:t>
      </w:r>
    </w:p>
    <w:p w:rsidR="00665933" w:rsidRPr="00CA1271" w:rsidRDefault="00665933" w:rsidP="004C7065">
      <w:pPr>
        <w:pStyle w:val="Heading3"/>
      </w:pPr>
      <w:r w:rsidRPr="00CA1271">
        <w:t>Allowances</w:t>
      </w:r>
    </w:p>
    <w:p w:rsidR="00665933" w:rsidRPr="00CA1271" w:rsidRDefault="00665933" w:rsidP="002A437A">
      <w:r w:rsidRPr="00CA1271">
        <w:t>Submissions indicated that providers paid a range of additional worker allowances that were not by required by law. These entitlements individually were not significant but collectively were non-trivial</w:t>
      </w:r>
      <w:r w:rsidR="00190321" w:rsidRPr="00CA1271">
        <w:t>. S</w:t>
      </w:r>
      <w:r w:rsidRPr="00CA1271">
        <w:t>ome providers indicated that they were around 1</w:t>
      </w:r>
      <w:r w:rsidR="00F37B73" w:rsidRPr="00CA1271">
        <w:t>%</w:t>
      </w:r>
      <w:r w:rsidRPr="00CA1271">
        <w:t xml:space="preserve"> of base salary costs. The allowances paid by providers were broad-ranging, and included:</w:t>
      </w:r>
    </w:p>
    <w:p w:rsidR="00665933" w:rsidRPr="00CA1271" w:rsidRDefault="00665933" w:rsidP="007A045B">
      <w:pPr>
        <w:numPr>
          <w:ilvl w:val="0"/>
          <w:numId w:val="10"/>
        </w:numPr>
      </w:pPr>
      <w:r w:rsidRPr="00CA1271">
        <w:t>travel allowances;</w:t>
      </w:r>
    </w:p>
    <w:p w:rsidR="00665933" w:rsidRPr="00CA1271" w:rsidRDefault="00665933" w:rsidP="007A045B">
      <w:pPr>
        <w:numPr>
          <w:ilvl w:val="0"/>
          <w:numId w:val="10"/>
        </w:numPr>
      </w:pPr>
      <w:r w:rsidRPr="00CA1271">
        <w:t>regional allowances;</w:t>
      </w:r>
    </w:p>
    <w:p w:rsidR="00665933" w:rsidRPr="00CA1271" w:rsidRDefault="00665933" w:rsidP="007A045B">
      <w:pPr>
        <w:numPr>
          <w:ilvl w:val="0"/>
          <w:numId w:val="10"/>
        </w:numPr>
      </w:pPr>
      <w:r w:rsidRPr="00CA1271">
        <w:t>telephone allowances;</w:t>
      </w:r>
    </w:p>
    <w:p w:rsidR="00665933" w:rsidRPr="00CA1271" w:rsidRDefault="00665933" w:rsidP="007A045B">
      <w:pPr>
        <w:numPr>
          <w:ilvl w:val="0"/>
          <w:numId w:val="10"/>
        </w:numPr>
      </w:pPr>
      <w:r w:rsidRPr="00CA1271">
        <w:t>meal allowances;</w:t>
      </w:r>
    </w:p>
    <w:p w:rsidR="00665933" w:rsidRPr="00CA1271" w:rsidRDefault="00665933" w:rsidP="007A045B">
      <w:pPr>
        <w:numPr>
          <w:ilvl w:val="0"/>
          <w:numId w:val="10"/>
        </w:numPr>
      </w:pPr>
      <w:r w:rsidRPr="00CA1271">
        <w:t>standby allowance;</w:t>
      </w:r>
    </w:p>
    <w:p w:rsidR="00665933" w:rsidRPr="00CA1271" w:rsidRDefault="00665933" w:rsidP="007A045B">
      <w:pPr>
        <w:numPr>
          <w:ilvl w:val="0"/>
          <w:numId w:val="10"/>
        </w:numPr>
      </w:pPr>
      <w:r w:rsidRPr="00CA1271">
        <w:t>shift leader allowances;</w:t>
      </w:r>
    </w:p>
    <w:p w:rsidR="00665933" w:rsidRPr="00CA1271" w:rsidRDefault="00665933" w:rsidP="007A045B">
      <w:pPr>
        <w:numPr>
          <w:ilvl w:val="0"/>
          <w:numId w:val="10"/>
        </w:numPr>
      </w:pPr>
      <w:r w:rsidRPr="00CA1271">
        <w:t>foul linen allowances;</w:t>
      </w:r>
    </w:p>
    <w:p w:rsidR="00665933" w:rsidRPr="00CA1271" w:rsidRDefault="00665933" w:rsidP="007A045B">
      <w:pPr>
        <w:numPr>
          <w:ilvl w:val="0"/>
          <w:numId w:val="10"/>
        </w:numPr>
      </w:pPr>
      <w:r w:rsidRPr="00CA1271">
        <w:t>dirty work allowances;</w:t>
      </w:r>
    </w:p>
    <w:p w:rsidR="00665933" w:rsidRPr="00CA1271" w:rsidRDefault="00665933" w:rsidP="007A045B">
      <w:pPr>
        <w:numPr>
          <w:ilvl w:val="0"/>
          <w:numId w:val="10"/>
        </w:numPr>
      </w:pPr>
      <w:r w:rsidRPr="00CA1271">
        <w:t>forklift allowances;</w:t>
      </w:r>
    </w:p>
    <w:p w:rsidR="00665933" w:rsidRPr="00CA1271" w:rsidRDefault="00665933" w:rsidP="007A045B">
      <w:pPr>
        <w:numPr>
          <w:ilvl w:val="0"/>
          <w:numId w:val="10"/>
        </w:numPr>
      </w:pPr>
      <w:r w:rsidRPr="00CA1271">
        <w:t>district allowances;</w:t>
      </w:r>
    </w:p>
    <w:p w:rsidR="00665933" w:rsidRPr="00CA1271" w:rsidRDefault="00665933" w:rsidP="007A045B">
      <w:pPr>
        <w:numPr>
          <w:ilvl w:val="0"/>
          <w:numId w:val="10"/>
        </w:numPr>
      </w:pPr>
      <w:r w:rsidRPr="00CA1271">
        <w:t>performance allowances;</w:t>
      </w:r>
    </w:p>
    <w:p w:rsidR="00665933" w:rsidRPr="00CA1271" w:rsidRDefault="00665933" w:rsidP="007A045B">
      <w:pPr>
        <w:numPr>
          <w:ilvl w:val="0"/>
          <w:numId w:val="10"/>
        </w:numPr>
      </w:pPr>
      <w:r w:rsidRPr="00CA1271">
        <w:t xml:space="preserve">immunisation allowances; </w:t>
      </w:r>
    </w:p>
    <w:p w:rsidR="00665933" w:rsidRPr="00CA1271" w:rsidRDefault="00665933" w:rsidP="007A045B">
      <w:pPr>
        <w:numPr>
          <w:ilvl w:val="0"/>
          <w:numId w:val="10"/>
        </w:numPr>
      </w:pPr>
      <w:r w:rsidRPr="00CA1271">
        <w:t>flu vaccination allowance;</w:t>
      </w:r>
    </w:p>
    <w:p w:rsidR="00665933" w:rsidRPr="00CA1271" w:rsidRDefault="00665933" w:rsidP="007A045B">
      <w:pPr>
        <w:numPr>
          <w:ilvl w:val="0"/>
          <w:numId w:val="10"/>
        </w:numPr>
      </w:pPr>
      <w:r w:rsidRPr="00CA1271">
        <w:t>professional development leave; and</w:t>
      </w:r>
    </w:p>
    <w:p w:rsidR="00665933" w:rsidRPr="00CA1271" w:rsidRDefault="00665933" w:rsidP="007A045B">
      <w:pPr>
        <w:numPr>
          <w:ilvl w:val="0"/>
          <w:numId w:val="10"/>
        </w:numPr>
      </w:pPr>
      <w:proofErr w:type="gramStart"/>
      <w:r w:rsidRPr="00CA1271">
        <w:t>provision</w:t>
      </w:r>
      <w:proofErr w:type="gramEnd"/>
      <w:r w:rsidRPr="00CA1271">
        <w:t xml:space="preserve"> for wellness days.</w:t>
      </w:r>
    </w:p>
    <w:p w:rsidR="00665933" w:rsidRPr="00CA1271" w:rsidRDefault="00665933" w:rsidP="002A437A">
      <w:r w:rsidRPr="00CA1271">
        <w:t xml:space="preserve">One </w:t>
      </w:r>
      <w:r w:rsidR="004C7065" w:rsidRPr="00CA1271">
        <w:t>member of the Cost Model Working Group</w:t>
      </w:r>
      <w:r w:rsidRPr="00CA1271">
        <w:t xml:space="preserve"> mentioned that they pay for First Aid training, and pay the attendant allowance for all attendant care workers who do home visits.</w:t>
      </w:r>
    </w:p>
    <w:p w:rsidR="00665933" w:rsidRPr="00CA1271" w:rsidRDefault="00665933" w:rsidP="004C7065">
      <w:pPr>
        <w:pStyle w:val="Heading3"/>
      </w:pPr>
      <w:r w:rsidRPr="00CA1271">
        <w:t>Payroll Tax</w:t>
      </w:r>
    </w:p>
    <w:p w:rsidR="00665933" w:rsidRPr="00CA1271" w:rsidRDefault="00665933" w:rsidP="002A437A">
      <w:r w:rsidRPr="00CA1271">
        <w:t>The cost model does not include an allowance for payroll tax as most jurisdictions exempt not for profit and smaller organisations from payroll tax.</w:t>
      </w:r>
      <w:r w:rsidR="004C7065" w:rsidRPr="00CA1271">
        <w:t xml:space="preserve"> </w:t>
      </w:r>
      <w:r w:rsidRPr="00CA1271">
        <w:t>The vast majority of submissions reported that providers did not pay payroll tax because they were exempt from the tax. However, a minority of providers reported they were paying payroll tax.</w:t>
      </w:r>
    </w:p>
    <w:p w:rsidR="00665933" w:rsidRPr="00CA1271" w:rsidRDefault="00665933" w:rsidP="004C7065">
      <w:pPr>
        <w:pStyle w:val="Heading3"/>
      </w:pPr>
      <w:r w:rsidRPr="00CA1271">
        <w:t>Workers’ Compensation premiums</w:t>
      </w:r>
    </w:p>
    <w:p w:rsidR="00665933" w:rsidRPr="00CA1271" w:rsidRDefault="00665933" w:rsidP="002A437A">
      <w:r w:rsidRPr="00CA1271">
        <w:t>The cost model allows for other costs related to the salaries of disability support workers. An allowance is made for superannuation, set at the current statutory rate of 9.5</w:t>
      </w:r>
      <w:r w:rsidR="00F37B73" w:rsidRPr="00CA1271">
        <w:t>%</w:t>
      </w:r>
      <w:r w:rsidRPr="00CA1271">
        <w:t xml:space="preserve"> of salary including leave. Provision is also made for workers compensation insurance at a rate of 3.5</w:t>
      </w:r>
      <w:r w:rsidR="00F37B73" w:rsidRPr="00CA1271">
        <w:t>%</w:t>
      </w:r>
      <w:r w:rsidRPr="00CA1271">
        <w:t xml:space="preserve"> of base salary including leave. </w:t>
      </w:r>
    </w:p>
    <w:p w:rsidR="004C7065" w:rsidRPr="00CA1271" w:rsidRDefault="00665933" w:rsidP="004C7065">
      <w:r w:rsidRPr="00CA1271">
        <w:t>Those submissions that detailed the workers compensation premiums paid by providers, reported they were on average 3.5</w:t>
      </w:r>
      <w:r w:rsidR="00F37B73" w:rsidRPr="00CA1271">
        <w:t>%</w:t>
      </w:r>
      <w:r w:rsidRPr="00CA1271">
        <w:t xml:space="preserve"> of salary costs, in line with the cost model. </w:t>
      </w:r>
      <w:r w:rsidR="004C7065" w:rsidRPr="00CA1271">
        <w:t>Conversely, members of the Cost Model Working Group reported that prem</w:t>
      </w:r>
      <w:r w:rsidR="004347B5" w:rsidRPr="00CA1271">
        <w:t>iums are generally lower than 3</w:t>
      </w:r>
      <w:r w:rsidR="00E80A7C" w:rsidRPr="00CA1271">
        <w:t>%</w:t>
      </w:r>
      <w:r w:rsidR="004C7065" w:rsidRPr="00CA1271">
        <w:t>, but this varies by state. They also argued that the complexity of supports offered leads to higher workers compensation premiums. Workers delivering high complexity supports are more likely to make claims, leading to higher premiums and that therefore workers’ compensation premiums for workers providing high complexity support are between 3 and 5.5</w:t>
      </w:r>
      <w:r w:rsidR="00F37B73" w:rsidRPr="00CA1271">
        <w:t>%</w:t>
      </w:r>
      <w:r w:rsidR="004C7065" w:rsidRPr="00CA1271">
        <w:t>.</w:t>
      </w:r>
    </w:p>
    <w:p w:rsidR="00665933" w:rsidRPr="00CA1271" w:rsidRDefault="00665933" w:rsidP="004C7065">
      <w:pPr>
        <w:pStyle w:val="Heading3"/>
      </w:pPr>
      <w:r w:rsidRPr="00CA1271">
        <w:t>Overheads</w:t>
      </w:r>
    </w:p>
    <w:p w:rsidR="00665933" w:rsidRPr="00CA1271" w:rsidRDefault="00665933" w:rsidP="002A437A">
      <w:r w:rsidRPr="00CA1271">
        <w:t>The corporate overhead</w:t>
      </w:r>
      <w:r w:rsidR="00F0327C" w:rsidRPr="00CA1271">
        <w:t>s</w:t>
      </w:r>
      <w:r w:rsidRPr="00CA1271">
        <w:t xml:space="preserve"> allowance in the cost model is set at 10.5</w:t>
      </w:r>
      <w:r w:rsidR="00F37B73" w:rsidRPr="00CA1271">
        <w:t>%</w:t>
      </w:r>
      <w:r w:rsidRPr="00CA1271">
        <w:t xml:space="preserve"> of direct costs. The overhead</w:t>
      </w:r>
      <w:r w:rsidR="00F0327C" w:rsidRPr="00CA1271">
        <w:t>s</w:t>
      </w:r>
      <w:r w:rsidRPr="00CA1271">
        <w:t xml:space="preserve"> allowance is intended to cover costs not otherwise explicitly provided for in the cost model, as such, it covers expenses for land and building costs, corporate fleet, marketing, administration costs, IT and other costs.</w:t>
      </w:r>
    </w:p>
    <w:p w:rsidR="00665933" w:rsidRPr="00CA1271" w:rsidRDefault="00665933" w:rsidP="002A437A">
      <w:r w:rsidRPr="00CA1271">
        <w:t>Submissions from providers indicated widespread dissatisfaction with respect to the level of overheads allowed for by the cost model. Of those providers that reported their overhead</w:t>
      </w:r>
      <w:r w:rsidR="00F0327C" w:rsidRPr="00CA1271">
        <w:t>s</w:t>
      </w:r>
      <w:r w:rsidRPr="00CA1271">
        <w:t xml:space="preserve"> levels in submissions, the vast majority indicated that their actual level of overheads considerably exceeded the 10.5</w:t>
      </w:r>
      <w:r w:rsidR="00F37B73" w:rsidRPr="00CA1271">
        <w:t>%</w:t>
      </w:r>
      <w:r w:rsidRPr="00CA1271">
        <w:t xml:space="preserve"> level assumed in the model. The average overheads of those providers who revealed their actual costs in submissions was just above 20</w:t>
      </w:r>
      <w:r w:rsidR="00F37B73" w:rsidRPr="00CA1271">
        <w:t>%</w:t>
      </w:r>
      <w:r w:rsidRPr="00CA1271">
        <w:t xml:space="preserve"> but the level varied considerably, suggesting significant heterogeneity within the sector in terms of operating business models and potentially levels of efficiency. Overhead</w:t>
      </w:r>
      <w:r w:rsidR="00F0327C" w:rsidRPr="00CA1271">
        <w:t>s</w:t>
      </w:r>
      <w:r w:rsidRPr="00CA1271">
        <w:t xml:space="preserve"> levels reported in submissions ranged from 10.5</w:t>
      </w:r>
      <w:r w:rsidR="00F37B73" w:rsidRPr="00CA1271">
        <w:t>%</w:t>
      </w:r>
      <w:r w:rsidRPr="00CA1271">
        <w:t xml:space="preserve"> to 43</w:t>
      </w:r>
      <w:r w:rsidR="00F37B73" w:rsidRPr="00CA1271">
        <w:t>%</w:t>
      </w:r>
      <w:r w:rsidRPr="00CA1271">
        <w:t>.</w:t>
      </w:r>
    </w:p>
    <w:p w:rsidR="00665933" w:rsidRPr="00CA1271" w:rsidRDefault="00665933" w:rsidP="002A437A">
      <w:r w:rsidRPr="00CA1271">
        <w:t>However, only a minority of submissions reported the actual overhead</w:t>
      </w:r>
      <w:r w:rsidR="00F0327C" w:rsidRPr="00CA1271">
        <w:t>s</w:t>
      </w:r>
      <w:r w:rsidRPr="00CA1271">
        <w:t xml:space="preserve"> levels of providers. Of all the submissions, only around one in eight specified the level of their overheads and only a slightly higher proportion indicated that the overhead</w:t>
      </w:r>
      <w:r w:rsidR="00F0327C" w:rsidRPr="00CA1271">
        <w:t>s</w:t>
      </w:r>
      <w:r w:rsidRPr="00CA1271">
        <w:t xml:space="preserve"> allowance was inadequate. Roughly 20</w:t>
      </w:r>
      <w:r w:rsidR="00F37B73" w:rsidRPr="00CA1271">
        <w:t>%</w:t>
      </w:r>
      <w:r w:rsidRPr="00CA1271">
        <w:t xml:space="preserve"> of those submissions that reported actual overhead</w:t>
      </w:r>
      <w:r w:rsidR="00F0327C" w:rsidRPr="00CA1271">
        <w:t>s</w:t>
      </w:r>
      <w:r w:rsidRPr="00CA1271">
        <w:t xml:space="preserve"> costs indicated that they were operating in line w</w:t>
      </w:r>
      <w:r w:rsidR="00F37B73" w:rsidRPr="00CA1271">
        <w:t>ith, or very close to, the 10.5%</w:t>
      </w:r>
      <w:r w:rsidRPr="00CA1271">
        <w:t xml:space="preserve"> benchmark.</w:t>
      </w:r>
    </w:p>
    <w:p w:rsidR="00665933" w:rsidRPr="00CA1271" w:rsidRDefault="004C7065" w:rsidP="004C7065">
      <w:r w:rsidRPr="00CA1271">
        <w:t xml:space="preserve">NDS reported that a survey they had conducted of </w:t>
      </w:r>
      <w:r w:rsidR="00665933" w:rsidRPr="00CA1271">
        <w:t>70 providers showed that the median</w:t>
      </w:r>
      <w:r w:rsidRPr="00CA1271">
        <w:t xml:space="preserve"> overhead</w:t>
      </w:r>
      <w:r w:rsidR="00F0327C" w:rsidRPr="00CA1271">
        <w:t>s</w:t>
      </w:r>
      <w:r w:rsidR="00665933" w:rsidRPr="00CA1271">
        <w:t xml:space="preserve"> was 16</w:t>
      </w:r>
      <w:r w:rsidR="00F37B73" w:rsidRPr="00CA1271">
        <w:t>%</w:t>
      </w:r>
      <w:r w:rsidR="00665933" w:rsidRPr="00CA1271">
        <w:t xml:space="preserve"> with the range stretching up to 30</w:t>
      </w:r>
      <w:r w:rsidR="00F37B73" w:rsidRPr="00CA1271">
        <w:t>%</w:t>
      </w:r>
      <w:r w:rsidR="00665933" w:rsidRPr="00CA1271">
        <w:t xml:space="preserve">. </w:t>
      </w:r>
    </w:p>
    <w:p w:rsidR="00C63652" w:rsidRPr="00CA1271" w:rsidRDefault="00C63652" w:rsidP="00C63652">
      <w:r w:rsidRPr="00CA1271">
        <w:t>One member of the Cost Model Working Group commented that providers are subsidising worker travel by paying the 78 cents per kilometre required by the SCHADS Award. They estimated that if this was included in the models’ definition of overhead</w:t>
      </w:r>
      <w:r w:rsidR="00F0327C" w:rsidRPr="00CA1271">
        <w:t>s</w:t>
      </w:r>
      <w:r w:rsidRPr="00CA1271">
        <w:t xml:space="preserve"> that would increase it by around 5</w:t>
      </w:r>
      <w:r w:rsidR="00E80A7C" w:rsidRPr="00CA1271">
        <w:t>%</w:t>
      </w:r>
      <w:r w:rsidRPr="00CA1271">
        <w:t>. There was concern that as the current allowance for overhead</w:t>
      </w:r>
      <w:r w:rsidR="00F0327C" w:rsidRPr="00CA1271">
        <w:t>s</w:t>
      </w:r>
      <w:r w:rsidRPr="00CA1271">
        <w:t xml:space="preserve"> in the model does not cover travel allowances, this advantaged organisations who d</w:t>
      </w:r>
      <w:r w:rsidR="00190321" w:rsidRPr="00CA1271">
        <w:t>id not</w:t>
      </w:r>
      <w:r w:rsidRPr="00CA1271">
        <w:t xml:space="preserve"> have to travel much or far.</w:t>
      </w:r>
    </w:p>
    <w:p w:rsidR="00C63652" w:rsidRPr="00CA1271" w:rsidRDefault="00C63652" w:rsidP="00C63652">
      <w:pPr>
        <w:pStyle w:val="Heading3"/>
      </w:pPr>
      <w:r w:rsidRPr="00CA1271">
        <w:t>Margins</w:t>
      </w:r>
    </w:p>
    <w:p w:rsidR="00C63652" w:rsidRPr="00CA1271" w:rsidRDefault="00C63652" w:rsidP="00C63652">
      <w:r w:rsidRPr="00CA1271">
        <w:t>The cost model incorporates an allowance for the profit margins that providers need to earn to attract and retain capital in the disability sector. The cost model provides for a 2</w:t>
      </w:r>
      <w:r w:rsidR="00F37B73" w:rsidRPr="00CA1271">
        <w:t>%</w:t>
      </w:r>
      <w:r w:rsidRPr="00CA1271">
        <w:t xml:space="preserve"> margin on top of other costs. This equates to a rate of return of 8% against working capital equivalent to three month’s wages and entitlements.</w:t>
      </w:r>
    </w:p>
    <w:p w:rsidR="00F37B73" w:rsidRPr="00CA1271" w:rsidRDefault="00C63652" w:rsidP="00C63652">
      <w:r w:rsidRPr="00CA1271">
        <w:t>A majority of submissions that broached the issue reported that profit margins were negative at the moment and many were incurring significant financial losses. Some providers further highlighted that their margins had been negative since the NDIS was rolled out.</w:t>
      </w:r>
      <w:r w:rsidR="00F37B73" w:rsidRPr="00CA1271">
        <w:t xml:space="preserve"> </w:t>
      </w:r>
    </w:p>
    <w:p w:rsidR="00C63652" w:rsidRPr="00CA1271" w:rsidRDefault="00C63652" w:rsidP="00C63652">
      <w:r w:rsidRPr="00CA1271">
        <w:t>However, only a limited number of total submissions responded to the issue of profit margins. Feedback on an appropriate level of profit margins was even more limited in submissions, the paucity of comment that was offered tended to suggest a level of around 5</w:t>
      </w:r>
      <w:r w:rsidR="00E80A7C" w:rsidRPr="00CA1271">
        <w:t>%</w:t>
      </w:r>
      <w:r w:rsidRPr="00CA1271">
        <w:t xml:space="preserve"> was the minimum required to ensure viability of efficiently run providers.</w:t>
      </w:r>
    </w:p>
    <w:p w:rsidR="00C63652" w:rsidRPr="00CA1271" w:rsidRDefault="00C63652" w:rsidP="00C63652">
      <w:pPr>
        <w:pStyle w:val="Heading3"/>
      </w:pPr>
      <w:r w:rsidRPr="00CA1271">
        <w:t>Other cost model issues</w:t>
      </w:r>
    </w:p>
    <w:p w:rsidR="00C63652" w:rsidRPr="00CA1271" w:rsidRDefault="00C63652" w:rsidP="00C63652">
      <w:r w:rsidRPr="00CA1271">
        <w:t xml:space="preserve">There was feedback in submissions that the demand for suitably qualified workers in the disability support sector had led most providers to adopt industrial agreements that set rates of pay in excess of the </w:t>
      </w:r>
      <w:r w:rsidRPr="00CA1271">
        <w:rPr>
          <w:i/>
        </w:rPr>
        <w:t>SCHADS Award</w:t>
      </w:r>
      <w:r w:rsidRPr="00CA1271">
        <w:t>. It was contended that labour market conditions were such that the award rates of pay upon which the cost model was predicated were no longer appropriate. Accordingly, some providers recommended that the funding model should reflect average industry pay and conditions rather than those set out in the award</w:t>
      </w:r>
    </w:p>
    <w:p w:rsidR="00C63652" w:rsidRPr="00CA1271" w:rsidRDefault="00C63652" w:rsidP="00C63652">
      <w:r w:rsidRPr="00CA1271">
        <w:t xml:space="preserve">NDS noted in their submission that a growing number of states and territories are introducing portable long service leave. </w:t>
      </w:r>
    </w:p>
    <w:p w:rsidR="00C63652" w:rsidRPr="00CA1271" w:rsidRDefault="000A5D9B" w:rsidP="00C63652">
      <w:r w:rsidRPr="00CA1271">
        <w:t>Some m</w:t>
      </w:r>
      <w:r w:rsidR="00C63652" w:rsidRPr="00CA1271">
        <w:t>embers of the Cost Model Working Group were concerned about the portable long service leave loading in some jurisdictions. They noted that most staff left after five or six years, so long service leave was not accrued and thus not a major cost currently. Members considered it was difficult to predict the exact cost of long service leave but estimated it at roughly 2</w:t>
      </w:r>
      <w:r w:rsidR="00F37B73" w:rsidRPr="00CA1271">
        <w:t>%</w:t>
      </w:r>
      <w:r w:rsidR="00C63652" w:rsidRPr="00CA1271">
        <w:t xml:space="preserve"> of wages.</w:t>
      </w:r>
      <w:r w:rsidRPr="00CA1271">
        <w:t xml:space="preserve"> </w:t>
      </w:r>
      <w:r w:rsidR="00C63652" w:rsidRPr="00CA1271">
        <w:t xml:space="preserve">Other members noted that the different systems for long service leave between states led to higher administrative and compliance costs for providers. </w:t>
      </w:r>
    </w:p>
    <w:p w:rsidR="00C63652" w:rsidRPr="00CA1271" w:rsidRDefault="00C63652" w:rsidP="00C63652">
      <w:pPr>
        <w:pStyle w:val="Heading2"/>
      </w:pPr>
      <w:bookmarkStart w:id="41" w:name="_Toc42014725"/>
      <w:r w:rsidRPr="00CA1271">
        <w:t>Research</w:t>
      </w:r>
      <w:bookmarkEnd w:id="41"/>
    </w:p>
    <w:p w:rsidR="00977D24" w:rsidRPr="00CA1271" w:rsidRDefault="00977D24" w:rsidP="00977D24">
      <w:pPr>
        <w:pStyle w:val="Heading3"/>
      </w:pPr>
      <w:r w:rsidRPr="00CA1271">
        <w:t>Temporary Transformation Payment Benchmarking Survey</w:t>
      </w:r>
    </w:p>
    <w:p w:rsidR="00977D24" w:rsidRPr="00CA1271" w:rsidRDefault="00977D24" w:rsidP="00977D24">
      <w:r w:rsidRPr="00CA1271">
        <w:t>Deloitte Access Economics were engaged by the NDIA to conduct the survey and analyse the results. Only de-identified data was passed onto the Agency. On 21 February 2020, Deloitte sent out on line invitations to the 3,039 providers who were then enrolled in eligible registration groups (104, 107, 125 and 136). As at 15 March 2020, when the survey closed, Deloitte had received 615 completed surveys. That is, only 38.9% of providers who had claimed for the TTP completed the survey by the cut-off date.</w:t>
      </w:r>
      <w:r w:rsidRPr="00CA1271">
        <w:rPr>
          <w:rStyle w:val="FootnoteReference"/>
        </w:rPr>
        <w:footnoteReference w:id="26"/>
      </w:r>
      <w:r w:rsidRPr="00CA1271">
        <w:t xml:space="preserve"> </w:t>
      </w:r>
    </w:p>
    <w:p w:rsidR="00977D24" w:rsidRPr="00CA1271" w:rsidRDefault="00977D24" w:rsidP="00977D24">
      <w:r w:rsidRPr="00CA1271">
        <w:fldChar w:fldCharType="begin"/>
      </w:r>
      <w:r w:rsidRPr="00CA1271">
        <w:instrText xml:space="preserve"> REF _Ref40024753 \h </w:instrText>
      </w:r>
      <w:r w:rsidR="0002418C" w:rsidRPr="00CA1271">
        <w:instrText xml:space="preserve"> \* MERGEFORMAT </w:instrText>
      </w:r>
      <w:r w:rsidRPr="00CA1271">
        <w:fldChar w:fldCharType="separate"/>
      </w:r>
      <w:r w:rsidR="00B621CC" w:rsidRPr="00CA1271">
        <w:t xml:space="preserve">Table </w:t>
      </w:r>
      <w:r w:rsidR="00B621CC">
        <w:rPr>
          <w:noProof/>
        </w:rPr>
        <w:t>4</w:t>
      </w:r>
      <w:r w:rsidRPr="00CA1271">
        <w:fldChar w:fldCharType="end"/>
      </w:r>
      <w:r w:rsidRPr="00CA1271">
        <w:t xml:space="preserve"> indicates the distribution of results from the TTP survey for the key parameters in the NDIS Disability Support Worker Cost Model.</w:t>
      </w:r>
    </w:p>
    <w:p w:rsidR="00977D24" w:rsidRPr="00CA1271" w:rsidRDefault="00977D24" w:rsidP="00977D24">
      <w:pPr>
        <w:pStyle w:val="Caption"/>
      </w:pPr>
      <w:bookmarkStart w:id="42" w:name="_Ref40024753"/>
      <w:bookmarkStart w:id="43" w:name="_Toc42014783"/>
      <w:r w:rsidRPr="00CA1271">
        <w:t xml:space="preserve">Table </w:t>
      </w:r>
      <w:r w:rsidRPr="00CA1271">
        <w:fldChar w:fldCharType="begin"/>
      </w:r>
      <w:r w:rsidRPr="00CA1271">
        <w:instrText xml:space="preserve"> SEQ Table \* ARABIC </w:instrText>
      </w:r>
      <w:r w:rsidRPr="00CA1271">
        <w:fldChar w:fldCharType="separate"/>
      </w:r>
      <w:r w:rsidR="00B621CC">
        <w:rPr>
          <w:noProof/>
        </w:rPr>
        <w:t>4</w:t>
      </w:r>
      <w:r w:rsidRPr="00CA1271">
        <w:fldChar w:fldCharType="end"/>
      </w:r>
      <w:bookmarkEnd w:id="42"/>
      <w:r w:rsidRPr="00CA1271">
        <w:t xml:space="preserve"> - Distribution of Results from the TTP Survey</w:t>
      </w:r>
      <w:bookmarkEnd w:id="43"/>
    </w:p>
    <w:tbl>
      <w:tblPr>
        <w:tblStyle w:val="GridTable4-Accent4"/>
        <w:tblW w:w="5000" w:type="pct"/>
        <w:tblLayout w:type="fixed"/>
        <w:tblLook w:val="0420" w:firstRow="1" w:lastRow="0" w:firstColumn="0" w:lastColumn="0" w:noHBand="0" w:noVBand="1"/>
        <w:tblCaption w:val="Table 4 - Distribution of Results from the TTP Survey"/>
      </w:tblPr>
      <w:tblGrid>
        <w:gridCol w:w="1508"/>
        <w:gridCol w:w="1509"/>
        <w:gridCol w:w="1511"/>
        <w:gridCol w:w="1511"/>
        <w:gridCol w:w="1511"/>
        <w:gridCol w:w="1511"/>
      </w:tblGrid>
      <w:tr w:rsidR="00977D24" w:rsidRPr="00CA1271" w:rsidTr="00A976A5">
        <w:trPr>
          <w:cnfStyle w:val="100000000000" w:firstRow="1" w:lastRow="0" w:firstColumn="0" w:lastColumn="0" w:oddVBand="0" w:evenVBand="0" w:oddHBand="0" w:evenHBand="0" w:firstRowFirstColumn="0" w:firstRowLastColumn="0" w:lastRowFirstColumn="0" w:lastRowLastColumn="0"/>
          <w:tblHeader/>
        </w:trPr>
        <w:tc>
          <w:tcPr>
            <w:tcW w:w="1508" w:type="dxa"/>
            <w:vAlign w:val="center"/>
          </w:tcPr>
          <w:p w:rsidR="00977D24" w:rsidRPr="00CA1271" w:rsidRDefault="00977D24" w:rsidP="00A976A5">
            <w:pPr>
              <w:rPr>
                <w:rFonts w:cstheme="minorHAnsi"/>
                <w:szCs w:val="18"/>
              </w:rPr>
            </w:pP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Permanent Employment Rate</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Utilisation Rate</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Overheads</w:t>
            </w:r>
          </w:p>
          <w:p w:rsidR="00977D24" w:rsidRPr="00CA1271" w:rsidRDefault="00977D24" w:rsidP="00A976A5">
            <w:pPr>
              <w:jc w:val="center"/>
              <w:rPr>
                <w:rFonts w:cstheme="minorHAnsi"/>
                <w:szCs w:val="18"/>
              </w:rPr>
            </w:pPr>
            <w:r w:rsidRPr="00CA1271">
              <w:rPr>
                <w:rFonts w:cstheme="minorHAnsi"/>
                <w:szCs w:val="18"/>
              </w:rPr>
              <w:t>(multiplier of direct costs)</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Implied Margin</w:t>
            </w:r>
            <w:r w:rsidRPr="00CA1271">
              <w:rPr>
                <w:rStyle w:val="FootnoteReference"/>
                <w:rFonts w:cstheme="minorHAnsi"/>
                <w:szCs w:val="18"/>
              </w:rPr>
              <w:footnoteReference w:id="27"/>
            </w:r>
          </w:p>
          <w:p w:rsidR="00977D24" w:rsidRPr="00CA1271" w:rsidRDefault="00977D24" w:rsidP="00A976A5">
            <w:pPr>
              <w:jc w:val="center"/>
              <w:rPr>
                <w:rFonts w:cstheme="minorHAnsi"/>
                <w:szCs w:val="18"/>
              </w:rPr>
            </w:pPr>
            <w:r w:rsidRPr="00CA1271">
              <w:rPr>
                <w:rFonts w:cstheme="minorHAnsi"/>
                <w:szCs w:val="18"/>
              </w:rPr>
              <w:t>(multiplier of other costs)</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Span of control</w:t>
            </w:r>
          </w:p>
        </w:tc>
      </w:tr>
      <w:tr w:rsidR="00977D24" w:rsidRPr="00CA1271" w:rsidTr="00A976A5">
        <w:trPr>
          <w:cnfStyle w:val="000000100000" w:firstRow="0" w:lastRow="0" w:firstColumn="0" w:lastColumn="0" w:oddVBand="0" w:evenVBand="0" w:oddHBand="1" w:evenHBand="0" w:firstRowFirstColumn="0" w:firstRowLastColumn="0" w:lastRowFirstColumn="0" w:lastRowLastColumn="0"/>
        </w:trPr>
        <w:tc>
          <w:tcPr>
            <w:tcW w:w="9061" w:type="dxa"/>
            <w:gridSpan w:val="6"/>
            <w:vAlign w:val="center"/>
          </w:tcPr>
          <w:p w:rsidR="00977D24" w:rsidRPr="00CA1271" w:rsidRDefault="00977D24" w:rsidP="00A976A5">
            <w:pPr>
              <w:rPr>
                <w:rFonts w:cstheme="minorHAnsi"/>
                <w:b/>
                <w:szCs w:val="18"/>
              </w:rPr>
            </w:pPr>
            <w:r w:rsidRPr="00CA1271">
              <w:rPr>
                <w:rFonts w:cstheme="minorHAnsi"/>
                <w:b/>
                <w:szCs w:val="18"/>
              </w:rPr>
              <w:t>Cost Model Assumption</w:t>
            </w:r>
          </w:p>
        </w:tc>
      </w:tr>
      <w:tr w:rsidR="00977D24" w:rsidRPr="00CA1271" w:rsidTr="00A976A5">
        <w:tc>
          <w:tcPr>
            <w:tcW w:w="1508" w:type="dxa"/>
            <w:vAlign w:val="center"/>
          </w:tcPr>
          <w:p w:rsidR="00977D24" w:rsidRPr="00CA1271" w:rsidRDefault="00977D24" w:rsidP="00A976A5">
            <w:pPr>
              <w:rPr>
                <w:rFonts w:cstheme="minorHAnsi"/>
                <w:szCs w:val="18"/>
              </w:rPr>
            </w:pP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80%</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Level 1 = 92.5%</w:t>
            </w:r>
          </w:p>
          <w:p w:rsidR="00977D24" w:rsidRPr="00CA1271" w:rsidRDefault="00977D24" w:rsidP="00A976A5">
            <w:pPr>
              <w:jc w:val="center"/>
              <w:rPr>
                <w:rFonts w:cstheme="minorHAnsi"/>
                <w:szCs w:val="18"/>
              </w:rPr>
            </w:pPr>
            <w:r w:rsidRPr="00CA1271">
              <w:rPr>
                <w:rFonts w:cstheme="minorHAnsi"/>
                <w:szCs w:val="18"/>
              </w:rPr>
              <w:t>Level 2 = 90.0%</w:t>
            </w:r>
          </w:p>
          <w:p w:rsidR="00977D24" w:rsidRPr="00CA1271" w:rsidRDefault="00977D24" w:rsidP="00A976A5">
            <w:pPr>
              <w:jc w:val="center"/>
              <w:rPr>
                <w:rFonts w:cstheme="minorHAnsi"/>
                <w:szCs w:val="18"/>
              </w:rPr>
            </w:pPr>
            <w:r w:rsidRPr="00CA1271">
              <w:rPr>
                <w:rFonts w:cstheme="minorHAnsi"/>
                <w:szCs w:val="18"/>
              </w:rPr>
              <w:t>Level 3 = 87.7%</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10.5%</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2.0%</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11</w:t>
            </w:r>
          </w:p>
        </w:tc>
      </w:tr>
      <w:tr w:rsidR="00977D24" w:rsidRPr="00CA1271"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rsidR="00977D24" w:rsidRPr="00CA1271" w:rsidRDefault="00977D24" w:rsidP="00A976A5">
            <w:pPr>
              <w:rPr>
                <w:rFonts w:cstheme="minorHAnsi"/>
                <w:szCs w:val="18"/>
              </w:rPr>
            </w:pPr>
          </w:p>
        </w:tc>
        <w:tc>
          <w:tcPr>
            <w:tcW w:w="1509" w:type="dxa"/>
            <w:vAlign w:val="center"/>
          </w:tcPr>
          <w:p w:rsidR="00977D24" w:rsidRPr="00CA1271" w:rsidRDefault="00977D24" w:rsidP="00A976A5">
            <w:pPr>
              <w:jc w:val="center"/>
              <w:rPr>
                <w:rFonts w:cstheme="minorHAnsi"/>
                <w:szCs w:val="18"/>
              </w:rPr>
            </w:pPr>
          </w:p>
        </w:tc>
        <w:tc>
          <w:tcPr>
            <w:tcW w:w="1511" w:type="dxa"/>
            <w:vAlign w:val="center"/>
          </w:tcPr>
          <w:p w:rsidR="00977D24" w:rsidRPr="00CA1271" w:rsidRDefault="00977D24" w:rsidP="00A976A5">
            <w:pPr>
              <w:jc w:val="center"/>
              <w:rPr>
                <w:rFonts w:cstheme="minorHAnsi"/>
                <w:szCs w:val="18"/>
              </w:rPr>
            </w:pPr>
          </w:p>
        </w:tc>
        <w:tc>
          <w:tcPr>
            <w:tcW w:w="1511" w:type="dxa"/>
            <w:vAlign w:val="center"/>
          </w:tcPr>
          <w:p w:rsidR="00977D24" w:rsidRPr="00CA1271" w:rsidRDefault="00977D24" w:rsidP="00A976A5">
            <w:pPr>
              <w:jc w:val="center"/>
              <w:rPr>
                <w:rFonts w:cstheme="minorHAnsi"/>
                <w:szCs w:val="18"/>
              </w:rPr>
            </w:pPr>
          </w:p>
        </w:tc>
        <w:tc>
          <w:tcPr>
            <w:tcW w:w="1511" w:type="dxa"/>
            <w:vAlign w:val="center"/>
          </w:tcPr>
          <w:p w:rsidR="00977D24" w:rsidRPr="00CA1271" w:rsidRDefault="00977D24" w:rsidP="00A976A5">
            <w:pPr>
              <w:jc w:val="center"/>
              <w:rPr>
                <w:rFonts w:cstheme="minorHAnsi"/>
                <w:szCs w:val="18"/>
              </w:rPr>
            </w:pPr>
          </w:p>
        </w:tc>
        <w:tc>
          <w:tcPr>
            <w:tcW w:w="1511" w:type="dxa"/>
            <w:vAlign w:val="center"/>
          </w:tcPr>
          <w:p w:rsidR="00977D24" w:rsidRPr="00CA1271" w:rsidRDefault="00977D24" w:rsidP="00A976A5">
            <w:pPr>
              <w:jc w:val="center"/>
              <w:rPr>
                <w:rFonts w:cstheme="minorHAnsi"/>
                <w:szCs w:val="18"/>
              </w:rPr>
            </w:pPr>
          </w:p>
        </w:tc>
      </w:tr>
      <w:tr w:rsidR="00977D24" w:rsidRPr="00CA1271" w:rsidTr="00A976A5">
        <w:tc>
          <w:tcPr>
            <w:tcW w:w="9061" w:type="dxa"/>
            <w:gridSpan w:val="6"/>
            <w:vAlign w:val="center"/>
          </w:tcPr>
          <w:p w:rsidR="00977D24" w:rsidRPr="00CA1271" w:rsidRDefault="00977D24" w:rsidP="00A976A5">
            <w:pPr>
              <w:rPr>
                <w:rFonts w:cstheme="minorHAnsi"/>
                <w:b/>
                <w:szCs w:val="18"/>
              </w:rPr>
            </w:pPr>
            <w:r w:rsidRPr="00CA1271">
              <w:rPr>
                <w:rFonts w:cstheme="minorHAnsi"/>
                <w:b/>
                <w:szCs w:val="18"/>
              </w:rPr>
              <w:t>Survey results</w:t>
            </w:r>
          </w:p>
        </w:tc>
      </w:tr>
      <w:tr w:rsidR="00977D24" w:rsidRPr="00CA1271"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rsidR="00977D24" w:rsidRPr="00CA1271" w:rsidRDefault="00977D24" w:rsidP="00A976A5">
            <w:pPr>
              <w:rPr>
                <w:rFonts w:cstheme="minorHAnsi"/>
                <w:szCs w:val="18"/>
              </w:rPr>
            </w:pPr>
            <w:r w:rsidRPr="00CA1271">
              <w:rPr>
                <w:rFonts w:cstheme="minorHAnsi"/>
                <w:szCs w:val="18"/>
              </w:rPr>
              <w:t>Average</w:t>
            </w: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43.8%</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79.8%</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27.7%</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1.7%</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11.8</w:t>
            </w:r>
          </w:p>
        </w:tc>
      </w:tr>
      <w:tr w:rsidR="00977D24" w:rsidRPr="00CA1271" w:rsidTr="00A976A5">
        <w:tc>
          <w:tcPr>
            <w:tcW w:w="1508" w:type="dxa"/>
            <w:vAlign w:val="center"/>
          </w:tcPr>
          <w:p w:rsidR="00977D24" w:rsidRPr="00CA1271" w:rsidRDefault="00977D24" w:rsidP="00A976A5">
            <w:pPr>
              <w:rPr>
                <w:rFonts w:cstheme="minorHAnsi"/>
                <w:szCs w:val="18"/>
              </w:rPr>
            </w:pPr>
            <w:r w:rsidRPr="00CA1271">
              <w:rPr>
                <w:rFonts w:cstheme="minorHAnsi"/>
                <w:szCs w:val="18"/>
              </w:rPr>
              <w:t>STD</w:t>
            </w: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32.9%</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12.0%</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11.8%</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1.6%</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11.3</w:t>
            </w:r>
          </w:p>
        </w:tc>
      </w:tr>
      <w:tr w:rsidR="00977D24" w:rsidRPr="00CA1271"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rsidR="00977D24" w:rsidRPr="00CA1271" w:rsidRDefault="00977D24" w:rsidP="00A976A5">
            <w:pPr>
              <w:rPr>
                <w:rFonts w:cstheme="minorHAnsi"/>
                <w:szCs w:val="18"/>
              </w:rPr>
            </w:pPr>
            <w:r w:rsidRPr="00CA1271">
              <w:rPr>
                <w:rFonts w:cstheme="minorHAnsi"/>
                <w:szCs w:val="18"/>
              </w:rPr>
              <w:t>Skew</w:t>
            </w: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0.3</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-0.5</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-0.1</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1.5</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3.4</w:t>
            </w:r>
          </w:p>
        </w:tc>
      </w:tr>
      <w:tr w:rsidR="00977D24" w:rsidRPr="00CA1271" w:rsidTr="00A976A5">
        <w:tc>
          <w:tcPr>
            <w:tcW w:w="1508" w:type="dxa"/>
            <w:vAlign w:val="center"/>
          </w:tcPr>
          <w:p w:rsidR="00977D24" w:rsidRPr="00CA1271" w:rsidRDefault="00977D24" w:rsidP="00A976A5">
            <w:pPr>
              <w:rPr>
                <w:rFonts w:cstheme="minorHAnsi"/>
                <w:szCs w:val="18"/>
              </w:rPr>
            </w:pPr>
            <w:r w:rsidRPr="00CA1271">
              <w:rPr>
                <w:rFonts w:cstheme="minorHAnsi"/>
                <w:szCs w:val="18"/>
              </w:rPr>
              <w:t>Kurtosis</w:t>
            </w: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-1.3</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-0.2</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-0.8</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1.7</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19.8</w:t>
            </w:r>
          </w:p>
        </w:tc>
      </w:tr>
      <w:tr w:rsidR="00977D24" w:rsidRPr="00CA1271"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rsidR="00977D24" w:rsidRPr="00CA1271" w:rsidRDefault="00977D24" w:rsidP="00A976A5">
            <w:pPr>
              <w:rPr>
                <w:rFonts w:cstheme="minorHAnsi"/>
                <w:szCs w:val="18"/>
              </w:rPr>
            </w:pPr>
          </w:p>
        </w:tc>
        <w:tc>
          <w:tcPr>
            <w:tcW w:w="1509" w:type="dxa"/>
            <w:vAlign w:val="center"/>
          </w:tcPr>
          <w:p w:rsidR="00977D24" w:rsidRPr="00CA1271" w:rsidRDefault="00977D24" w:rsidP="00A976A5">
            <w:pPr>
              <w:jc w:val="center"/>
              <w:rPr>
                <w:rFonts w:cstheme="minorHAnsi"/>
                <w:szCs w:val="18"/>
              </w:rPr>
            </w:pPr>
          </w:p>
        </w:tc>
        <w:tc>
          <w:tcPr>
            <w:tcW w:w="1511" w:type="dxa"/>
            <w:vAlign w:val="center"/>
          </w:tcPr>
          <w:p w:rsidR="00977D24" w:rsidRPr="00CA1271" w:rsidRDefault="00977D24" w:rsidP="00A976A5">
            <w:pPr>
              <w:jc w:val="center"/>
              <w:rPr>
                <w:rFonts w:cstheme="minorHAnsi"/>
                <w:szCs w:val="18"/>
              </w:rPr>
            </w:pPr>
          </w:p>
        </w:tc>
        <w:tc>
          <w:tcPr>
            <w:tcW w:w="1511" w:type="dxa"/>
            <w:vAlign w:val="center"/>
          </w:tcPr>
          <w:p w:rsidR="00977D24" w:rsidRPr="00CA1271" w:rsidRDefault="00977D24" w:rsidP="00A976A5">
            <w:pPr>
              <w:jc w:val="center"/>
              <w:rPr>
                <w:rFonts w:cstheme="minorHAnsi"/>
                <w:szCs w:val="18"/>
              </w:rPr>
            </w:pPr>
          </w:p>
        </w:tc>
        <w:tc>
          <w:tcPr>
            <w:tcW w:w="1511" w:type="dxa"/>
            <w:vAlign w:val="center"/>
          </w:tcPr>
          <w:p w:rsidR="00977D24" w:rsidRPr="00CA1271" w:rsidRDefault="00977D24" w:rsidP="00A976A5">
            <w:pPr>
              <w:jc w:val="center"/>
              <w:rPr>
                <w:rFonts w:cstheme="minorHAnsi"/>
                <w:szCs w:val="18"/>
              </w:rPr>
            </w:pPr>
          </w:p>
        </w:tc>
        <w:tc>
          <w:tcPr>
            <w:tcW w:w="1511" w:type="dxa"/>
            <w:vAlign w:val="center"/>
          </w:tcPr>
          <w:p w:rsidR="00977D24" w:rsidRPr="00CA1271" w:rsidRDefault="00977D24" w:rsidP="00A976A5">
            <w:pPr>
              <w:jc w:val="center"/>
              <w:rPr>
                <w:rFonts w:cstheme="minorHAnsi"/>
                <w:szCs w:val="18"/>
              </w:rPr>
            </w:pPr>
          </w:p>
        </w:tc>
      </w:tr>
      <w:tr w:rsidR="00977D24" w:rsidRPr="00CA1271" w:rsidTr="00A976A5">
        <w:tc>
          <w:tcPr>
            <w:tcW w:w="1508" w:type="dxa"/>
            <w:vAlign w:val="center"/>
          </w:tcPr>
          <w:p w:rsidR="00977D24" w:rsidRPr="00CA1271" w:rsidRDefault="00977D24" w:rsidP="00A976A5">
            <w:pPr>
              <w:rPr>
                <w:rFonts w:cstheme="minorHAnsi"/>
                <w:szCs w:val="18"/>
              </w:rPr>
            </w:pPr>
            <w:r w:rsidRPr="00CA1271">
              <w:rPr>
                <w:rFonts w:cstheme="minorHAnsi"/>
                <w:szCs w:val="18"/>
              </w:rPr>
              <w:t>0</w:t>
            </w:r>
            <w:r w:rsidRPr="00CA1271">
              <w:rPr>
                <w:rFonts w:cstheme="minorHAnsi"/>
                <w:szCs w:val="18"/>
                <w:vertAlign w:val="superscript"/>
              </w:rPr>
              <w:t>th</w:t>
            </w:r>
            <w:r w:rsidRPr="00CA1271">
              <w:rPr>
                <w:rFonts w:cstheme="minorHAnsi"/>
                <w:szCs w:val="18"/>
              </w:rPr>
              <w:t xml:space="preserve"> percentile</w:t>
            </w: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100%</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100%</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1.1%</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7.9%</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116.0</w:t>
            </w:r>
          </w:p>
        </w:tc>
      </w:tr>
      <w:tr w:rsidR="00977D24" w:rsidRPr="00CA1271"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rsidR="00977D24" w:rsidRPr="00CA1271" w:rsidRDefault="00977D24" w:rsidP="00A976A5">
            <w:pPr>
              <w:rPr>
                <w:rFonts w:cstheme="minorHAnsi"/>
                <w:szCs w:val="18"/>
              </w:rPr>
            </w:pPr>
            <w:r w:rsidRPr="00CA1271">
              <w:rPr>
                <w:rFonts w:cstheme="minorHAnsi"/>
                <w:szCs w:val="18"/>
              </w:rPr>
              <w:t>5</w:t>
            </w:r>
            <w:r w:rsidRPr="00CA1271">
              <w:rPr>
                <w:rFonts w:cstheme="minorHAnsi"/>
                <w:szCs w:val="18"/>
                <w:vertAlign w:val="superscript"/>
              </w:rPr>
              <w:t>th</w:t>
            </w:r>
            <w:r w:rsidRPr="00CA1271">
              <w:rPr>
                <w:rFonts w:cstheme="minorHAnsi"/>
                <w:szCs w:val="18"/>
              </w:rPr>
              <w:t xml:space="preserve"> percentile</w:t>
            </w: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100%</w:t>
            </w:r>
          </w:p>
        </w:tc>
        <w:tc>
          <w:tcPr>
            <w:tcW w:w="1511" w:type="dxa"/>
            <w:vAlign w:val="center"/>
          </w:tcPr>
          <w:p w:rsidR="00977D24" w:rsidRPr="00CA1271" w:rsidRDefault="001D56EF" w:rsidP="00A976A5">
            <w:pPr>
              <w:jc w:val="center"/>
              <w:rPr>
                <w:rFonts w:cstheme="minorHAnsi"/>
                <w:szCs w:val="18"/>
              </w:rPr>
            </w:pPr>
            <w:r w:rsidRPr="00CA1271">
              <w:rPr>
                <w:rFonts w:cstheme="minorHAnsi"/>
                <w:szCs w:val="18"/>
              </w:rPr>
              <w:t>97.9</w:t>
            </w:r>
            <w:r w:rsidR="00977D24" w:rsidRPr="00CA1271">
              <w:rPr>
                <w:rFonts w:cstheme="minorHAnsi"/>
                <w:szCs w:val="18"/>
              </w:rPr>
              <w:t>%</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7.7%</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5.1%</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30.7</w:t>
            </w:r>
          </w:p>
        </w:tc>
      </w:tr>
      <w:tr w:rsidR="00977D24" w:rsidRPr="00CA1271" w:rsidTr="00A976A5">
        <w:tc>
          <w:tcPr>
            <w:tcW w:w="1508" w:type="dxa"/>
            <w:vAlign w:val="center"/>
          </w:tcPr>
          <w:p w:rsidR="00977D24" w:rsidRPr="00CA1271" w:rsidRDefault="00977D24" w:rsidP="00A976A5">
            <w:pPr>
              <w:rPr>
                <w:rFonts w:cstheme="minorHAnsi"/>
                <w:szCs w:val="18"/>
              </w:rPr>
            </w:pPr>
            <w:r w:rsidRPr="00CA1271">
              <w:rPr>
                <w:rFonts w:cstheme="minorHAnsi"/>
                <w:szCs w:val="18"/>
              </w:rPr>
              <w:t>10</w:t>
            </w:r>
            <w:r w:rsidRPr="00CA1271">
              <w:rPr>
                <w:rFonts w:cstheme="minorHAnsi"/>
                <w:szCs w:val="18"/>
                <w:vertAlign w:val="superscript"/>
              </w:rPr>
              <w:t>th</w:t>
            </w:r>
            <w:r w:rsidRPr="00CA1271">
              <w:rPr>
                <w:rFonts w:cstheme="minorHAnsi"/>
                <w:szCs w:val="18"/>
              </w:rPr>
              <w:t xml:space="preserve"> percentile</w:t>
            </w: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94.8%</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95</w:t>
            </w:r>
            <w:r w:rsidR="001D56EF" w:rsidRPr="00CA1271">
              <w:rPr>
                <w:rFonts w:cstheme="minorHAnsi"/>
                <w:szCs w:val="18"/>
              </w:rPr>
              <w:t>.0</w:t>
            </w:r>
            <w:r w:rsidRPr="00CA1271">
              <w:rPr>
                <w:rFonts w:cstheme="minorHAnsi"/>
                <w:szCs w:val="18"/>
              </w:rPr>
              <w:t>%</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10.7%</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4.4%</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22.7</w:t>
            </w:r>
          </w:p>
        </w:tc>
      </w:tr>
      <w:tr w:rsidR="00977D24" w:rsidRPr="00CA1271"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rsidR="00977D24" w:rsidRPr="00CA1271" w:rsidRDefault="00977D24" w:rsidP="00A976A5">
            <w:pPr>
              <w:rPr>
                <w:rFonts w:cstheme="minorHAnsi"/>
                <w:szCs w:val="18"/>
              </w:rPr>
            </w:pPr>
            <w:r w:rsidRPr="00CA1271">
              <w:rPr>
                <w:rFonts w:cstheme="minorHAnsi"/>
                <w:szCs w:val="18"/>
              </w:rPr>
              <w:t>25</w:t>
            </w:r>
            <w:r w:rsidRPr="00CA1271">
              <w:rPr>
                <w:rFonts w:cstheme="minorHAnsi"/>
                <w:szCs w:val="18"/>
                <w:vertAlign w:val="superscript"/>
              </w:rPr>
              <w:t>th</w:t>
            </w:r>
            <w:r w:rsidRPr="00CA1271">
              <w:rPr>
                <w:rFonts w:cstheme="minorHAnsi"/>
                <w:szCs w:val="18"/>
              </w:rPr>
              <w:t xml:space="preserve"> percentile</w:t>
            </w: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71.7%</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90</w:t>
            </w:r>
            <w:r w:rsidR="001D56EF" w:rsidRPr="00CA1271">
              <w:rPr>
                <w:rFonts w:cstheme="minorHAnsi"/>
                <w:szCs w:val="18"/>
              </w:rPr>
              <w:t>.0</w:t>
            </w:r>
            <w:r w:rsidRPr="00CA1271">
              <w:rPr>
                <w:rFonts w:cstheme="minorHAnsi"/>
                <w:szCs w:val="18"/>
              </w:rPr>
              <w:t>%</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19.8%</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2.3%</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15.0</w:t>
            </w:r>
          </w:p>
        </w:tc>
      </w:tr>
      <w:tr w:rsidR="00977D24" w:rsidRPr="00CA1271" w:rsidTr="00A976A5">
        <w:tc>
          <w:tcPr>
            <w:tcW w:w="1508" w:type="dxa"/>
            <w:vAlign w:val="center"/>
          </w:tcPr>
          <w:p w:rsidR="00977D24" w:rsidRPr="00CA1271" w:rsidRDefault="00977D24" w:rsidP="00A976A5">
            <w:pPr>
              <w:rPr>
                <w:rFonts w:cstheme="minorHAnsi"/>
                <w:szCs w:val="18"/>
              </w:rPr>
            </w:pPr>
            <w:r w:rsidRPr="00CA1271">
              <w:rPr>
                <w:rFonts w:cstheme="minorHAnsi"/>
                <w:szCs w:val="18"/>
              </w:rPr>
              <w:t>50</w:t>
            </w:r>
            <w:r w:rsidRPr="00CA1271">
              <w:rPr>
                <w:rFonts w:cstheme="minorHAnsi"/>
                <w:szCs w:val="18"/>
                <w:vertAlign w:val="superscript"/>
              </w:rPr>
              <w:t>th</w:t>
            </w:r>
            <w:r w:rsidRPr="00CA1271">
              <w:rPr>
                <w:rFonts w:cstheme="minorHAnsi"/>
                <w:szCs w:val="18"/>
              </w:rPr>
              <w:t xml:space="preserve"> percentile</w:t>
            </w: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40.0%</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80</w:t>
            </w:r>
            <w:r w:rsidR="001D56EF" w:rsidRPr="00CA1271">
              <w:rPr>
                <w:rFonts w:cstheme="minorHAnsi"/>
                <w:szCs w:val="18"/>
              </w:rPr>
              <w:t>.0</w:t>
            </w:r>
            <w:r w:rsidRPr="00CA1271">
              <w:rPr>
                <w:rFonts w:cstheme="minorHAnsi"/>
                <w:szCs w:val="18"/>
              </w:rPr>
              <w:t>%</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28.1%</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1.2%</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9.0</w:t>
            </w:r>
          </w:p>
        </w:tc>
      </w:tr>
      <w:tr w:rsidR="00977D24" w:rsidRPr="00CA1271"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rsidR="00977D24" w:rsidRPr="00CA1271" w:rsidRDefault="00977D24" w:rsidP="00A976A5">
            <w:pPr>
              <w:rPr>
                <w:rFonts w:cstheme="minorHAnsi"/>
                <w:szCs w:val="18"/>
              </w:rPr>
            </w:pPr>
            <w:r w:rsidRPr="00CA1271">
              <w:rPr>
                <w:rFonts w:cstheme="minorHAnsi"/>
                <w:szCs w:val="18"/>
              </w:rPr>
              <w:t>75</w:t>
            </w:r>
            <w:r w:rsidRPr="00CA1271">
              <w:rPr>
                <w:rFonts w:cstheme="minorHAnsi"/>
                <w:szCs w:val="18"/>
                <w:vertAlign w:val="superscript"/>
              </w:rPr>
              <w:t>th</w:t>
            </w:r>
            <w:r w:rsidRPr="00CA1271">
              <w:rPr>
                <w:rFonts w:cstheme="minorHAnsi"/>
                <w:szCs w:val="18"/>
              </w:rPr>
              <w:t xml:space="preserve"> percentile</w:t>
            </w: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12.5%</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71</w:t>
            </w:r>
            <w:r w:rsidR="001D56EF" w:rsidRPr="00CA1271">
              <w:rPr>
                <w:rFonts w:cstheme="minorHAnsi"/>
                <w:szCs w:val="18"/>
              </w:rPr>
              <w:t>.0</w:t>
            </w:r>
            <w:r w:rsidRPr="00CA1271">
              <w:rPr>
                <w:rFonts w:cstheme="minorHAnsi"/>
                <w:szCs w:val="18"/>
              </w:rPr>
              <w:t>%</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36.4%</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0.5%</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5.0</w:t>
            </w:r>
          </w:p>
        </w:tc>
      </w:tr>
      <w:tr w:rsidR="00977D24" w:rsidRPr="00CA1271" w:rsidTr="00A976A5">
        <w:tc>
          <w:tcPr>
            <w:tcW w:w="1508" w:type="dxa"/>
            <w:vAlign w:val="center"/>
          </w:tcPr>
          <w:p w:rsidR="00977D24" w:rsidRPr="00CA1271" w:rsidRDefault="00977D24" w:rsidP="00A976A5">
            <w:pPr>
              <w:rPr>
                <w:rFonts w:cstheme="minorHAnsi"/>
                <w:szCs w:val="18"/>
              </w:rPr>
            </w:pPr>
            <w:r w:rsidRPr="00CA1271">
              <w:rPr>
                <w:rFonts w:cstheme="minorHAnsi"/>
                <w:szCs w:val="18"/>
              </w:rPr>
              <w:t>90</w:t>
            </w:r>
            <w:r w:rsidRPr="00CA1271">
              <w:rPr>
                <w:rFonts w:cstheme="minorHAnsi"/>
                <w:szCs w:val="18"/>
                <w:vertAlign w:val="superscript"/>
              </w:rPr>
              <w:t>th</w:t>
            </w:r>
            <w:r w:rsidRPr="00CA1271">
              <w:rPr>
                <w:rFonts w:cstheme="minorHAnsi"/>
                <w:szCs w:val="18"/>
              </w:rPr>
              <w:t xml:space="preserve"> percentile</w:t>
            </w: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5.2%</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64</w:t>
            </w:r>
            <w:r w:rsidR="001D56EF" w:rsidRPr="00CA1271">
              <w:rPr>
                <w:rFonts w:cstheme="minorHAnsi"/>
                <w:szCs w:val="18"/>
              </w:rPr>
              <w:t>.4</w:t>
            </w:r>
            <w:r w:rsidRPr="00CA1271">
              <w:rPr>
                <w:rFonts w:cstheme="minorHAnsi"/>
                <w:szCs w:val="18"/>
              </w:rPr>
              <w:t>%</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44.2%</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0.2%</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2.1</w:t>
            </w:r>
          </w:p>
        </w:tc>
      </w:tr>
      <w:tr w:rsidR="00977D24" w:rsidRPr="00CA1271" w:rsidTr="00A976A5">
        <w:trPr>
          <w:cnfStyle w:val="000000100000" w:firstRow="0" w:lastRow="0" w:firstColumn="0" w:lastColumn="0" w:oddVBand="0" w:evenVBand="0" w:oddHBand="1" w:evenHBand="0" w:firstRowFirstColumn="0" w:firstRowLastColumn="0" w:lastRowFirstColumn="0" w:lastRowLastColumn="0"/>
        </w:trPr>
        <w:tc>
          <w:tcPr>
            <w:tcW w:w="1508" w:type="dxa"/>
            <w:vAlign w:val="center"/>
          </w:tcPr>
          <w:p w:rsidR="00977D24" w:rsidRPr="00CA1271" w:rsidRDefault="00977D24" w:rsidP="00A976A5">
            <w:pPr>
              <w:rPr>
                <w:rFonts w:cstheme="minorHAnsi"/>
                <w:szCs w:val="18"/>
              </w:rPr>
            </w:pPr>
            <w:r w:rsidRPr="00CA1271">
              <w:rPr>
                <w:rFonts w:cstheme="minorHAnsi"/>
                <w:szCs w:val="18"/>
              </w:rPr>
              <w:t>95</w:t>
            </w:r>
            <w:r w:rsidRPr="00CA1271">
              <w:rPr>
                <w:rFonts w:cstheme="minorHAnsi"/>
                <w:szCs w:val="18"/>
                <w:vertAlign w:val="superscript"/>
              </w:rPr>
              <w:t>th</w:t>
            </w:r>
            <w:r w:rsidRPr="00CA1271">
              <w:rPr>
                <w:rFonts w:cstheme="minorHAnsi"/>
                <w:szCs w:val="18"/>
              </w:rPr>
              <w:t xml:space="preserve"> percentile</w:t>
            </w: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0.0%</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59</w:t>
            </w:r>
            <w:r w:rsidR="001D56EF" w:rsidRPr="00CA1271">
              <w:rPr>
                <w:rFonts w:cstheme="minorHAnsi"/>
                <w:szCs w:val="18"/>
              </w:rPr>
              <w:t>.0</w:t>
            </w:r>
            <w:r w:rsidRPr="00CA1271">
              <w:rPr>
                <w:rFonts w:cstheme="minorHAnsi"/>
                <w:szCs w:val="18"/>
              </w:rPr>
              <w:t>%</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46.5%</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0.1%</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1.0</w:t>
            </w:r>
          </w:p>
        </w:tc>
      </w:tr>
      <w:tr w:rsidR="00977D24" w:rsidRPr="00CA1271" w:rsidTr="00A976A5">
        <w:tc>
          <w:tcPr>
            <w:tcW w:w="1508" w:type="dxa"/>
            <w:vAlign w:val="center"/>
          </w:tcPr>
          <w:p w:rsidR="00977D24" w:rsidRPr="00CA1271" w:rsidRDefault="00977D24" w:rsidP="00A976A5">
            <w:pPr>
              <w:rPr>
                <w:rFonts w:cstheme="minorHAnsi"/>
                <w:szCs w:val="18"/>
              </w:rPr>
            </w:pPr>
            <w:r w:rsidRPr="00CA1271">
              <w:rPr>
                <w:rFonts w:cstheme="minorHAnsi"/>
                <w:szCs w:val="18"/>
              </w:rPr>
              <w:t>100</w:t>
            </w:r>
            <w:r w:rsidRPr="00CA1271">
              <w:rPr>
                <w:rFonts w:cstheme="minorHAnsi"/>
                <w:szCs w:val="18"/>
                <w:vertAlign w:val="superscript"/>
              </w:rPr>
              <w:t>th</w:t>
            </w:r>
            <w:r w:rsidRPr="00CA1271">
              <w:rPr>
                <w:rFonts w:cstheme="minorHAnsi"/>
                <w:szCs w:val="18"/>
              </w:rPr>
              <w:t xml:space="preserve"> percentile</w:t>
            </w:r>
          </w:p>
        </w:tc>
        <w:tc>
          <w:tcPr>
            <w:tcW w:w="1509" w:type="dxa"/>
            <w:vAlign w:val="center"/>
          </w:tcPr>
          <w:p w:rsidR="00977D24" w:rsidRPr="00CA1271" w:rsidRDefault="00977D24" w:rsidP="00A976A5">
            <w:pPr>
              <w:jc w:val="center"/>
              <w:rPr>
                <w:rFonts w:cstheme="minorHAnsi"/>
                <w:szCs w:val="18"/>
              </w:rPr>
            </w:pPr>
            <w:r w:rsidRPr="00CA1271">
              <w:rPr>
                <w:rFonts w:cstheme="minorHAnsi"/>
                <w:szCs w:val="18"/>
              </w:rPr>
              <w:t>0.0%</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50</w:t>
            </w:r>
            <w:r w:rsidR="001D56EF" w:rsidRPr="00CA1271">
              <w:rPr>
                <w:rFonts w:cstheme="minorHAnsi"/>
                <w:szCs w:val="18"/>
              </w:rPr>
              <w:t>.0</w:t>
            </w:r>
            <w:r w:rsidRPr="00CA1271">
              <w:rPr>
                <w:rFonts w:cstheme="minorHAnsi"/>
                <w:szCs w:val="18"/>
              </w:rPr>
              <w:t>%</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49.2%</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0.0%</w:t>
            </w:r>
          </w:p>
        </w:tc>
        <w:tc>
          <w:tcPr>
            <w:tcW w:w="1511" w:type="dxa"/>
            <w:vAlign w:val="center"/>
          </w:tcPr>
          <w:p w:rsidR="00977D24" w:rsidRPr="00CA1271" w:rsidRDefault="00977D24" w:rsidP="00A976A5">
            <w:pPr>
              <w:jc w:val="center"/>
              <w:rPr>
                <w:rFonts w:cstheme="minorHAnsi"/>
                <w:szCs w:val="18"/>
              </w:rPr>
            </w:pPr>
            <w:r w:rsidRPr="00CA1271">
              <w:rPr>
                <w:rFonts w:cstheme="minorHAnsi"/>
                <w:szCs w:val="18"/>
              </w:rPr>
              <w:t>0.0</w:t>
            </w:r>
          </w:p>
        </w:tc>
      </w:tr>
    </w:tbl>
    <w:p w:rsidR="00977D24" w:rsidRPr="00CA1271" w:rsidRDefault="00977D24" w:rsidP="00977D24">
      <w:pPr>
        <w:spacing w:before="0" w:after="0" w:line="240" w:lineRule="auto"/>
        <w:ind w:left="567" w:hanging="567"/>
        <w:rPr>
          <w:sz w:val="16"/>
          <w:szCs w:val="16"/>
        </w:rPr>
      </w:pPr>
      <w:r w:rsidRPr="00CA1271">
        <w:rPr>
          <w:sz w:val="16"/>
          <w:szCs w:val="16"/>
        </w:rPr>
        <w:t xml:space="preserve">NOTE: </w:t>
      </w:r>
      <w:r w:rsidRPr="00CA1271">
        <w:rPr>
          <w:sz w:val="16"/>
          <w:szCs w:val="16"/>
        </w:rPr>
        <w:tab/>
        <w:t>Implied margin is margin required to generate a rate of return of 8% on working capital.</w:t>
      </w:r>
    </w:p>
    <w:p w:rsidR="00C63652" w:rsidRPr="00CA1271" w:rsidRDefault="00C63652" w:rsidP="00C63652">
      <w:pPr>
        <w:pStyle w:val="Heading3"/>
      </w:pPr>
      <w:r w:rsidRPr="00CA1271">
        <w:t>Comparison to other Schemes</w:t>
      </w:r>
    </w:p>
    <w:p w:rsidR="00B621CC" w:rsidRPr="00CA1271" w:rsidRDefault="00190321" w:rsidP="00B621CC">
      <w:pPr>
        <w:rPr>
          <w:sz w:val="16"/>
          <w:szCs w:val="16"/>
        </w:rPr>
      </w:pPr>
      <w:r w:rsidRPr="00CA1271">
        <w:fldChar w:fldCharType="begin"/>
      </w:r>
      <w:r w:rsidRPr="00CA1271">
        <w:instrText xml:space="preserve"> REF _Ref37881594 \h </w:instrText>
      </w:r>
      <w:r w:rsidR="006D7957" w:rsidRPr="00CA1271">
        <w:instrText xml:space="preserve"> \* MERGEFORMAT </w:instrText>
      </w:r>
      <w:r w:rsidRPr="00CA1271">
        <w:fldChar w:fldCharType="separate"/>
      </w:r>
      <w:r w:rsidR="00B621CC" w:rsidRPr="00CA1271">
        <w:t xml:space="preserve">Table </w:t>
      </w:r>
      <w:r w:rsidR="00B621CC">
        <w:t>5</w:t>
      </w:r>
      <w:r w:rsidRPr="00CA1271">
        <w:fldChar w:fldCharType="end"/>
      </w:r>
      <w:r w:rsidRPr="00CA1271">
        <w:t xml:space="preserve"> and </w:t>
      </w:r>
      <w:r w:rsidRPr="00CA1271">
        <w:fldChar w:fldCharType="begin"/>
      </w:r>
      <w:r w:rsidRPr="00CA1271">
        <w:instrText xml:space="preserve"> REF _Ref37881604 \h </w:instrText>
      </w:r>
      <w:r w:rsidR="006D7957" w:rsidRPr="00CA1271">
        <w:instrText xml:space="preserve"> \* MERGEFORMAT </w:instrText>
      </w:r>
      <w:r w:rsidRPr="00CA1271">
        <w:fldChar w:fldCharType="separate"/>
      </w:r>
      <w:r w:rsidR="00B621CC" w:rsidRPr="00B621CC">
        <w:t xml:space="preserve">NOTES: </w:t>
      </w:r>
      <w:r w:rsidR="00B621CC" w:rsidRPr="00B621CC">
        <w:tab/>
      </w:r>
      <w:r w:rsidR="00B621CC" w:rsidRPr="00CA1271">
        <w:rPr>
          <w:sz w:val="16"/>
          <w:szCs w:val="16"/>
        </w:rPr>
        <w:t xml:space="preserve">Rates as published excluding temporary measures (NDIS – COVID 10% increase). </w:t>
      </w:r>
    </w:p>
    <w:p w:rsidR="00C63652" w:rsidRPr="00CA1271" w:rsidRDefault="00B621CC" w:rsidP="00C63652">
      <w:r w:rsidRPr="00CA1271">
        <w:t xml:space="preserve">Table </w:t>
      </w:r>
      <w:r>
        <w:rPr>
          <w:noProof/>
        </w:rPr>
        <w:t>6</w:t>
      </w:r>
      <w:r w:rsidR="00190321" w:rsidRPr="00CA1271">
        <w:fldChar w:fldCharType="end"/>
      </w:r>
      <w:r w:rsidR="00190321" w:rsidRPr="00CA1271">
        <w:t xml:space="preserve"> </w:t>
      </w:r>
      <w:r w:rsidR="00C63652" w:rsidRPr="00CA1271">
        <w:t>compare the non-TTP and TTP price limits for ND</w:t>
      </w:r>
      <w:r w:rsidR="00FB1A0B" w:rsidRPr="00CA1271">
        <w:t xml:space="preserve">IS supports for attendant care that applied, from </w:t>
      </w:r>
      <w:r w:rsidR="00C63652" w:rsidRPr="00CA1271">
        <w:t>1 July 2019 to 24 March 2020</w:t>
      </w:r>
      <w:r w:rsidR="00FB1A0B" w:rsidRPr="00CA1271">
        <w:t xml:space="preserve"> (before the temporary COVID19 loading was introduced),</w:t>
      </w:r>
      <w:r w:rsidR="00C63652" w:rsidRPr="00CA1271">
        <w:t xml:space="preserve"> with the </w:t>
      </w:r>
      <w:r w:rsidR="00FB1A0B" w:rsidRPr="00CA1271">
        <w:t>fees</w:t>
      </w:r>
      <w:r w:rsidR="00C63652" w:rsidRPr="00CA1271">
        <w:t xml:space="preserve"> </w:t>
      </w:r>
      <w:r w:rsidR="00F37B73" w:rsidRPr="00CA1271">
        <w:t xml:space="preserve">that were </w:t>
      </w:r>
      <w:r w:rsidR="00C63652" w:rsidRPr="00CA1271">
        <w:t xml:space="preserve">payable </w:t>
      </w:r>
      <w:r w:rsidR="00AA0828" w:rsidRPr="00CA1271">
        <w:t>on 1 July 2019 by</w:t>
      </w:r>
      <w:r w:rsidR="00C63652" w:rsidRPr="00CA1271">
        <w:t xml:space="preserve">: </w:t>
      </w:r>
    </w:p>
    <w:p w:rsidR="00AA0828" w:rsidRPr="00CA1271" w:rsidRDefault="00AA0828" w:rsidP="00AA0828">
      <w:pPr>
        <w:pStyle w:val="DotPoint"/>
      </w:pPr>
      <w:proofErr w:type="spellStart"/>
      <w:r w:rsidRPr="00CA1271">
        <w:t>icare</w:t>
      </w:r>
      <w:proofErr w:type="spellEnd"/>
      <w:r w:rsidRPr="00CA1271">
        <w:t>, the New South Wales workers compensation scheme;</w:t>
      </w:r>
    </w:p>
    <w:p w:rsidR="00C63652" w:rsidRPr="00CA1271" w:rsidRDefault="00C63652" w:rsidP="00C63652">
      <w:pPr>
        <w:pStyle w:val="DotPoint"/>
      </w:pPr>
      <w:r w:rsidRPr="00CA1271">
        <w:t>Victorian Transport Accident Commission (TAC)</w:t>
      </w:r>
      <w:r w:rsidR="004B7C78" w:rsidRPr="00CA1271">
        <w:rPr>
          <w:rStyle w:val="FootnoteReference"/>
        </w:rPr>
        <w:t xml:space="preserve"> </w:t>
      </w:r>
      <w:r w:rsidRPr="00CA1271">
        <w:t>;</w:t>
      </w:r>
    </w:p>
    <w:p w:rsidR="00C63652" w:rsidRPr="00CA1271" w:rsidRDefault="00C63652" w:rsidP="00C63652">
      <w:pPr>
        <w:pStyle w:val="DotPoint"/>
      </w:pPr>
      <w:r w:rsidRPr="00CA1271">
        <w:t>Worksafe</w:t>
      </w:r>
      <w:r w:rsidR="00AA0828" w:rsidRPr="00CA1271">
        <w:t xml:space="preserve"> Victoria</w:t>
      </w:r>
      <w:r w:rsidRPr="00CA1271">
        <w:t>;</w:t>
      </w:r>
    </w:p>
    <w:p w:rsidR="00AA0828" w:rsidRPr="00CA1271" w:rsidRDefault="00AA0828" w:rsidP="00C63652">
      <w:pPr>
        <w:pStyle w:val="DotPoint"/>
      </w:pPr>
      <w:r w:rsidRPr="00CA1271">
        <w:t xml:space="preserve">WorkCover Queensland; </w:t>
      </w:r>
    </w:p>
    <w:p w:rsidR="00C63652" w:rsidRPr="00CA1271" w:rsidRDefault="00C63652" w:rsidP="00C63652">
      <w:pPr>
        <w:pStyle w:val="DotPoint"/>
      </w:pPr>
      <w:r w:rsidRPr="00CA1271">
        <w:t>South Austral</w:t>
      </w:r>
      <w:r w:rsidR="00AA0828" w:rsidRPr="00CA1271">
        <w:t xml:space="preserve">ian Lifetime Support Authority </w:t>
      </w:r>
      <w:r w:rsidR="00DA49DA" w:rsidRPr="00CA1271">
        <w:t>; and</w:t>
      </w:r>
    </w:p>
    <w:p w:rsidR="00AA0828" w:rsidRPr="00CA1271" w:rsidRDefault="00AA0828" w:rsidP="00C63652">
      <w:pPr>
        <w:pStyle w:val="DotPoint"/>
      </w:pPr>
      <w:r w:rsidRPr="00CA1271">
        <w:t>Veterans Home Care Program of the Department of Veterans’ Affairs.</w:t>
      </w:r>
    </w:p>
    <w:p w:rsidR="00190321" w:rsidRPr="00CA1271" w:rsidRDefault="00190321" w:rsidP="000A5D9B">
      <w:pPr>
        <w:pStyle w:val="Caption"/>
      </w:pPr>
      <w:bookmarkStart w:id="44" w:name="_Ref37881594"/>
      <w:bookmarkStart w:id="45" w:name="_Toc42014784"/>
      <w:r w:rsidRPr="00CA1271">
        <w:t xml:space="preserve">Table </w:t>
      </w:r>
      <w:r w:rsidRPr="00CA1271">
        <w:fldChar w:fldCharType="begin"/>
      </w:r>
      <w:r w:rsidRPr="00CA1271">
        <w:instrText xml:space="preserve"> SEQ Table \* ARABIC </w:instrText>
      </w:r>
      <w:r w:rsidRPr="00CA1271">
        <w:fldChar w:fldCharType="separate"/>
      </w:r>
      <w:r w:rsidR="00B621CC">
        <w:rPr>
          <w:noProof/>
        </w:rPr>
        <w:t>5</w:t>
      </w:r>
      <w:r w:rsidRPr="00CA1271">
        <w:fldChar w:fldCharType="end"/>
      </w:r>
      <w:bookmarkEnd w:id="44"/>
      <w:r w:rsidRPr="00CA1271">
        <w:t xml:space="preserve"> - NDIS </w:t>
      </w:r>
      <w:r w:rsidR="002A2303" w:rsidRPr="00CA1271">
        <w:t xml:space="preserve">hourly </w:t>
      </w:r>
      <w:r w:rsidRPr="00CA1271">
        <w:t>price limit</w:t>
      </w:r>
      <w:r w:rsidR="002A2303" w:rsidRPr="00CA1271">
        <w:t>s</w:t>
      </w:r>
      <w:r w:rsidRPr="00CA1271">
        <w:t xml:space="preserve"> for non-TTP and TTP support items</w:t>
      </w:r>
      <w:bookmarkEnd w:id="45"/>
    </w:p>
    <w:tbl>
      <w:tblPr>
        <w:tblStyle w:val="GridTable4-Accent4"/>
        <w:tblW w:w="5000" w:type="pct"/>
        <w:tblLook w:val="0420" w:firstRow="1" w:lastRow="0" w:firstColumn="0" w:lastColumn="0" w:noHBand="0" w:noVBand="1"/>
        <w:tblCaption w:val="Table 5 - NDIS hourly price limits for non-TTP and TTP support items"/>
      </w:tblPr>
      <w:tblGrid>
        <w:gridCol w:w="2380"/>
        <w:gridCol w:w="961"/>
        <w:gridCol w:w="1116"/>
        <w:gridCol w:w="1127"/>
        <w:gridCol w:w="1127"/>
        <w:gridCol w:w="1172"/>
        <w:gridCol w:w="1178"/>
      </w:tblGrid>
      <w:tr w:rsidR="00C63652" w:rsidRPr="00CA1271" w:rsidTr="00593582">
        <w:trPr>
          <w:cnfStyle w:val="100000000000" w:firstRow="1" w:lastRow="0" w:firstColumn="0" w:lastColumn="0" w:oddVBand="0" w:evenVBand="0" w:oddHBand="0" w:evenHBand="0" w:firstRowFirstColumn="0" w:firstRowLastColumn="0" w:lastRowFirstColumn="0" w:lastRowLastColumn="0"/>
          <w:trHeight w:val="660"/>
          <w:tblHeader/>
        </w:trPr>
        <w:tc>
          <w:tcPr>
            <w:tcW w:w="1313" w:type="pct"/>
            <w:vAlign w:val="center"/>
            <w:hideMark/>
          </w:tcPr>
          <w:p w:rsidR="00C63652" w:rsidRPr="00CA1271" w:rsidRDefault="00C63652" w:rsidP="00B31142">
            <w:pPr>
              <w:rPr>
                <w:rFonts w:cstheme="minorHAnsi"/>
                <w:szCs w:val="18"/>
                <w:lang w:eastAsia="en-AU"/>
              </w:rPr>
            </w:pPr>
          </w:p>
        </w:tc>
        <w:tc>
          <w:tcPr>
            <w:tcW w:w="530" w:type="pct"/>
            <w:vAlign w:val="center"/>
            <w:hideMark/>
          </w:tcPr>
          <w:p w:rsidR="00C63652" w:rsidRPr="00CA1271" w:rsidRDefault="00C63652" w:rsidP="00B31142">
            <w:pPr>
              <w:jc w:val="center"/>
              <w:rPr>
                <w:rFonts w:cstheme="minorHAnsi"/>
                <w:i/>
                <w:iCs/>
                <w:szCs w:val="18"/>
                <w:lang w:eastAsia="en-AU"/>
              </w:rPr>
            </w:pPr>
            <w:r w:rsidRPr="00CA1271">
              <w:rPr>
                <w:rFonts w:cstheme="minorHAnsi"/>
                <w:i/>
                <w:iCs/>
                <w:szCs w:val="18"/>
                <w:lang w:eastAsia="en-AU"/>
              </w:rPr>
              <w:t>NDIS</w:t>
            </w:r>
          </w:p>
          <w:p w:rsidR="00C63652" w:rsidRPr="00CA1271" w:rsidRDefault="00C63652" w:rsidP="00B31142">
            <w:pPr>
              <w:jc w:val="center"/>
              <w:rPr>
                <w:rFonts w:cstheme="minorHAnsi"/>
                <w:i/>
                <w:iCs/>
                <w:szCs w:val="18"/>
                <w:lang w:eastAsia="en-AU"/>
              </w:rPr>
            </w:pPr>
          </w:p>
          <w:p w:rsidR="00C63652" w:rsidRPr="00CA1271" w:rsidRDefault="00C63652" w:rsidP="00B31142">
            <w:pPr>
              <w:jc w:val="center"/>
              <w:rPr>
                <w:rFonts w:cstheme="minorHAnsi"/>
                <w:i/>
                <w:iCs/>
                <w:szCs w:val="18"/>
                <w:lang w:eastAsia="en-AU"/>
              </w:rPr>
            </w:pPr>
            <w:r w:rsidRPr="00CA1271">
              <w:rPr>
                <w:rFonts w:cstheme="minorHAnsi"/>
                <w:i/>
                <w:iCs/>
                <w:szCs w:val="18"/>
                <w:lang w:eastAsia="en-AU"/>
              </w:rPr>
              <w:t>Level 1</w:t>
            </w:r>
          </w:p>
        </w:tc>
        <w:tc>
          <w:tcPr>
            <w:tcW w:w="616" w:type="pct"/>
            <w:vAlign w:val="center"/>
            <w:hideMark/>
          </w:tcPr>
          <w:p w:rsidR="00C63652" w:rsidRPr="00CA1271" w:rsidRDefault="00C63652" w:rsidP="00B31142">
            <w:pPr>
              <w:jc w:val="center"/>
              <w:rPr>
                <w:rFonts w:cstheme="minorHAnsi"/>
                <w:i/>
                <w:iCs/>
                <w:szCs w:val="18"/>
                <w:lang w:eastAsia="en-AU"/>
              </w:rPr>
            </w:pPr>
            <w:r w:rsidRPr="00CA1271">
              <w:rPr>
                <w:rFonts w:cstheme="minorHAnsi"/>
                <w:i/>
                <w:iCs/>
                <w:szCs w:val="18"/>
                <w:lang w:eastAsia="en-AU"/>
              </w:rPr>
              <w:t>NDIS</w:t>
            </w:r>
          </w:p>
          <w:p w:rsidR="00C63652" w:rsidRPr="00CA1271" w:rsidRDefault="00C63652" w:rsidP="00B31142">
            <w:pPr>
              <w:jc w:val="center"/>
              <w:rPr>
                <w:rFonts w:cstheme="minorHAnsi"/>
                <w:i/>
                <w:iCs/>
                <w:szCs w:val="18"/>
                <w:lang w:eastAsia="en-AU"/>
              </w:rPr>
            </w:pPr>
            <w:r w:rsidRPr="00CA1271">
              <w:rPr>
                <w:rFonts w:cstheme="minorHAnsi"/>
                <w:i/>
                <w:iCs/>
                <w:szCs w:val="18"/>
                <w:lang w:eastAsia="en-AU"/>
              </w:rPr>
              <w:t>TTP</w:t>
            </w:r>
          </w:p>
          <w:p w:rsidR="00C63652" w:rsidRPr="00CA1271" w:rsidRDefault="00C63652" w:rsidP="00B31142">
            <w:pPr>
              <w:jc w:val="center"/>
              <w:rPr>
                <w:rFonts w:cstheme="minorHAnsi"/>
                <w:i/>
                <w:iCs/>
                <w:szCs w:val="18"/>
                <w:lang w:eastAsia="en-AU"/>
              </w:rPr>
            </w:pPr>
            <w:r w:rsidRPr="00CA1271">
              <w:rPr>
                <w:rFonts w:cstheme="minorHAnsi"/>
                <w:i/>
                <w:iCs/>
                <w:szCs w:val="18"/>
                <w:lang w:eastAsia="en-AU"/>
              </w:rPr>
              <w:t>Level 1</w:t>
            </w:r>
          </w:p>
        </w:tc>
        <w:tc>
          <w:tcPr>
            <w:tcW w:w="622" w:type="pct"/>
            <w:vAlign w:val="center"/>
          </w:tcPr>
          <w:p w:rsidR="00C63652" w:rsidRPr="00CA1271" w:rsidRDefault="00C63652" w:rsidP="00B31142">
            <w:pPr>
              <w:jc w:val="center"/>
              <w:rPr>
                <w:rFonts w:cstheme="minorHAnsi"/>
                <w:i/>
                <w:iCs/>
                <w:szCs w:val="18"/>
                <w:lang w:eastAsia="en-AU"/>
              </w:rPr>
            </w:pPr>
            <w:r w:rsidRPr="00CA1271">
              <w:rPr>
                <w:rFonts w:cstheme="minorHAnsi"/>
                <w:i/>
                <w:iCs/>
                <w:szCs w:val="18"/>
                <w:lang w:eastAsia="en-AU"/>
              </w:rPr>
              <w:t>NDIS</w:t>
            </w:r>
          </w:p>
          <w:p w:rsidR="00C63652" w:rsidRPr="00CA1271" w:rsidRDefault="00C63652" w:rsidP="00B31142">
            <w:pPr>
              <w:jc w:val="center"/>
              <w:rPr>
                <w:rFonts w:cstheme="minorHAnsi"/>
                <w:i/>
                <w:iCs/>
                <w:szCs w:val="18"/>
                <w:lang w:eastAsia="en-AU"/>
              </w:rPr>
            </w:pPr>
          </w:p>
          <w:p w:rsidR="00C63652" w:rsidRPr="00CA1271" w:rsidRDefault="00C63652" w:rsidP="00B31142">
            <w:pPr>
              <w:jc w:val="center"/>
              <w:rPr>
                <w:rFonts w:cstheme="minorHAnsi"/>
                <w:i/>
                <w:iCs/>
                <w:szCs w:val="18"/>
                <w:lang w:eastAsia="en-AU"/>
              </w:rPr>
            </w:pPr>
            <w:r w:rsidRPr="00CA1271">
              <w:rPr>
                <w:rFonts w:cstheme="minorHAnsi"/>
                <w:i/>
                <w:iCs/>
                <w:szCs w:val="18"/>
                <w:lang w:eastAsia="en-AU"/>
              </w:rPr>
              <w:t>Level 2</w:t>
            </w:r>
          </w:p>
        </w:tc>
        <w:tc>
          <w:tcPr>
            <w:tcW w:w="622" w:type="pct"/>
            <w:vAlign w:val="center"/>
            <w:hideMark/>
          </w:tcPr>
          <w:p w:rsidR="00C63652" w:rsidRPr="00CA1271" w:rsidRDefault="00C63652" w:rsidP="00B31142">
            <w:pPr>
              <w:jc w:val="center"/>
              <w:rPr>
                <w:rFonts w:cstheme="minorHAnsi"/>
                <w:i/>
                <w:iCs/>
                <w:szCs w:val="18"/>
                <w:lang w:eastAsia="en-AU"/>
              </w:rPr>
            </w:pPr>
            <w:r w:rsidRPr="00CA1271">
              <w:rPr>
                <w:rFonts w:cstheme="minorHAnsi"/>
                <w:i/>
                <w:iCs/>
                <w:szCs w:val="18"/>
                <w:lang w:eastAsia="en-AU"/>
              </w:rPr>
              <w:t>NDIS</w:t>
            </w:r>
          </w:p>
          <w:p w:rsidR="00C63652" w:rsidRPr="00CA1271" w:rsidRDefault="00C63652" w:rsidP="00B31142">
            <w:pPr>
              <w:jc w:val="center"/>
              <w:rPr>
                <w:rFonts w:cstheme="minorHAnsi"/>
                <w:i/>
                <w:iCs/>
                <w:szCs w:val="18"/>
                <w:lang w:eastAsia="en-AU"/>
              </w:rPr>
            </w:pPr>
            <w:r w:rsidRPr="00CA1271">
              <w:rPr>
                <w:rFonts w:cstheme="minorHAnsi"/>
                <w:i/>
                <w:iCs/>
                <w:szCs w:val="18"/>
                <w:lang w:eastAsia="en-AU"/>
              </w:rPr>
              <w:t>TTP</w:t>
            </w:r>
          </w:p>
          <w:p w:rsidR="00C63652" w:rsidRPr="00CA1271" w:rsidRDefault="00C63652" w:rsidP="00B31142">
            <w:pPr>
              <w:jc w:val="center"/>
              <w:rPr>
                <w:rFonts w:cstheme="minorHAnsi"/>
                <w:i/>
                <w:iCs/>
                <w:szCs w:val="18"/>
                <w:lang w:eastAsia="en-AU"/>
              </w:rPr>
            </w:pPr>
            <w:r w:rsidRPr="00CA1271">
              <w:rPr>
                <w:rFonts w:cstheme="minorHAnsi"/>
                <w:i/>
                <w:iCs/>
                <w:szCs w:val="18"/>
                <w:lang w:eastAsia="en-AU"/>
              </w:rPr>
              <w:t>Level 2</w:t>
            </w:r>
          </w:p>
        </w:tc>
        <w:tc>
          <w:tcPr>
            <w:tcW w:w="647" w:type="pct"/>
            <w:vAlign w:val="center"/>
            <w:hideMark/>
          </w:tcPr>
          <w:p w:rsidR="00C63652" w:rsidRPr="00CA1271" w:rsidRDefault="00C63652" w:rsidP="00B31142">
            <w:pPr>
              <w:jc w:val="center"/>
              <w:rPr>
                <w:rFonts w:cstheme="minorHAnsi"/>
                <w:i/>
                <w:iCs/>
                <w:szCs w:val="18"/>
                <w:lang w:eastAsia="en-AU"/>
              </w:rPr>
            </w:pPr>
            <w:r w:rsidRPr="00CA1271">
              <w:rPr>
                <w:rFonts w:cstheme="minorHAnsi"/>
                <w:i/>
                <w:iCs/>
                <w:szCs w:val="18"/>
                <w:lang w:eastAsia="en-AU"/>
              </w:rPr>
              <w:t>NDIS</w:t>
            </w:r>
          </w:p>
          <w:p w:rsidR="00C63652" w:rsidRPr="00CA1271" w:rsidRDefault="00C63652" w:rsidP="00B31142">
            <w:pPr>
              <w:jc w:val="center"/>
              <w:rPr>
                <w:rFonts w:cstheme="minorHAnsi"/>
                <w:i/>
                <w:iCs/>
                <w:szCs w:val="18"/>
                <w:lang w:eastAsia="en-AU"/>
              </w:rPr>
            </w:pPr>
          </w:p>
          <w:p w:rsidR="00C63652" w:rsidRPr="00CA1271" w:rsidRDefault="00C63652" w:rsidP="00B31142">
            <w:pPr>
              <w:jc w:val="center"/>
              <w:rPr>
                <w:rFonts w:cstheme="minorHAnsi"/>
                <w:i/>
                <w:iCs/>
                <w:szCs w:val="18"/>
                <w:lang w:eastAsia="en-AU"/>
              </w:rPr>
            </w:pPr>
            <w:r w:rsidRPr="00CA1271">
              <w:rPr>
                <w:rFonts w:cstheme="minorHAnsi"/>
                <w:i/>
                <w:iCs/>
                <w:szCs w:val="18"/>
                <w:lang w:eastAsia="en-AU"/>
              </w:rPr>
              <w:t>Level 3</w:t>
            </w:r>
          </w:p>
        </w:tc>
        <w:tc>
          <w:tcPr>
            <w:tcW w:w="650" w:type="pct"/>
            <w:vAlign w:val="center"/>
            <w:hideMark/>
          </w:tcPr>
          <w:p w:rsidR="00C63652" w:rsidRPr="00CA1271" w:rsidRDefault="00C63652" w:rsidP="00B31142">
            <w:pPr>
              <w:jc w:val="center"/>
              <w:rPr>
                <w:rFonts w:cstheme="minorHAnsi"/>
                <w:i/>
                <w:iCs/>
                <w:szCs w:val="18"/>
                <w:lang w:eastAsia="en-AU"/>
              </w:rPr>
            </w:pPr>
            <w:r w:rsidRPr="00CA1271">
              <w:rPr>
                <w:rFonts w:cstheme="minorHAnsi"/>
                <w:i/>
                <w:iCs/>
                <w:szCs w:val="18"/>
                <w:lang w:eastAsia="en-AU"/>
              </w:rPr>
              <w:t>NDIS</w:t>
            </w:r>
          </w:p>
          <w:p w:rsidR="00C63652" w:rsidRPr="00CA1271" w:rsidRDefault="00C63652" w:rsidP="00B31142">
            <w:pPr>
              <w:jc w:val="center"/>
              <w:rPr>
                <w:rFonts w:cstheme="minorHAnsi"/>
                <w:i/>
                <w:iCs/>
                <w:szCs w:val="18"/>
                <w:lang w:eastAsia="en-AU"/>
              </w:rPr>
            </w:pPr>
            <w:r w:rsidRPr="00CA1271">
              <w:rPr>
                <w:rFonts w:cstheme="minorHAnsi"/>
                <w:i/>
                <w:iCs/>
                <w:szCs w:val="18"/>
                <w:lang w:eastAsia="en-AU"/>
              </w:rPr>
              <w:t>TTP</w:t>
            </w:r>
          </w:p>
          <w:p w:rsidR="00C63652" w:rsidRPr="00CA1271" w:rsidRDefault="00C63652" w:rsidP="00B31142">
            <w:pPr>
              <w:jc w:val="center"/>
              <w:rPr>
                <w:rFonts w:cstheme="minorHAnsi"/>
                <w:i/>
                <w:iCs/>
                <w:szCs w:val="18"/>
                <w:lang w:eastAsia="en-AU"/>
              </w:rPr>
            </w:pPr>
            <w:r w:rsidRPr="00CA1271">
              <w:rPr>
                <w:rFonts w:cstheme="minorHAnsi"/>
                <w:i/>
                <w:iCs/>
                <w:szCs w:val="18"/>
                <w:lang w:eastAsia="en-AU"/>
              </w:rPr>
              <w:t>Level 3</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315"/>
        </w:trPr>
        <w:tc>
          <w:tcPr>
            <w:tcW w:w="1313" w:type="pct"/>
            <w:noWrap/>
            <w:vAlign w:val="center"/>
            <w:hideMark/>
          </w:tcPr>
          <w:p w:rsidR="00C63652" w:rsidRPr="00CA1271" w:rsidRDefault="00C63652" w:rsidP="00B31142">
            <w:pPr>
              <w:ind w:left="168"/>
              <w:rPr>
                <w:rFonts w:cstheme="minorHAnsi"/>
                <w:i/>
                <w:iCs/>
                <w:color w:val="000000"/>
                <w:szCs w:val="18"/>
                <w:lang w:eastAsia="en-AU"/>
              </w:rPr>
            </w:pPr>
            <w:r w:rsidRPr="00CA1271">
              <w:rPr>
                <w:rFonts w:cstheme="minorHAnsi"/>
                <w:i/>
                <w:iCs/>
                <w:color w:val="000000"/>
                <w:szCs w:val="18"/>
                <w:lang w:eastAsia="en-AU"/>
              </w:rPr>
              <w:t>Weekday</w:t>
            </w:r>
          </w:p>
        </w:tc>
        <w:tc>
          <w:tcPr>
            <w:tcW w:w="530"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$52.85</w:t>
            </w:r>
          </w:p>
        </w:tc>
        <w:tc>
          <w:tcPr>
            <w:tcW w:w="616" w:type="pct"/>
            <w:noWrap/>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$56.81</w:t>
            </w:r>
          </w:p>
        </w:tc>
        <w:tc>
          <w:tcPr>
            <w:tcW w:w="622" w:type="pct"/>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$57.15</w:t>
            </w:r>
          </w:p>
        </w:tc>
        <w:tc>
          <w:tcPr>
            <w:tcW w:w="622"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$61.11</w:t>
            </w:r>
          </w:p>
        </w:tc>
        <w:tc>
          <w:tcPr>
            <w:tcW w:w="647"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$60.04</w:t>
            </w:r>
          </w:p>
        </w:tc>
        <w:tc>
          <w:tcPr>
            <w:tcW w:w="650"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$64.00</w:t>
            </w:r>
          </w:p>
        </w:tc>
      </w:tr>
      <w:tr w:rsidR="00C63652" w:rsidRPr="00CA1271" w:rsidTr="00DE306E">
        <w:tc>
          <w:tcPr>
            <w:tcW w:w="1313" w:type="pct"/>
            <w:noWrap/>
            <w:vAlign w:val="center"/>
          </w:tcPr>
          <w:p w:rsidR="00C63652" w:rsidRPr="00CA1271" w:rsidRDefault="00C63652" w:rsidP="00B31142">
            <w:pPr>
              <w:ind w:left="168"/>
              <w:rPr>
                <w:rFonts w:cstheme="minorHAnsi"/>
                <w:i/>
                <w:iCs/>
                <w:color w:val="000000"/>
                <w:szCs w:val="18"/>
                <w:lang w:eastAsia="en-AU"/>
              </w:rPr>
            </w:pPr>
            <w:r w:rsidRPr="00CA1271">
              <w:rPr>
                <w:rFonts w:cstheme="minorHAnsi"/>
                <w:i/>
                <w:iCs/>
                <w:color w:val="000000"/>
                <w:szCs w:val="18"/>
                <w:lang w:eastAsia="en-AU"/>
              </w:rPr>
              <w:t>Evening</w:t>
            </w:r>
          </w:p>
        </w:tc>
        <w:tc>
          <w:tcPr>
            <w:tcW w:w="530" w:type="pct"/>
            <w:noWrap/>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$58.31</w:t>
            </w:r>
          </w:p>
        </w:tc>
        <w:tc>
          <w:tcPr>
            <w:tcW w:w="616" w:type="pct"/>
            <w:noWrap/>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$62.69</w:t>
            </w:r>
          </w:p>
        </w:tc>
        <w:tc>
          <w:tcPr>
            <w:tcW w:w="622" w:type="pct"/>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$63.06</w:t>
            </w:r>
          </w:p>
        </w:tc>
        <w:tc>
          <w:tcPr>
            <w:tcW w:w="622" w:type="pct"/>
            <w:noWrap/>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$67.44</w:t>
            </w:r>
          </w:p>
        </w:tc>
        <w:tc>
          <w:tcPr>
            <w:tcW w:w="647" w:type="pct"/>
            <w:noWrap/>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$66.23</w:t>
            </w:r>
          </w:p>
        </w:tc>
        <w:tc>
          <w:tcPr>
            <w:tcW w:w="650" w:type="pct"/>
            <w:noWrap/>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$70.61</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300"/>
        </w:trPr>
        <w:tc>
          <w:tcPr>
            <w:tcW w:w="1313" w:type="pct"/>
            <w:noWrap/>
            <w:vAlign w:val="center"/>
            <w:hideMark/>
          </w:tcPr>
          <w:p w:rsidR="00C63652" w:rsidRPr="00CA1271" w:rsidRDefault="00C63652" w:rsidP="00B31142">
            <w:pPr>
              <w:ind w:left="168"/>
              <w:rPr>
                <w:rFonts w:cstheme="minorHAnsi"/>
                <w:i/>
                <w:iCs/>
                <w:color w:val="000000"/>
                <w:szCs w:val="18"/>
                <w:lang w:eastAsia="en-AU"/>
              </w:rPr>
            </w:pPr>
            <w:r w:rsidRPr="00CA1271">
              <w:rPr>
                <w:rFonts w:cstheme="minorHAnsi"/>
                <w:i/>
                <w:iCs/>
                <w:color w:val="000000"/>
                <w:szCs w:val="18"/>
                <w:lang w:eastAsia="en-AU"/>
              </w:rPr>
              <w:t>Night</w:t>
            </w:r>
          </w:p>
        </w:tc>
        <w:tc>
          <w:tcPr>
            <w:tcW w:w="530"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$59.40</w:t>
            </w:r>
          </w:p>
        </w:tc>
        <w:tc>
          <w:tcPr>
            <w:tcW w:w="616"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$63.85</w:t>
            </w:r>
          </w:p>
        </w:tc>
        <w:tc>
          <w:tcPr>
            <w:tcW w:w="622" w:type="pct"/>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$64.24</w:t>
            </w:r>
          </w:p>
        </w:tc>
        <w:tc>
          <w:tcPr>
            <w:tcW w:w="622"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$68.69</w:t>
            </w:r>
          </w:p>
        </w:tc>
        <w:tc>
          <w:tcPr>
            <w:tcW w:w="647"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$67.47</w:t>
            </w:r>
          </w:p>
        </w:tc>
        <w:tc>
          <w:tcPr>
            <w:tcW w:w="650"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$71.92</w:t>
            </w:r>
          </w:p>
        </w:tc>
      </w:tr>
      <w:tr w:rsidR="00C63652" w:rsidRPr="00CA1271" w:rsidTr="00C63652">
        <w:trPr>
          <w:trHeight w:val="300"/>
        </w:trPr>
        <w:tc>
          <w:tcPr>
            <w:tcW w:w="1313" w:type="pct"/>
            <w:noWrap/>
            <w:vAlign w:val="center"/>
            <w:hideMark/>
          </w:tcPr>
          <w:p w:rsidR="00C63652" w:rsidRPr="00CA1271" w:rsidRDefault="00C63652" w:rsidP="00B31142">
            <w:pPr>
              <w:ind w:left="168"/>
              <w:rPr>
                <w:rFonts w:cstheme="minorHAnsi"/>
                <w:i/>
                <w:iCs/>
                <w:color w:val="000000"/>
                <w:szCs w:val="18"/>
                <w:lang w:eastAsia="en-AU"/>
              </w:rPr>
            </w:pPr>
            <w:r w:rsidRPr="00CA1271">
              <w:rPr>
                <w:rFonts w:cstheme="minorHAnsi"/>
                <w:i/>
                <w:iCs/>
                <w:color w:val="000000"/>
                <w:szCs w:val="18"/>
                <w:lang w:eastAsia="en-AU"/>
              </w:rPr>
              <w:t>Saturday</w:t>
            </w:r>
          </w:p>
        </w:tc>
        <w:tc>
          <w:tcPr>
            <w:tcW w:w="530"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$72.69</w:t>
            </w:r>
          </w:p>
        </w:tc>
        <w:tc>
          <w:tcPr>
            <w:tcW w:w="616" w:type="pct"/>
            <w:noWrap/>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$78.14</w:t>
            </w:r>
          </w:p>
        </w:tc>
        <w:tc>
          <w:tcPr>
            <w:tcW w:w="622" w:type="pct"/>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$78.63</w:t>
            </w:r>
          </w:p>
        </w:tc>
        <w:tc>
          <w:tcPr>
            <w:tcW w:w="622"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$84.08</w:t>
            </w:r>
          </w:p>
        </w:tc>
        <w:tc>
          <w:tcPr>
            <w:tcW w:w="647"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$82.58</w:t>
            </w:r>
          </w:p>
        </w:tc>
        <w:tc>
          <w:tcPr>
            <w:tcW w:w="650"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$88.03</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300"/>
        </w:trPr>
        <w:tc>
          <w:tcPr>
            <w:tcW w:w="1313" w:type="pct"/>
            <w:noWrap/>
            <w:vAlign w:val="center"/>
            <w:hideMark/>
          </w:tcPr>
          <w:p w:rsidR="00C63652" w:rsidRPr="00CA1271" w:rsidRDefault="00C63652" w:rsidP="00B31142">
            <w:pPr>
              <w:ind w:left="168"/>
              <w:rPr>
                <w:rFonts w:cstheme="minorHAnsi"/>
                <w:i/>
                <w:iCs/>
                <w:color w:val="000000"/>
                <w:szCs w:val="18"/>
                <w:lang w:eastAsia="en-AU"/>
              </w:rPr>
            </w:pPr>
            <w:r w:rsidRPr="00CA1271">
              <w:rPr>
                <w:rFonts w:cstheme="minorHAnsi"/>
                <w:i/>
                <w:iCs/>
                <w:color w:val="000000"/>
                <w:szCs w:val="18"/>
                <w:lang w:eastAsia="en-AU"/>
              </w:rPr>
              <w:t>Sunday</w:t>
            </w:r>
          </w:p>
        </w:tc>
        <w:tc>
          <w:tcPr>
            <w:tcW w:w="530"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$94.52</w:t>
            </w:r>
          </w:p>
        </w:tc>
        <w:tc>
          <w:tcPr>
            <w:tcW w:w="616" w:type="pct"/>
            <w:noWrap/>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$101.61</w:t>
            </w:r>
          </w:p>
        </w:tc>
        <w:tc>
          <w:tcPr>
            <w:tcW w:w="622" w:type="pct"/>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$102.23</w:t>
            </w:r>
          </w:p>
        </w:tc>
        <w:tc>
          <w:tcPr>
            <w:tcW w:w="622"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$109.32</w:t>
            </w:r>
          </w:p>
        </w:tc>
        <w:tc>
          <w:tcPr>
            <w:tcW w:w="647"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$107.37</w:t>
            </w:r>
          </w:p>
        </w:tc>
        <w:tc>
          <w:tcPr>
            <w:tcW w:w="650"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$114.46</w:t>
            </w:r>
          </w:p>
        </w:tc>
      </w:tr>
      <w:tr w:rsidR="00C63652" w:rsidRPr="00CA1271" w:rsidTr="00C63652">
        <w:trPr>
          <w:trHeight w:val="300"/>
        </w:trPr>
        <w:tc>
          <w:tcPr>
            <w:tcW w:w="1313" w:type="pct"/>
            <w:noWrap/>
            <w:vAlign w:val="center"/>
            <w:hideMark/>
          </w:tcPr>
          <w:p w:rsidR="00C63652" w:rsidRPr="00CA1271" w:rsidRDefault="00C63652" w:rsidP="00B31142">
            <w:pPr>
              <w:ind w:left="168"/>
              <w:rPr>
                <w:rFonts w:cstheme="minorHAnsi"/>
                <w:i/>
                <w:iCs/>
                <w:color w:val="000000"/>
                <w:szCs w:val="18"/>
                <w:lang w:eastAsia="en-AU"/>
              </w:rPr>
            </w:pPr>
            <w:r w:rsidRPr="00CA1271">
              <w:rPr>
                <w:rFonts w:cstheme="minorHAnsi"/>
                <w:i/>
                <w:iCs/>
                <w:color w:val="000000"/>
                <w:szCs w:val="18"/>
                <w:lang w:eastAsia="en-AU"/>
              </w:rPr>
              <w:t>Public holiday</w:t>
            </w:r>
          </w:p>
        </w:tc>
        <w:tc>
          <w:tcPr>
            <w:tcW w:w="530"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$118.34</w:t>
            </w:r>
          </w:p>
        </w:tc>
        <w:tc>
          <w:tcPr>
            <w:tcW w:w="616"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$127.21</w:t>
            </w:r>
          </w:p>
        </w:tc>
        <w:tc>
          <w:tcPr>
            <w:tcW w:w="622" w:type="pct"/>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$127.97</w:t>
            </w:r>
          </w:p>
        </w:tc>
        <w:tc>
          <w:tcPr>
            <w:tcW w:w="622"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$136.84</w:t>
            </w:r>
          </w:p>
        </w:tc>
        <w:tc>
          <w:tcPr>
            <w:tcW w:w="647"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$134.42</w:t>
            </w:r>
          </w:p>
        </w:tc>
        <w:tc>
          <w:tcPr>
            <w:tcW w:w="650"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$143.29</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300"/>
        </w:trPr>
        <w:tc>
          <w:tcPr>
            <w:tcW w:w="1313" w:type="pct"/>
            <w:noWrap/>
            <w:vAlign w:val="center"/>
          </w:tcPr>
          <w:p w:rsidR="00C63652" w:rsidRPr="00CA1271" w:rsidRDefault="00C63652" w:rsidP="00B31142">
            <w:pPr>
              <w:ind w:left="168"/>
              <w:rPr>
                <w:rFonts w:cstheme="minorHAnsi"/>
                <w:i/>
                <w:iCs/>
                <w:color w:val="000000"/>
                <w:szCs w:val="18"/>
                <w:lang w:eastAsia="en-AU"/>
              </w:rPr>
            </w:pPr>
            <w:r w:rsidRPr="00CA1271">
              <w:rPr>
                <w:rFonts w:cstheme="minorHAnsi"/>
                <w:i/>
                <w:iCs/>
                <w:color w:val="000000"/>
                <w:szCs w:val="18"/>
                <w:lang w:eastAsia="en-AU"/>
              </w:rPr>
              <w:t>Inactive overnight</w:t>
            </w:r>
          </w:p>
        </w:tc>
        <w:tc>
          <w:tcPr>
            <w:tcW w:w="530" w:type="pct"/>
            <w:noWrap/>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$214.03</w:t>
            </w:r>
          </w:p>
        </w:tc>
        <w:tc>
          <w:tcPr>
            <w:tcW w:w="616" w:type="pct"/>
            <w:noWrap/>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$214.03</w:t>
            </w:r>
          </w:p>
        </w:tc>
        <w:tc>
          <w:tcPr>
            <w:tcW w:w="622" w:type="pct"/>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$214.03</w:t>
            </w:r>
          </w:p>
        </w:tc>
        <w:tc>
          <w:tcPr>
            <w:tcW w:w="622" w:type="pct"/>
            <w:noWrap/>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$214.03</w:t>
            </w:r>
          </w:p>
        </w:tc>
        <w:tc>
          <w:tcPr>
            <w:tcW w:w="647" w:type="pct"/>
            <w:noWrap/>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$214.03</w:t>
            </w:r>
          </w:p>
        </w:tc>
        <w:tc>
          <w:tcPr>
            <w:tcW w:w="650" w:type="pct"/>
            <w:noWrap/>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$214.03</w:t>
            </w:r>
          </w:p>
        </w:tc>
      </w:tr>
      <w:tr w:rsidR="00C63652" w:rsidRPr="00CA1271" w:rsidTr="00C63652">
        <w:trPr>
          <w:trHeight w:val="300"/>
        </w:trPr>
        <w:tc>
          <w:tcPr>
            <w:tcW w:w="1313" w:type="pct"/>
            <w:noWrap/>
            <w:vAlign w:val="center"/>
            <w:hideMark/>
          </w:tcPr>
          <w:p w:rsidR="00C63652" w:rsidRPr="00CA1271" w:rsidRDefault="00C63652" w:rsidP="00B31142">
            <w:pPr>
              <w:ind w:left="168"/>
              <w:rPr>
                <w:rFonts w:cstheme="minorHAnsi"/>
                <w:i/>
                <w:iCs/>
                <w:color w:val="000000"/>
                <w:szCs w:val="18"/>
                <w:lang w:eastAsia="en-AU"/>
              </w:rPr>
            </w:pPr>
            <w:r w:rsidRPr="00CA1271">
              <w:rPr>
                <w:rFonts w:cstheme="minorHAnsi"/>
                <w:i/>
                <w:iCs/>
                <w:color w:val="000000"/>
                <w:szCs w:val="18"/>
                <w:lang w:eastAsia="en-AU"/>
              </w:rPr>
              <w:t>Establishment fee</w:t>
            </w:r>
          </w:p>
        </w:tc>
        <w:tc>
          <w:tcPr>
            <w:tcW w:w="530"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$500.00</w:t>
            </w:r>
          </w:p>
        </w:tc>
        <w:tc>
          <w:tcPr>
            <w:tcW w:w="616"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$500.00</w:t>
            </w:r>
          </w:p>
        </w:tc>
        <w:tc>
          <w:tcPr>
            <w:tcW w:w="622" w:type="pct"/>
            <w:vAlign w:val="center"/>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$500.00</w:t>
            </w:r>
          </w:p>
        </w:tc>
        <w:tc>
          <w:tcPr>
            <w:tcW w:w="622"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$500.00</w:t>
            </w:r>
          </w:p>
        </w:tc>
        <w:tc>
          <w:tcPr>
            <w:tcW w:w="647"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$500.00</w:t>
            </w:r>
          </w:p>
        </w:tc>
        <w:tc>
          <w:tcPr>
            <w:tcW w:w="650" w:type="pct"/>
            <w:noWrap/>
            <w:vAlign w:val="center"/>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$500.00</w:t>
            </w:r>
          </w:p>
        </w:tc>
      </w:tr>
    </w:tbl>
    <w:p w:rsidR="00FB1A0B" w:rsidRPr="00CA1271" w:rsidRDefault="00FB1A0B" w:rsidP="00FB1A0B">
      <w:pPr>
        <w:spacing w:before="0" w:after="0" w:line="240" w:lineRule="auto"/>
        <w:ind w:left="567" w:hanging="567"/>
        <w:rPr>
          <w:sz w:val="16"/>
          <w:szCs w:val="16"/>
        </w:rPr>
      </w:pPr>
      <w:bookmarkStart w:id="46" w:name="_Ref37881604"/>
      <w:r w:rsidRPr="00CA1271">
        <w:rPr>
          <w:sz w:val="16"/>
          <w:szCs w:val="16"/>
        </w:rPr>
        <w:t xml:space="preserve">NOTES: </w:t>
      </w:r>
      <w:r w:rsidRPr="00CA1271">
        <w:rPr>
          <w:sz w:val="16"/>
          <w:szCs w:val="16"/>
        </w:rPr>
        <w:tab/>
        <w:t xml:space="preserve">Rates as published excluding temporary measures (NDIS – COVID 10% increase). </w:t>
      </w:r>
    </w:p>
    <w:p w:rsidR="00C63652" w:rsidRPr="00CA1271" w:rsidRDefault="00190321" w:rsidP="000A5D9B">
      <w:pPr>
        <w:pStyle w:val="Caption"/>
      </w:pPr>
      <w:bookmarkStart w:id="47" w:name="_Toc42014785"/>
      <w:r w:rsidRPr="00CA1271">
        <w:t xml:space="preserve">Table </w:t>
      </w:r>
      <w:r w:rsidRPr="00CA1271">
        <w:fldChar w:fldCharType="begin"/>
      </w:r>
      <w:r w:rsidRPr="00CA1271">
        <w:instrText xml:space="preserve"> SEQ Table \* ARABIC </w:instrText>
      </w:r>
      <w:r w:rsidRPr="00CA1271">
        <w:fldChar w:fldCharType="separate"/>
      </w:r>
      <w:r w:rsidR="00B621CC">
        <w:rPr>
          <w:noProof/>
        </w:rPr>
        <w:t>6</w:t>
      </w:r>
      <w:r w:rsidRPr="00CA1271">
        <w:fldChar w:fldCharType="end"/>
      </w:r>
      <w:bookmarkEnd w:id="46"/>
      <w:r w:rsidRPr="00CA1271">
        <w:t xml:space="preserve"> - Comparative Scheme </w:t>
      </w:r>
      <w:r w:rsidR="002A2303" w:rsidRPr="00CA1271">
        <w:t>hourly fees</w:t>
      </w:r>
      <w:bookmarkEnd w:id="47"/>
    </w:p>
    <w:tbl>
      <w:tblPr>
        <w:tblStyle w:val="GridTable4-Accent4"/>
        <w:tblW w:w="5000" w:type="pct"/>
        <w:tblLook w:val="0420" w:firstRow="1" w:lastRow="0" w:firstColumn="0" w:lastColumn="0" w:noHBand="0" w:noVBand="1"/>
        <w:tblCaption w:val="Table 6 - Comparative Scheme hourly fees"/>
      </w:tblPr>
      <w:tblGrid>
        <w:gridCol w:w="2281"/>
        <w:gridCol w:w="1125"/>
        <w:gridCol w:w="1133"/>
        <w:gridCol w:w="1133"/>
        <w:gridCol w:w="1131"/>
        <w:gridCol w:w="1131"/>
        <w:gridCol w:w="1127"/>
      </w:tblGrid>
      <w:tr w:rsidR="002A2303" w:rsidRPr="00CA1271" w:rsidTr="00593582">
        <w:trPr>
          <w:cnfStyle w:val="100000000000" w:firstRow="1" w:lastRow="0" w:firstColumn="0" w:lastColumn="0" w:oddVBand="0" w:evenVBand="0" w:oddHBand="0" w:evenHBand="0" w:firstRowFirstColumn="0" w:firstRowLastColumn="0" w:lastRowFirstColumn="0" w:lastRowLastColumn="0"/>
          <w:tblHeader/>
        </w:trPr>
        <w:tc>
          <w:tcPr>
            <w:tcW w:w="1259" w:type="pct"/>
            <w:hideMark/>
          </w:tcPr>
          <w:p w:rsidR="002A2303" w:rsidRPr="00CA1271" w:rsidRDefault="002A2303" w:rsidP="00FB1A0B">
            <w:pPr>
              <w:rPr>
                <w:rFonts w:ascii="Calibri" w:hAnsi="Calibri" w:cs="Calibri"/>
                <w:szCs w:val="18"/>
                <w:lang w:eastAsia="en-AU"/>
              </w:rPr>
            </w:pPr>
            <w:r w:rsidRPr="00CA1271">
              <w:rPr>
                <w:rFonts w:ascii="Calibri" w:hAnsi="Calibri" w:cs="Calibri"/>
                <w:szCs w:val="18"/>
                <w:lang w:eastAsia="en-AU"/>
              </w:rPr>
              <w:t> </w:t>
            </w:r>
          </w:p>
        </w:tc>
        <w:tc>
          <w:tcPr>
            <w:tcW w:w="621" w:type="pct"/>
            <w:hideMark/>
          </w:tcPr>
          <w:p w:rsidR="002A2303" w:rsidRPr="00CA1271" w:rsidRDefault="002A2303" w:rsidP="00FB1A0B">
            <w:pPr>
              <w:jc w:val="center"/>
              <w:rPr>
                <w:rFonts w:ascii="Calibri" w:hAnsi="Calibri" w:cs="Calibri"/>
                <w:i/>
                <w:iCs/>
                <w:color w:val="FF0000"/>
                <w:szCs w:val="18"/>
                <w:lang w:eastAsia="en-AU"/>
              </w:rPr>
            </w:pPr>
            <w:proofErr w:type="spellStart"/>
            <w:r w:rsidRPr="00CA1271">
              <w:rPr>
                <w:rFonts w:ascii="Calibri" w:hAnsi="Calibri" w:cs="Calibri"/>
                <w:i/>
                <w:iCs/>
                <w:szCs w:val="18"/>
                <w:lang w:eastAsia="en-AU"/>
              </w:rPr>
              <w:t>icare</w:t>
            </w:r>
            <w:proofErr w:type="spellEnd"/>
            <w:r w:rsidRPr="00CA1271">
              <w:rPr>
                <w:rFonts w:ascii="Calibri" w:hAnsi="Calibri" w:cs="Calibri"/>
                <w:i/>
                <w:iCs/>
                <w:szCs w:val="18"/>
                <w:lang w:eastAsia="en-AU"/>
              </w:rPr>
              <w:t xml:space="preserve"> NSW</w:t>
            </w:r>
          </w:p>
        </w:tc>
        <w:tc>
          <w:tcPr>
            <w:tcW w:w="625" w:type="pct"/>
          </w:tcPr>
          <w:p w:rsidR="002A2303" w:rsidRPr="00CA1271" w:rsidRDefault="002A2303" w:rsidP="00FB1A0B">
            <w:pPr>
              <w:jc w:val="center"/>
              <w:rPr>
                <w:rFonts w:ascii="Calibri" w:hAnsi="Calibri" w:cs="Calibri"/>
                <w:i/>
                <w:iCs/>
                <w:szCs w:val="18"/>
                <w:lang w:eastAsia="en-AU"/>
              </w:rPr>
            </w:pPr>
            <w:r w:rsidRPr="00CA1271">
              <w:rPr>
                <w:rFonts w:ascii="Calibri" w:hAnsi="Calibri" w:cs="Calibri"/>
                <w:i/>
                <w:iCs/>
                <w:szCs w:val="18"/>
                <w:lang w:eastAsia="en-AU"/>
              </w:rPr>
              <w:t>TAC</w:t>
            </w:r>
          </w:p>
          <w:p w:rsidR="002A2303" w:rsidRPr="00CA1271" w:rsidRDefault="002A2303" w:rsidP="00FB1A0B">
            <w:pPr>
              <w:jc w:val="center"/>
              <w:rPr>
                <w:rFonts w:ascii="Calibri" w:hAnsi="Calibri" w:cs="Calibri"/>
                <w:b w:val="0"/>
                <w:bCs w:val="0"/>
                <w:i/>
                <w:iCs/>
                <w:szCs w:val="18"/>
                <w:lang w:eastAsia="en-AU"/>
              </w:rPr>
            </w:pPr>
            <w:r w:rsidRPr="00CA1271">
              <w:rPr>
                <w:rFonts w:ascii="Calibri" w:hAnsi="Calibri" w:cs="Calibri"/>
                <w:i/>
                <w:iCs/>
                <w:szCs w:val="18"/>
                <w:lang w:eastAsia="en-AU"/>
              </w:rPr>
              <w:t>(IQRS)*</w:t>
            </w:r>
          </w:p>
          <w:p w:rsidR="002A2303" w:rsidRPr="00CA1271" w:rsidRDefault="002A2303" w:rsidP="00FB1A0B">
            <w:pPr>
              <w:jc w:val="center"/>
              <w:rPr>
                <w:rFonts w:ascii="Calibri" w:hAnsi="Calibri" w:cs="Calibri"/>
                <w:i/>
                <w:iCs/>
                <w:szCs w:val="18"/>
                <w:lang w:eastAsia="en-AU"/>
              </w:rPr>
            </w:pPr>
          </w:p>
        </w:tc>
        <w:tc>
          <w:tcPr>
            <w:tcW w:w="625" w:type="pct"/>
            <w:hideMark/>
          </w:tcPr>
          <w:p w:rsidR="002A2303" w:rsidRPr="00CA1271" w:rsidRDefault="002A2303" w:rsidP="00FB1A0B">
            <w:pPr>
              <w:jc w:val="center"/>
              <w:rPr>
                <w:rFonts w:ascii="Calibri" w:hAnsi="Calibri" w:cs="Calibri"/>
                <w:i/>
                <w:iCs/>
                <w:szCs w:val="18"/>
                <w:lang w:eastAsia="en-AU"/>
              </w:rPr>
            </w:pPr>
            <w:r w:rsidRPr="00CA1271">
              <w:rPr>
                <w:rFonts w:ascii="Calibri" w:hAnsi="Calibri" w:cs="Calibri"/>
                <w:i/>
                <w:iCs/>
                <w:szCs w:val="18"/>
                <w:lang w:eastAsia="en-AU"/>
              </w:rPr>
              <w:t>WorkSafe Victoria (IQRS)</w:t>
            </w:r>
          </w:p>
        </w:tc>
        <w:tc>
          <w:tcPr>
            <w:tcW w:w="624" w:type="pct"/>
          </w:tcPr>
          <w:p w:rsidR="002A2303" w:rsidRPr="00CA1271" w:rsidRDefault="002A2303" w:rsidP="00FB1A0B">
            <w:pPr>
              <w:jc w:val="center"/>
              <w:rPr>
                <w:rFonts w:ascii="Calibri" w:hAnsi="Calibri" w:cs="Calibri"/>
                <w:i/>
                <w:iCs/>
                <w:szCs w:val="18"/>
                <w:lang w:eastAsia="en-AU"/>
              </w:rPr>
            </w:pPr>
            <w:r w:rsidRPr="00CA1271">
              <w:rPr>
                <w:rFonts w:ascii="Calibri" w:hAnsi="Calibri" w:cs="Calibri"/>
                <w:i/>
                <w:iCs/>
                <w:szCs w:val="18"/>
                <w:lang w:eastAsia="en-AU"/>
              </w:rPr>
              <w:t>WorkCover Queensland</w:t>
            </w:r>
          </w:p>
        </w:tc>
        <w:tc>
          <w:tcPr>
            <w:tcW w:w="624" w:type="pct"/>
          </w:tcPr>
          <w:p w:rsidR="002A2303" w:rsidRPr="00CA1271" w:rsidRDefault="002A2303" w:rsidP="00FB1A0B">
            <w:pPr>
              <w:jc w:val="center"/>
              <w:rPr>
                <w:rFonts w:ascii="Calibri" w:hAnsi="Calibri" w:cs="Calibri"/>
                <w:i/>
                <w:iCs/>
                <w:szCs w:val="18"/>
                <w:lang w:eastAsia="en-AU"/>
              </w:rPr>
            </w:pPr>
            <w:r w:rsidRPr="00CA1271">
              <w:rPr>
                <w:rFonts w:ascii="Calibri" w:hAnsi="Calibri" w:cs="Calibri"/>
                <w:i/>
                <w:iCs/>
                <w:szCs w:val="18"/>
                <w:lang w:eastAsia="en-AU"/>
              </w:rPr>
              <w:t>SA Lifetime Support Authority</w:t>
            </w:r>
          </w:p>
        </w:tc>
        <w:tc>
          <w:tcPr>
            <w:tcW w:w="622" w:type="pct"/>
          </w:tcPr>
          <w:p w:rsidR="002A2303" w:rsidRPr="00CA1271" w:rsidRDefault="002A2303" w:rsidP="00FB1A0B">
            <w:pPr>
              <w:jc w:val="center"/>
              <w:rPr>
                <w:rFonts w:ascii="Calibri" w:hAnsi="Calibri" w:cs="Calibri"/>
                <w:i/>
                <w:iCs/>
                <w:szCs w:val="18"/>
                <w:lang w:eastAsia="en-AU"/>
              </w:rPr>
            </w:pPr>
            <w:r w:rsidRPr="00CA1271">
              <w:rPr>
                <w:rFonts w:ascii="Calibri" w:hAnsi="Calibri" w:cs="Calibri"/>
                <w:i/>
                <w:iCs/>
                <w:szCs w:val="18"/>
                <w:lang w:eastAsia="en-AU"/>
              </w:rPr>
              <w:t>Veterans Home Care**</w:t>
            </w:r>
          </w:p>
        </w:tc>
      </w:tr>
      <w:tr w:rsidR="002A2303" w:rsidRPr="00CA1271" w:rsidTr="002A2303">
        <w:trPr>
          <w:cnfStyle w:val="000000100000" w:firstRow="0" w:lastRow="0" w:firstColumn="0" w:lastColumn="0" w:oddVBand="0" w:evenVBand="0" w:oddHBand="1" w:evenHBand="0" w:firstRowFirstColumn="0" w:firstRowLastColumn="0" w:lastRowFirstColumn="0" w:lastRowLastColumn="0"/>
        </w:trPr>
        <w:tc>
          <w:tcPr>
            <w:tcW w:w="1259" w:type="pct"/>
            <w:noWrap/>
            <w:hideMark/>
          </w:tcPr>
          <w:p w:rsidR="002A2303" w:rsidRPr="00CA1271" w:rsidRDefault="002A2303" w:rsidP="00FB1A0B">
            <w:pPr>
              <w:ind w:left="168"/>
              <w:rPr>
                <w:rFonts w:ascii="Calibri" w:hAnsi="Calibri" w:cs="Calibri"/>
                <w:i/>
                <w:iCs/>
                <w:color w:val="000000"/>
                <w:szCs w:val="18"/>
                <w:lang w:eastAsia="en-AU"/>
              </w:rPr>
            </w:pPr>
            <w:r w:rsidRPr="00CA1271">
              <w:rPr>
                <w:rFonts w:ascii="Calibri" w:hAnsi="Calibri" w:cs="Calibri"/>
                <w:i/>
                <w:iCs/>
                <w:color w:val="000000"/>
                <w:szCs w:val="18"/>
                <w:lang w:eastAsia="en-AU"/>
              </w:rPr>
              <w:t>Weekday</w:t>
            </w:r>
          </w:p>
        </w:tc>
        <w:tc>
          <w:tcPr>
            <w:tcW w:w="621" w:type="pct"/>
            <w:noWrap/>
            <w:hideMark/>
          </w:tcPr>
          <w:p w:rsidR="002A2303" w:rsidRPr="00CA1271" w:rsidRDefault="002A2303" w:rsidP="00FB1A0B">
            <w:pPr>
              <w:jc w:val="center"/>
              <w:rPr>
                <w:rFonts w:ascii="Calibri" w:hAnsi="Calibri" w:cs="Calibri"/>
                <w:szCs w:val="18"/>
                <w:lang w:eastAsia="en-AU"/>
              </w:rPr>
            </w:pPr>
            <w:r w:rsidRPr="00CA1271">
              <w:rPr>
                <w:rFonts w:ascii="Calibri" w:hAnsi="Calibri" w:cs="Calibri"/>
                <w:szCs w:val="18"/>
                <w:lang w:eastAsia="en-AU"/>
              </w:rPr>
              <w:t>$49.18</w:t>
            </w:r>
          </w:p>
        </w:tc>
        <w:tc>
          <w:tcPr>
            <w:tcW w:w="625"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$50.56</w:t>
            </w:r>
          </w:p>
        </w:tc>
        <w:tc>
          <w:tcPr>
            <w:tcW w:w="625" w:type="pct"/>
            <w:noWrap/>
            <w:hideMark/>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$48.88</w:t>
            </w:r>
          </w:p>
        </w:tc>
        <w:tc>
          <w:tcPr>
            <w:tcW w:w="624"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$49.00</w:t>
            </w:r>
          </w:p>
        </w:tc>
        <w:tc>
          <w:tcPr>
            <w:tcW w:w="624"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$48.31</w:t>
            </w:r>
          </w:p>
        </w:tc>
        <w:tc>
          <w:tcPr>
            <w:tcW w:w="622"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$69.45</w:t>
            </w:r>
          </w:p>
        </w:tc>
      </w:tr>
      <w:tr w:rsidR="002A2303" w:rsidRPr="00CA1271" w:rsidTr="002A2303">
        <w:tc>
          <w:tcPr>
            <w:tcW w:w="1259" w:type="pct"/>
            <w:noWrap/>
          </w:tcPr>
          <w:p w:rsidR="002A2303" w:rsidRPr="00CA1271" w:rsidRDefault="002A2303" w:rsidP="00FB1A0B">
            <w:pPr>
              <w:ind w:left="168"/>
              <w:rPr>
                <w:rFonts w:ascii="Calibri" w:hAnsi="Calibri" w:cs="Calibri"/>
                <w:i/>
                <w:iCs/>
                <w:color w:val="000000"/>
                <w:szCs w:val="18"/>
                <w:lang w:eastAsia="en-AU"/>
              </w:rPr>
            </w:pPr>
            <w:r w:rsidRPr="00CA1271">
              <w:rPr>
                <w:rFonts w:ascii="Calibri" w:hAnsi="Calibri" w:cs="Calibri"/>
                <w:i/>
                <w:iCs/>
                <w:color w:val="000000"/>
                <w:szCs w:val="18"/>
                <w:lang w:eastAsia="en-AU"/>
              </w:rPr>
              <w:t>Evening</w:t>
            </w:r>
          </w:p>
        </w:tc>
        <w:tc>
          <w:tcPr>
            <w:tcW w:w="621" w:type="pct"/>
            <w:noWrap/>
          </w:tcPr>
          <w:p w:rsidR="002A2303" w:rsidRPr="00CA1271" w:rsidRDefault="008E6A7F" w:rsidP="00FB1A0B">
            <w:pPr>
              <w:jc w:val="center"/>
              <w:rPr>
                <w:rFonts w:ascii="Calibri" w:hAnsi="Calibri" w:cs="Calibri"/>
                <w:szCs w:val="18"/>
                <w:lang w:eastAsia="en-AU"/>
              </w:rPr>
            </w:pPr>
            <w:r>
              <w:rPr>
                <w:rFonts w:ascii="Calibri" w:hAnsi="Calibri" w:cs="Calibri"/>
                <w:szCs w:val="18"/>
                <w:lang w:eastAsia="en-AU"/>
              </w:rPr>
              <w:t xml:space="preserve"> </w:t>
            </w:r>
          </w:p>
        </w:tc>
        <w:tc>
          <w:tcPr>
            <w:tcW w:w="625" w:type="pct"/>
          </w:tcPr>
          <w:p w:rsidR="002A2303" w:rsidRPr="00CA1271" w:rsidRDefault="002A2303" w:rsidP="00FB1A0B">
            <w:pPr>
              <w:jc w:val="center"/>
              <w:rPr>
                <w:rFonts w:ascii="Calibri" w:hAnsi="Calibri" w:cs="Calibri"/>
                <w:color w:val="000000"/>
                <w:szCs w:val="18"/>
                <w:lang w:eastAsia="en-AU"/>
              </w:rPr>
            </w:pPr>
          </w:p>
        </w:tc>
        <w:tc>
          <w:tcPr>
            <w:tcW w:w="625" w:type="pct"/>
            <w:noWrap/>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$53.60</w:t>
            </w:r>
          </w:p>
        </w:tc>
        <w:tc>
          <w:tcPr>
            <w:tcW w:w="624" w:type="pct"/>
          </w:tcPr>
          <w:p w:rsidR="002A2303" w:rsidRPr="00CA1271" w:rsidRDefault="002A2303" w:rsidP="00FB1A0B">
            <w:pPr>
              <w:jc w:val="center"/>
              <w:rPr>
                <w:rFonts w:ascii="Calibri" w:hAnsi="Calibri" w:cs="Calibri"/>
                <w:color w:val="000000"/>
                <w:szCs w:val="18"/>
                <w:lang w:eastAsia="en-AU"/>
              </w:rPr>
            </w:pPr>
          </w:p>
        </w:tc>
        <w:tc>
          <w:tcPr>
            <w:tcW w:w="624"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$52.6</w:t>
            </w:r>
            <w:r w:rsidR="008A3064" w:rsidRPr="00CA1271">
              <w:rPr>
                <w:rFonts w:ascii="Calibri" w:hAnsi="Calibri" w:cs="Calibri"/>
                <w:color w:val="000000"/>
                <w:szCs w:val="18"/>
                <w:lang w:eastAsia="en-AU"/>
              </w:rPr>
              <w:t>0</w:t>
            </w:r>
          </w:p>
        </w:tc>
        <w:tc>
          <w:tcPr>
            <w:tcW w:w="622"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$69.45</w:t>
            </w:r>
          </w:p>
        </w:tc>
      </w:tr>
      <w:tr w:rsidR="002A2303" w:rsidRPr="00CA1271" w:rsidTr="002A2303">
        <w:trPr>
          <w:cnfStyle w:val="000000100000" w:firstRow="0" w:lastRow="0" w:firstColumn="0" w:lastColumn="0" w:oddVBand="0" w:evenVBand="0" w:oddHBand="1" w:evenHBand="0" w:firstRowFirstColumn="0" w:firstRowLastColumn="0" w:lastRowFirstColumn="0" w:lastRowLastColumn="0"/>
        </w:trPr>
        <w:tc>
          <w:tcPr>
            <w:tcW w:w="1259" w:type="pct"/>
            <w:noWrap/>
            <w:hideMark/>
          </w:tcPr>
          <w:p w:rsidR="002A2303" w:rsidRPr="00CA1271" w:rsidRDefault="002A2303" w:rsidP="00FB1A0B">
            <w:pPr>
              <w:ind w:left="168"/>
              <w:rPr>
                <w:rFonts w:ascii="Calibri" w:hAnsi="Calibri" w:cs="Calibri"/>
                <w:i/>
                <w:iCs/>
                <w:color w:val="000000"/>
                <w:szCs w:val="18"/>
                <w:lang w:eastAsia="en-AU"/>
              </w:rPr>
            </w:pPr>
            <w:r w:rsidRPr="00CA1271">
              <w:rPr>
                <w:rFonts w:ascii="Calibri" w:hAnsi="Calibri" w:cs="Calibri"/>
                <w:i/>
                <w:iCs/>
                <w:color w:val="000000"/>
                <w:szCs w:val="18"/>
                <w:lang w:eastAsia="en-AU"/>
              </w:rPr>
              <w:t>Night</w:t>
            </w:r>
          </w:p>
        </w:tc>
        <w:tc>
          <w:tcPr>
            <w:tcW w:w="621" w:type="pct"/>
            <w:noWrap/>
            <w:hideMark/>
          </w:tcPr>
          <w:p w:rsidR="002A2303" w:rsidRPr="00CA1271" w:rsidRDefault="002A2303" w:rsidP="00FB1A0B">
            <w:pPr>
              <w:jc w:val="center"/>
              <w:rPr>
                <w:rFonts w:ascii="Calibri" w:hAnsi="Calibri" w:cs="Calibri"/>
                <w:szCs w:val="18"/>
                <w:lang w:eastAsia="en-AU"/>
              </w:rPr>
            </w:pPr>
            <w:r w:rsidRPr="00CA1271">
              <w:rPr>
                <w:rFonts w:ascii="Calibri" w:hAnsi="Calibri" w:cs="Calibri"/>
                <w:szCs w:val="18"/>
                <w:lang w:eastAsia="en-AU"/>
              </w:rPr>
              <w:t>$56.74</w:t>
            </w:r>
          </w:p>
        </w:tc>
        <w:tc>
          <w:tcPr>
            <w:tcW w:w="625"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$50.56</w:t>
            </w:r>
          </w:p>
        </w:tc>
        <w:tc>
          <w:tcPr>
            <w:tcW w:w="625" w:type="pct"/>
            <w:noWrap/>
            <w:hideMark/>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$54.54</w:t>
            </w:r>
          </w:p>
        </w:tc>
        <w:tc>
          <w:tcPr>
            <w:tcW w:w="624" w:type="pct"/>
          </w:tcPr>
          <w:p w:rsidR="002A2303" w:rsidRPr="00CA1271" w:rsidRDefault="002A2303" w:rsidP="00FB1A0B">
            <w:pPr>
              <w:jc w:val="center"/>
              <w:rPr>
                <w:rFonts w:ascii="Calibri" w:hAnsi="Calibri" w:cs="Calibri"/>
                <w:color w:val="000000"/>
                <w:szCs w:val="18"/>
                <w:lang w:eastAsia="en-AU"/>
              </w:rPr>
            </w:pPr>
          </w:p>
        </w:tc>
        <w:tc>
          <w:tcPr>
            <w:tcW w:w="624"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$53.34</w:t>
            </w:r>
          </w:p>
        </w:tc>
        <w:tc>
          <w:tcPr>
            <w:tcW w:w="622"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$85.50</w:t>
            </w:r>
          </w:p>
        </w:tc>
      </w:tr>
      <w:tr w:rsidR="002A2303" w:rsidRPr="00CA1271" w:rsidTr="002A2303">
        <w:tc>
          <w:tcPr>
            <w:tcW w:w="1259" w:type="pct"/>
            <w:noWrap/>
            <w:hideMark/>
          </w:tcPr>
          <w:p w:rsidR="002A2303" w:rsidRPr="00CA1271" w:rsidRDefault="002A2303" w:rsidP="00FB1A0B">
            <w:pPr>
              <w:ind w:left="168"/>
              <w:rPr>
                <w:rFonts w:ascii="Calibri" w:hAnsi="Calibri" w:cs="Calibri"/>
                <w:i/>
                <w:iCs/>
                <w:color w:val="000000"/>
                <w:szCs w:val="18"/>
                <w:lang w:eastAsia="en-AU"/>
              </w:rPr>
            </w:pPr>
            <w:r w:rsidRPr="00CA1271">
              <w:rPr>
                <w:rFonts w:ascii="Calibri" w:hAnsi="Calibri" w:cs="Calibri"/>
                <w:i/>
                <w:iCs/>
                <w:color w:val="000000"/>
                <w:szCs w:val="18"/>
                <w:lang w:eastAsia="en-AU"/>
              </w:rPr>
              <w:t>Saturday</w:t>
            </w:r>
          </w:p>
        </w:tc>
        <w:tc>
          <w:tcPr>
            <w:tcW w:w="621" w:type="pct"/>
            <w:noWrap/>
            <w:hideMark/>
          </w:tcPr>
          <w:p w:rsidR="002A2303" w:rsidRPr="00CA1271" w:rsidRDefault="002A2303" w:rsidP="00FB1A0B">
            <w:pPr>
              <w:jc w:val="center"/>
              <w:rPr>
                <w:rFonts w:ascii="Calibri" w:hAnsi="Calibri" w:cs="Calibri"/>
                <w:szCs w:val="18"/>
                <w:lang w:eastAsia="en-AU"/>
              </w:rPr>
            </w:pPr>
            <w:r w:rsidRPr="00CA1271">
              <w:rPr>
                <w:rFonts w:ascii="Calibri" w:hAnsi="Calibri" w:cs="Calibri"/>
                <w:szCs w:val="18"/>
                <w:lang w:eastAsia="en-AU"/>
              </w:rPr>
              <w:t>$63.25</w:t>
            </w:r>
          </w:p>
        </w:tc>
        <w:tc>
          <w:tcPr>
            <w:tcW w:w="625"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$67.12</w:t>
            </w:r>
          </w:p>
        </w:tc>
        <w:tc>
          <w:tcPr>
            <w:tcW w:w="625" w:type="pct"/>
            <w:noWrap/>
            <w:hideMark/>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$67.80</w:t>
            </w:r>
          </w:p>
        </w:tc>
        <w:tc>
          <w:tcPr>
            <w:tcW w:w="624"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$71.00</w:t>
            </w:r>
          </w:p>
        </w:tc>
        <w:tc>
          <w:tcPr>
            <w:tcW w:w="624"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$65.02</w:t>
            </w:r>
          </w:p>
        </w:tc>
        <w:tc>
          <w:tcPr>
            <w:tcW w:w="622"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$85.50</w:t>
            </w:r>
          </w:p>
        </w:tc>
      </w:tr>
      <w:tr w:rsidR="002A2303" w:rsidRPr="00CA1271" w:rsidTr="002A2303">
        <w:trPr>
          <w:cnfStyle w:val="000000100000" w:firstRow="0" w:lastRow="0" w:firstColumn="0" w:lastColumn="0" w:oddVBand="0" w:evenVBand="0" w:oddHBand="1" w:evenHBand="0" w:firstRowFirstColumn="0" w:firstRowLastColumn="0" w:lastRowFirstColumn="0" w:lastRowLastColumn="0"/>
        </w:trPr>
        <w:tc>
          <w:tcPr>
            <w:tcW w:w="1259" w:type="pct"/>
            <w:noWrap/>
            <w:hideMark/>
          </w:tcPr>
          <w:p w:rsidR="002A2303" w:rsidRPr="00CA1271" w:rsidRDefault="002A2303" w:rsidP="00FB1A0B">
            <w:pPr>
              <w:ind w:left="168"/>
              <w:rPr>
                <w:rFonts w:ascii="Calibri" w:hAnsi="Calibri" w:cs="Calibri"/>
                <w:i/>
                <w:iCs/>
                <w:color w:val="000000"/>
                <w:szCs w:val="18"/>
                <w:lang w:eastAsia="en-AU"/>
              </w:rPr>
            </w:pPr>
            <w:r w:rsidRPr="00CA1271">
              <w:rPr>
                <w:rFonts w:ascii="Calibri" w:hAnsi="Calibri" w:cs="Calibri"/>
                <w:i/>
                <w:iCs/>
                <w:color w:val="000000"/>
                <w:szCs w:val="18"/>
                <w:lang w:eastAsia="en-AU"/>
              </w:rPr>
              <w:t>Sunday</w:t>
            </w:r>
          </w:p>
        </w:tc>
        <w:tc>
          <w:tcPr>
            <w:tcW w:w="621" w:type="pct"/>
            <w:noWrap/>
            <w:hideMark/>
          </w:tcPr>
          <w:p w:rsidR="002A2303" w:rsidRPr="00CA1271" w:rsidRDefault="002A2303" w:rsidP="00FB1A0B">
            <w:pPr>
              <w:jc w:val="center"/>
              <w:rPr>
                <w:rFonts w:ascii="Calibri" w:hAnsi="Calibri" w:cs="Calibri"/>
                <w:szCs w:val="18"/>
                <w:lang w:eastAsia="en-AU"/>
              </w:rPr>
            </w:pPr>
            <w:r w:rsidRPr="00CA1271">
              <w:rPr>
                <w:rFonts w:ascii="Calibri" w:hAnsi="Calibri" w:cs="Calibri"/>
                <w:szCs w:val="18"/>
                <w:lang w:eastAsia="en-AU"/>
              </w:rPr>
              <w:t>$80.35</w:t>
            </w:r>
          </w:p>
        </w:tc>
        <w:tc>
          <w:tcPr>
            <w:tcW w:w="625"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$67.12</w:t>
            </w:r>
          </w:p>
        </w:tc>
        <w:tc>
          <w:tcPr>
            <w:tcW w:w="625" w:type="pct"/>
            <w:noWrap/>
            <w:hideMark/>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$86.76</w:t>
            </w:r>
          </w:p>
        </w:tc>
        <w:tc>
          <w:tcPr>
            <w:tcW w:w="624"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$71.00</w:t>
            </w:r>
          </w:p>
        </w:tc>
        <w:tc>
          <w:tcPr>
            <w:tcW w:w="624"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$81.71</w:t>
            </w:r>
          </w:p>
        </w:tc>
        <w:tc>
          <w:tcPr>
            <w:tcW w:w="622"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$85.50</w:t>
            </w:r>
          </w:p>
        </w:tc>
      </w:tr>
      <w:tr w:rsidR="002A2303" w:rsidRPr="00CA1271" w:rsidTr="002A2303">
        <w:tc>
          <w:tcPr>
            <w:tcW w:w="1259" w:type="pct"/>
            <w:noWrap/>
            <w:hideMark/>
          </w:tcPr>
          <w:p w:rsidR="002A2303" w:rsidRPr="00CA1271" w:rsidRDefault="002A2303" w:rsidP="00FB1A0B">
            <w:pPr>
              <w:ind w:left="168"/>
              <w:rPr>
                <w:rFonts w:ascii="Calibri" w:hAnsi="Calibri" w:cs="Calibri"/>
                <w:i/>
                <w:iCs/>
                <w:color w:val="000000"/>
                <w:szCs w:val="18"/>
                <w:lang w:eastAsia="en-AU"/>
              </w:rPr>
            </w:pPr>
            <w:r w:rsidRPr="00CA1271">
              <w:rPr>
                <w:rFonts w:ascii="Calibri" w:hAnsi="Calibri" w:cs="Calibri"/>
                <w:i/>
                <w:iCs/>
                <w:color w:val="000000"/>
                <w:szCs w:val="18"/>
                <w:lang w:eastAsia="en-AU"/>
              </w:rPr>
              <w:t>Public holiday</w:t>
            </w:r>
          </w:p>
        </w:tc>
        <w:tc>
          <w:tcPr>
            <w:tcW w:w="621" w:type="pct"/>
            <w:noWrap/>
            <w:hideMark/>
          </w:tcPr>
          <w:p w:rsidR="002A2303" w:rsidRPr="00CA1271" w:rsidRDefault="002A2303" w:rsidP="00FB1A0B">
            <w:pPr>
              <w:jc w:val="center"/>
              <w:rPr>
                <w:rFonts w:ascii="Calibri" w:hAnsi="Calibri" w:cs="Calibri"/>
                <w:szCs w:val="18"/>
                <w:lang w:eastAsia="en-AU"/>
              </w:rPr>
            </w:pPr>
            <w:r w:rsidRPr="00CA1271">
              <w:rPr>
                <w:rFonts w:ascii="Calibri" w:hAnsi="Calibri" w:cs="Calibri"/>
                <w:szCs w:val="18"/>
                <w:lang w:eastAsia="en-AU"/>
              </w:rPr>
              <w:t>$95.90</w:t>
            </w:r>
          </w:p>
        </w:tc>
        <w:tc>
          <w:tcPr>
            <w:tcW w:w="625"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$114.33</w:t>
            </w:r>
          </w:p>
        </w:tc>
        <w:tc>
          <w:tcPr>
            <w:tcW w:w="625" w:type="pct"/>
            <w:noWrap/>
            <w:hideMark/>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$105.68</w:t>
            </w:r>
          </w:p>
        </w:tc>
        <w:tc>
          <w:tcPr>
            <w:tcW w:w="624" w:type="pct"/>
          </w:tcPr>
          <w:p w:rsidR="002A2303" w:rsidRPr="00CA1271" w:rsidRDefault="002A2303" w:rsidP="00FB1A0B">
            <w:pPr>
              <w:jc w:val="center"/>
              <w:rPr>
                <w:rFonts w:ascii="Calibri" w:hAnsi="Calibri" w:cs="Calibri"/>
                <w:color w:val="000000"/>
                <w:szCs w:val="18"/>
                <w:lang w:eastAsia="en-AU"/>
              </w:rPr>
            </w:pPr>
          </w:p>
        </w:tc>
        <w:tc>
          <w:tcPr>
            <w:tcW w:w="624"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$98.40</w:t>
            </w:r>
          </w:p>
        </w:tc>
        <w:tc>
          <w:tcPr>
            <w:tcW w:w="622"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$85.50</w:t>
            </w:r>
          </w:p>
        </w:tc>
      </w:tr>
      <w:tr w:rsidR="002A2303" w:rsidRPr="00CA1271" w:rsidTr="002A2303">
        <w:trPr>
          <w:cnfStyle w:val="000000100000" w:firstRow="0" w:lastRow="0" w:firstColumn="0" w:lastColumn="0" w:oddVBand="0" w:evenVBand="0" w:oddHBand="1" w:evenHBand="0" w:firstRowFirstColumn="0" w:firstRowLastColumn="0" w:lastRowFirstColumn="0" w:lastRowLastColumn="0"/>
        </w:trPr>
        <w:tc>
          <w:tcPr>
            <w:tcW w:w="1259" w:type="pct"/>
            <w:noWrap/>
          </w:tcPr>
          <w:p w:rsidR="002A2303" w:rsidRPr="00CA1271" w:rsidRDefault="002A2303" w:rsidP="00FB1A0B">
            <w:pPr>
              <w:ind w:left="168"/>
              <w:rPr>
                <w:rFonts w:ascii="Calibri" w:hAnsi="Calibri" w:cs="Calibri"/>
                <w:i/>
                <w:iCs/>
                <w:color w:val="000000"/>
                <w:szCs w:val="18"/>
                <w:lang w:eastAsia="en-AU"/>
              </w:rPr>
            </w:pPr>
            <w:r w:rsidRPr="00CA1271">
              <w:rPr>
                <w:rFonts w:ascii="Calibri" w:hAnsi="Calibri" w:cs="Calibri"/>
                <w:i/>
                <w:iCs/>
                <w:color w:val="000000"/>
                <w:szCs w:val="18"/>
                <w:lang w:eastAsia="en-AU"/>
              </w:rPr>
              <w:t>Inactive overnight</w:t>
            </w:r>
          </w:p>
        </w:tc>
        <w:tc>
          <w:tcPr>
            <w:tcW w:w="621" w:type="pct"/>
            <w:noWrap/>
          </w:tcPr>
          <w:p w:rsidR="002A2303" w:rsidRPr="00CA1271" w:rsidRDefault="002A2303" w:rsidP="00FB1A0B">
            <w:pPr>
              <w:jc w:val="center"/>
              <w:rPr>
                <w:rFonts w:ascii="Calibri" w:hAnsi="Calibri" w:cs="Calibri"/>
                <w:szCs w:val="18"/>
                <w:lang w:eastAsia="en-AU"/>
              </w:rPr>
            </w:pPr>
            <w:r w:rsidRPr="00CA1271">
              <w:rPr>
                <w:rFonts w:ascii="Calibri" w:hAnsi="Calibri" w:cs="Calibri"/>
                <w:szCs w:val="18"/>
                <w:lang w:eastAsia="en-AU"/>
              </w:rPr>
              <w:t>$222.17</w:t>
            </w:r>
          </w:p>
        </w:tc>
        <w:tc>
          <w:tcPr>
            <w:tcW w:w="625"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$142.22</w:t>
            </w:r>
          </w:p>
        </w:tc>
        <w:tc>
          <w:tcPr>
            <w:tcW w:w="625" w:type="pct"/>
            <w:noWrap/>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$212.90</w:t>
            </w:r>
          </w:p>
        </w:tc>
        <w:tc>
          <w:tcPr>
            <w:tcW w:w="624" w:type="pct"/>
          </w:tcPr>
          <w:p w:rsidR="002A2303" w:rsidRPr="00CA1271" w:rsidRDefault="002A2303" w:rsidP="00FB1A0B">
            <w:pPr>
              <w:jc w:val="center"/>
              <w:rPr>
                <w:rFonts w:ascii="Calibri" w:hAnsi="Calibri" w:cs="Calibri"/>
                <w:color w:val="000000"/>
                <w:szCs w:val="18"/>
                <w:lang w:eastAsia="en-AU"/>
              </w:rPr>
            </w:pPr>
          </w:p>
        </w:tc>
        <w:tc>
          <w:tcPr>
            <w:tcW w:w="624"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$202.83</w:t>
            </w:r>
          </w:p>
        </w:tc>
        <w:tc>
          <w:tcPr>
            <w:tcW w:w="622"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w:t>
            </w:r>
          </w:p>
        </w:tc>
      </w:tr>
      <w:tr w:rsidR="002A2303" w:rsidRPr="00CA1271" w:rsidTr="002A2303">
        <w:tc>
          <w:tcPr>
            <w:tcW w:w="1259" w:type="pct"/>
            <w:noWrap/>
            <w:hideMark/>
          </w:tcPr>
          <w:p w:rsidR="002A2303" w:rsidRPr="00CA1271" w:rsidRDefault="002A2303" w:rsidP="00FB1A0B">
            <w:pPr>
              <w:ind w:left="168"/>
              <w:rPr>
                <w:rFonts w:ascii="Calibri" w:hAnsi="Calibri" w:cs="Calibri"/>
                <w:i/>
                <w:iCs/>
                <w:color w:val="000000"/>
                <w:szCs w:val="18"/>
                <w:lang w:eastAsia="en-AU"/>
              </w:rPr>
            </w:pPr>
            <w:r w:rsidRPr="00CA1271">
              <w:rPr>
                <w:rFonts w:ascii="Calibri" w:hAnsi="Calibri" w:cs="Calibri"/>
                <w:i/>
                <w:iCs/>
                <w:color w:val="000000"/>
                <w:szCs w:val="18"/>
                <w:lang w:eastAsia="en-AU"/>
              </w:rPr>
              <w:t>Establishment fee</w:t>
            </w:r>
          </w:p>
        </w:tc>
        <w:tc>
          <w:tcPr>
            <w:tcW w:w="621" w:type="pct"/>
            <w:noWrap/>
            <w:hideMark/>
          </w:tcPr>
          <w:p w:rsidR="002A2303" w:rsidRPr="00CA1271" w:rsidRDefault="002A2303" w:rsidP="00FB1A0B">
            <w:pPr>
              <w:jc w:val="center"/>
              <w:rPr>
                <w:rFonts w:ascii="Calibri" w:hAnsi="Calibri" w:cs="Calibri"/>
                <w:szCs w:val="18"/>
                <w:lang w:eastAsia="en-AU"/>
              </w:rPr>
            </w:pPr>
            <w:r w:rsidRPr="00CA1271">
              <w:rPr>
                <w:rFonts w:ascii="Calibri" w:hAnsi="Calibri" w:cs="Calibri"/>
                <w:szCs w:val="18"/>
                <w:lang w:eastAsia="en-AU"/>
              </w:rPr>
              <w:t>$1,214.06</w:t>
            </w:r>
          </w:p>
        </w:tc>
        <w:tc>
          <w:tcPr>
            <w:tcW w:w="625" w:type="pct"/>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$1,328.17</w:t>
            </w:r>
          </w:p>
        </w:tc>
        <w:tc>
          <w:tcPr>
            <w:tcW w:w="625" w:type="pct"/>
            <w:noWrap/>
            <w:hideMark/>
          </w:tcPr>
          <w:p w:rsidR="002A2303" w:rsidRPr="00CA1271" w:rsidRDefault="002A2303" w:rsidP="00FB1A0B">
            <w:pPr>
              <w:jc w:val="center"/>
              <w:rPr>
                <w:rFonts w:ascii="Calibri" w:hAnsi="Calibri" w:cs="Calibri"/>
                <w:color w:val="000000"/>
                <w:szCs w:val="18"/>
                <w:lang w:eastAsia="en-AU"/>
              </w:rPr>
            </w:pPr>
            <w:r w:rsidRPr="00CA1271">
              <w:rPr>
                <w:rFonts w:ascii="Calibri" w:hAnsi="Calibri" w:cs="Calibri"/>
                <w:color w:val="000000"/>
                <w:szCs w:val="18"/>
                <w:lang w:eastAsia="en-AU"/>
              </w:rPr>
              <w:t>$1,207.32</w:t>
            </w:r>
          </w:p>
        </w:tc>
        <w:tc>
          <w:tcPr>
            <w:tcW w:w="624" w:type="pct"/>
          </w:tcPr>
          <w:p w:rsidR="002A2303" w:rsidRPr="00CA1271" w:rsidRDefault="002A2303" w:rsidP="00FB1A0B">
            <w:pPr>
              <w:jc w:val="center"/>
              <w:rPr>
                <w:rFonts w:ascii="Calibri" w:hAnsi="Calibri" w:cs="Calibri"/>
                <w:color w:val="000000"/>
                <w:szCs w:val="18"/>
                <w:lang w:eastAsia="en-AU"/>
              </w:rPr>
            </w:pPr>
          </w:p>
        </w:tc>
        <w:tc>
          <w:tcPr>
            <w:tcW w:w="624" w:type="pct"/>
          </w:tcPr>
          <w:p w:rsidR="002A2303" w:rsidRPr="00CA1271" w:rsidRDefault="002A2303" w:rsidP="00FB1A0B">
            <w:pPr>
              <w:jc w:val="center"/>
              <w:rPr>
                <w:rFonts w:ascii="Calibri" w:hAnsi="Calibri" w:cs="Calibri"/>
                <w:color w:val="000000"/>
                <w:szCs w:val="18"/>
                <w:lang w:eastAsia="en-AU"/>
              </w:rPr>
            </w:pPr>
          </w:p>
        </w:tc>
        <w:tc>
          <w:tcPr>
            <w:tcW w:w="622" w:type="pct"/>
          </w:tcPr>
          <w:p w:rsidR="002A2303" w:rsidRPr="00CA1271" w:rsidRDefault="002A2303" w:rsidP="00FB1A0B">
            <w:pPr>
              <w:jc w:val="center"/>
              <w:rPr>
                <w:rFonts w:ascii="Calibri" w:hAnsi="Calibri" w:cs="Calibri"/>
                <w:color w:val="000000"/>
                <w:szCs w:val="18"/>
                <w:lang w:eastAsia="en-AU"/>
              </w:rPr>
            </w:pPr>
          </w:p>
        </w:tc>
      </w:tr>
    </w:tbl>
    <w:p w:rsidR="00FB1A0B" w:rsidRPr="00CA1271" w:rsidRDefault="00FB1A0B" w:rsidP="00FB1A0B">
      <w:pPr>
        <w:spacing w:before="0" w:after="0" w:line="240" w:lineRule="auto"/>
        <w:ind w:left="567" w:hanging="567"/>
        <w:rPr>
          <w:sz w:val="16"/>
          <w:szCs w:val="16"/>
        </w:rPr>
      </w:pPr>
      <w:r w:rsidRPr="00CA1271">
        <w:rPr>
          <w:sz w:val="16"/>
          <w:szCs w:val="16"/>
        </w:rPr>
        <w:t xml:space="preserve">NOTES: </w:t>
      </w:r>
      <w:r w:rsidRPr="00CA1271">
        <w:rPr>
          <w:sz w:val="16"/>
          <w:szCs w:val="16"/>
        </w:rPr>
        <w:tab/>
        <w:t>The IQRS rates are payable when then services are Independently Reviewed against Quality Standards.</w:t>
      </w:r>
    </w:p>
    <w:p w:rsidR="00FB1A0B" w:rsidRPr="00CA1271" w:rsidRDefault="00FB1A0B" w:rsidP="00FB1A0B">
      <w:pPr>
        <w:spacing w:before="0" w:after="0" w:line="240" w:lineRule="auto"/>
        <w:ind w:left="567" w:hanging="567"/>
        <w:rPr>
          <w:sz w:val="16"/>
          <w:szCs w:val="16"/>
        </w:rPr>
      </w:pPr>
      <w:r w:rsidRPr="00CA1271">
        <w:rPr>
          <w:sz w:val="16"/>
          <w:szCs w:val="16"/>
        </w:rPr>
        <w:t xml:space="preserve"> </w:t>
      </w:r>
      <w:r w:rsidRPr="00CA1271">
        <w:rPr>
          <w:sz w:val="16"/>
          <w:szCs w:val="16"/>
        </w:rPr>
        <w:tab/>
        <w:t xml:space="preserve">Rates as published excluding temporary measures (NDIS – COVID 10% increase). </w:t>
      </w:r>
    </w:p>
    <w:p w:rsidR="002A2303" w:rsidRPr="00CA1271" w:rsidRDefault="00FB1A0B" w:rsidP="00FB1A0B">
      <w:pPr>
        <w:spacing w:before="0" w:after="0" w:line="240" w:lineRule="auto"/>
        <w:ind w:left="567"/>
        <w:rPr>
          <w:sz w:val="16"/>
          <w:szCs w:val="16"/>
        </w:rPr>
      </w:pPr>
      <w:r w:rsidRPr="00CA1271">
        <w:rPr>
          <w:sz w:val="16"/>
          <w:szCs w:val="16"/>
        </w:rPr>
        <w:t xml:space="preserve">* </w:t>
      </w:r>
      <w:r w:rsidR="00AA0828" w:rsidRPr="00CA1271">
        <w:rPr>
          <w:sz w:val="16"/>
          <w:szCs w:val="16"/>
        </w:rPr>
        <w:t>For TAC clients there is no limit on the co-payment that the client can be asked to pay by the provider.</w:t>
      </w:r>
    </w:p>
    <w:p w:rsidR="00FB1A0B" w:rsidRPr="00CA1271" w:rsidRDefault="002A2303" w:rsidP="00FB1A0B">
      <w:pPr>
        <w:spacing w:before="0" w:after="0" w:line="240" w:lineRule="auto"/>
        <w:ind w:left="567"/>
        <w:rPr>
          <w:sz w:val="16"/>
          <w:szCs w:val="16"/>
        </w:rPr>
      </w:pPr>
      <w:r w:rsidRPr="00CA1271">
        <w:rPr>
          <w:sz w:val="16"/>
          <w:szCs w:val="16"/>
        </w:rPr>
        <w:t xml:space="preserve">** </w:t>
      </w:r>
      <w:r w:rsidR="00FB1A0B" w:rsidRPr="00CA1271">
        <w:rPr>
          <w:sz w:val="16"/>
          <w:szCs w:val="16"/>
        </w:rPr>
        <w:t xml:space="preserve">Recipients of Veterans Home Care can also be asked to make a co-payment of $5.00 per hour, up to certain limits. </w:t>
      </w:r>
    </w:p>
    <w:p w:rsidR="004C0DEF" w:rsidRPr="00CA1271" w:rsidRDefault="004C0DEF" w:rsidP="00C63652"/>
    <w:p w:rsidR="004C0DEF" w:rsidRPr="00CA1271" w:rsidRDefault="004C0DEF" w:rsidP="00C63652">
      <w:r w:rsidRPr="00CA1271">
        <w:t xml:space="preserve">The NDIS Weekday standard rate (without TTP) is between 4.5% and 9.4% higher than those of the comparable state schemes (average 7.5%). It is </w:t>
      </w:r>
      <w:r w:rsidR="0030200E" w:rsidRPr="00CA1271">
        <w:t>23.9% lower than the DVA fee. The NDIS Saturday standard rate (without TTP) is between 2.4% and 14.9% higher than those of the comparable state schemes (average 8.9%). It is 15.0% lower than the DVA fee.</w:t>
      </w:r>
    </w:p>
    <w:p w:rsidR="00DE306E" w:rsidRPr="00CA1271" w:rsidRDefault="00686B5F" w:rsidP="00C63652">
      <w:r w:rsidRPr="00CA1271">
        <w:t xml:space="preserve">However, it is not clear to what extent the fees </w:t>
      </w:r>
      <w:r w:rsidR="008A3064" w:rsidRPr="00CA1271">
        <w:t>payable by</w:t>
      </w:r>
      <w:r w:rsidRPr="00CA1271">
        <w:t xml:space="preserve"> other schemes can be compared to NDIS price limits, given that fees can operate differently in different contexts (e.g. according to whether or not services are commissioned, and what other fees </w:t>
      </w:r>
      <w:r w:rsidR="008A3064" w:rsidRPr="00CA1271">
        <w:t xml:space="preserve">– including client co-payments - </w:t>
      </w:r>
      <w:r w:rsidRPr="00CA1271">
        <w:t xml:space="preserve">are also billable). </w:t>
      </w:r>
    </w:p>
    <w:p w:rsidR="00686B5F" w:rsidRPr="00CA1271" w:rsidRDefault="00686B5F" w:rsidP="00C63652">
      <w:proofErr w:type="spellStart"/>
      <w:r w:rsidRPr="00CA1271">
        <w:t>Icare</w:t>
      </w:r>
      <w:proofErr w:type="spellEnd"/>
      <w:r w:rsidRPr="00CA1271">
        <w:t xml:space="preserve">, for example, engage providers through a tender process. </w:t>
      </w:r>
      <w:r w:rsidR="008A3064" w:rsidRPr="00CA1271">
        <w:t xml:space="preserve">Consultations with </w:t>
      </w:r>
      <w:proofErr w:type="spellStart"/>
      <w:r w:rsidR="008A3064" w:rsidRPr="00CA1271">
        <w:t>icare</w:t>
      </w:r>
      <w:proofErr w:type="spellEnd"/>
      <w:r w:rsidR="008A3064" w:rsidRPr="00CA1271">
        <w:t xml:space="preserve"> indicate that providers are able to bill </w:t>
      </w:r>
      <w:proofErr w:type="spellStart"/>
      <w:r w:rsidR="008A3064" w:rsidRPr="00CA1271">
        <w:t>icare</w:t>
      </w:r>
      <w:proofErr w:type="spellEnd"/>
      <w:r w:rsidR="008A3064" w:rsidRPr="00CA1271">
        <w:t xml:space="preserve"> directly for training costs and supervision costs on top of the hourly rates for attendant care. By contrast, these costs are fully loaded into the hourly price limits published by the NDIS. Within the NDIS Disability Support Worker Cost Model these costs are represented by the utilisation (billable hours) parameter and the supervision ratio parameter.</w:t>
      </w:r>
      <w:r w:rsidR="008E6A7F">
        <w:t xml:space="preserve"> </w:t>
      </w:r>
      <w:r w:rsidR="008A3064" w:rsidRPr="00CA1271">
        <w:t>If these parameters</w:t>
      </w:r>
      <w:r w:rsidR="0030200E" w:rsidRPr="00CA1271">
        <w:t>, and the overheads assumption,</w:t>
      </w:r>
      <w:r w:rsidR="008A3064" w:rsidRPr="00CA1271">
        <w:t xml:space="preserve"> are adjusted to match the </w:t>
      </w:r>
      <w:proofErr w:type="spellStart"/>
      <w:r w:rsidR="008A3064" w:rsidRPr="00CA1271">
        <w:t>icare</w:t>
      </w:r>
      <w:proofErr w:type="spellEnd"/>
      <w:r w:rsidR="008A3064" w:rsidRPr="00CA1271">
        <w:t xml:space="preserve"> billing practices then the benchmark attendant care price limit produced by NDIS Disability Support Worker Cost Model is within 0.04% of the </w:t>
      </w:r>
      <w:proofErr w:type="spellStart"/>
      <w:r w:rsidR="008A3064" w:rsidRPr="00CA1271">
        <w:t>icare</w:t>
      </w:r>
      <w:proofErr w:type="spellEnd"/>
      <w:r w:rsidR="008A3064" w:rsidRPr="00CA1271">
        <w:t xml:space="preserve"> benchmark hourly rate.</w:t>
      </w:r>
    </w:p>
    <w:p w:rsidR="00C63652" w:rsidRPr="00CA1271" w:rsidRDefault="00C63652" w:rsidP="00C63652">
      <w:pPr>
        <w:pStyle w:val="Heading3"/>
      </w:pPr>
      <w:r w:rsidRPr="00CA1271">
        <w:t>Workers Compensation Premiums</w:t>
      </w:r>
    </w:p>
    <w:p w:rsidR="00C63652" w:rsidRPr="00CA1271" w:rsidRDefault="00C63652" w:rsidP="00C63652">
      <w:r w:rsidRPr="00CA1271">
        <w:t xml:space="preserve">The </w:t>
      </w:r>
      <w:r w:rsidR="00170F62" w:rsidRPr="00CA1271">
        <w:t>NDIS Disability Support Worker Cost Model</w:t>
      </w:r>
      <w:r w:rsidRPr="00CA1271">
        <w:t xml:space="preserve"> assumes workers compensation premiums of 3</w:t>
      </w:r>
      <w:r w:rsidR="00E80A7C" w:rsidRPr="00CA1271">
        <w:t>%</w:t>
      </w:r>
      <w:r w:rsidRPr="00CA1271">
        <w:t xml:space="preserve"> of salary expenses. This assumption is higher than both the standardised all industries Australian average premium rate of 1.5</w:t>
      </w:r>
      <w:r w:rsidR="00F37B73" w:rsidRPr="00CA1271">
        <w:t>%</w:t>
      </w:r>
      <w:r w:rsidRPr="00CA1271">
        <w:t xml:space="preserve"> the standardised 1.7</w:t>
      </w:r>
      <w:r w:rsidR="00F37B73" w:rsidRPr="00CA1271">
        <w:t>%</w:t>
      </w:r>
      <w:r w:rsidRPr="00CA1271">
        <w:t xml:space="preserve"> national average for the Health and Community Services sector (averaged over 2010-11 to 2014-15).</w:t>
      </w:r>
      <w:r w:rsidRPr="00CA1271">
        <w:rPr>
          <w:rStyle w:val="FootnoteReference"/>
        </w:rPr>
        <w:footnoteReference w:id="28"/>
      </w:r>
      <w:r w:rsidRPr="00CA1271">
        <w:t xml:space="preserve"> The TTP Survey similarly found that the average workers compensation premium among respondents was 2.6</w:t>
      </w:r>
      <w:r w:rsidR="00F37B73" w:rsidRPr="00CA1271">
        <w:t>%</w:t>
      </w:r>
      <w:r w:rsidRPr="00CA1271">
        <w:t>, with a median of 2.3</w:t>
      </w:r>
      <w:r w:rsidR="00E80A7C" w:rsidRPr="00CA1271">
        <w:t>%</w:t>
      </w:r>
      <w:r w:rsidRPr="00CA1271">
        <w:t xml:space="preserve"> and a 25</w:t>
      </w:r>
      <w:r w:rsidRPr="00CA1271">
        <w:rPr>
          <w:vertAlign w:val="superscript"/>
        </w:rPr>
        <w:t>th</w:t>
      </w:r>
      <w:r w:rsidR="004D6147" w:rsidRPr="00CA1271">
        <w:t xml:space="preserve"> percent</w:t>
      </w:r>
      <w:r w:rsidRPr="00CA1271">
        <w:t>ile of 1.7</w:t>
      </w:r>
      <w:r w:rsidR="00E80A7C" w:rsidRPr="00CA1271">
        <w:t>%</w:t>
      </w:r>
      <w:r w:rsidRPr="00CA1271">
        <w:t>.</w:t>
      </w:r>
    </w:p>
    <w:p w:rsidR="00977D24" w:rsidRPr="00CA1271" w:rsidRDefault="00977D24" w:rsidP="00977D24">
      <w:pPr>
        <w:pStyle w:val="Heading3"/>
      </w:pPr>
      <w:r w:rsidRPr="00CA1271">
        <w:t>Portable Long Service Leave Schemes</w:t>
      </w:r>
    </w:p>
    <w:p w:rsidR="00977D24" w:rsidRPr="00CA1271" w:rsidRDefault="00977D24" w:rsidP="00C63652">
      <w:r w:rsidRPr="00CA1271">
        <w:t>From January 2020, NDIS-funded activities were included in the ‘community services work’ portable long service leave scheme in Victoria.</w:t>
      </w:r>
      <w:r w:rsidRPr="00CA1271">
        <w:rPr>
          <w:rStyle w:val="FootnoteReference"/>
        </w:rPr>
        <w:footnoteReference w:id="29"/>
      </w:r>
      <w:r w:rsidRPr="00CA1271">
        <w:t xml:space="preserve"> A levy of 1.65% applies to the ‘ordinary pay’ of both permanent and casual workers. The ACT has a similar scheme with a levy of 1.2% of the gross ordinary wages.</w:t>
      </w:r>
      <w:r w:rsidRPr="00CA1271">
        <w:rPr>
          <w:rStyle w:val="FootnoteReference"/>
        </w:rPr>
        <w:footnoteReference w:id="30"/>
      </w:r>
      <w:r w:rsidRPr="00CA1271">
        <w:t xml:space="preserve"> The Queensland Government has introduced legislation to establish a new portable long service leave scheme available for community services workers. If passed by Parliament, the scheme is proposed to start on 1 July 2020. The proposed levy for that scheme 1.35% of a worker’s ordinary wage.</w:t>
      </w:r>
      <w:r w:rsidRPr="00CA1271">
        <w:rPr>
          <w:rStyle w:val="FootnoteReference"/>
        </w:rPr>
        <w:footnoteReference w:id="31"/>
      </w:r>
    </w:p>
    <w:p w:rsidR="00E07C4F" w:rsidRPr="00CA1271" w:rsidRDefault="00E07C4F" w:rsidP="006F6AF5">
      <w:pPr>
        <w:pStyle w:val="Heading3"/>
      </w:pPr>
      <w:r w:rsidRPr="00CA1271">
        <w:t>Overheads</w:t>
      </w:r>
    </w:p>
    <w:p w:rsidR="00E07C4F" w:rsidRPr="00CA1271" w:rsidRDefault="00E07C4F" w:rsidP="000A5D9B">
      <w:r w:rsidRPr="00CA1271">
        <w:t xml:space="preserve">The results of a major benchmarking study of non-for-profit organisations in Australia by Nous </w:t>
      </w:r>
      <w:r w:rsidR="00CF439F" w:rsidRPr="00CA1271">
        <w:t>G</w:t>
      </w:r>
      <w:r w:rsidRPr="00CA1271">
        <w:t>roup are illustrated in the following diagram.</w:t>
      </w:r>
      <w:r w:rsidRPr="00CA1271">
        <w:rPr>
          <w:rStyle w:val="FootnoteReference"/>
        </w:rPr>
        <w:footnoteReference w:id="32"/>
      </w:r>
      <w:r w:rsidRPr="00CA1271">
        <w:t xml:space="preserve"> The study found the median share of organisation revenue spent on back of house functions among the reporting</w:t>
      </w:r>
      <w:r w:rsidR="00E0528D" w:rsidRPr="00CA1271">
        <w:t xml:space="preserve"> organisations was 10.2%, with</w:t>
      </w:r>
      <w:r w:rsidRPr="00CA1271">
        <w:t xml:space="preserve"> 25% spending less than 8.4% of their expenses on back of house functions.</w:t>
      </w:r>
    </w:p>
    <w:p w:rsidR="00547C8B" w:rsidRPr="00CA1271" w:rsidRDefault="00547C8B" w:rsidP="00547C8B">
      <w:pPr>
        <w:pStyle w:val="Caption"/>
      </w:pPr>
      <w:bookmarkStart w:id="48" w:name="_Toc42014775"/>
      <w:r w:rsidRPr="00CA1271">
        <w:t xml:space="preserve">Figure </w:t>
      </w:r>
      <w:r w:rsidRPr="00CA1271">
        <w:fldChar w:fldCharType="begin"/>
      </w:r>
      <w:r w:rsidRPr="00CA1271">
        <w:instrText xml:space="preserve"> SEQ Figure \* ARABIC </w:instrText>
      </w:r>
      <w:r w:rsidRPr="00CA1271">
        <w:fldChar w:fldCharType="separate"/>
      </w:r>
      <w:r w:rsidR="00B621CC">
        <w:rPr>
          <w:noProof/>
        </w:rPr>
        <w:t>3</w:t>
      </w:r>
      <w:r w:rsidRPr="00CA1271">
        <w:fldChar w:fldCharType="end"/>
      </w:r>
      <w:r w:rsidR="00DF703D" w:rsidRPr="00CA1271">
        <w:t xml:space="preserve"> -</w:t>
      </w:r>
      <w:r w:rsidRPr="00CA1271">
        <w:t xml:space="preserve"> Nous Group Study of Back-Office Expenses of Not For Profit Organisations</w:t>
      </w:r>
      <w:bookmarkEnd w:id="48"/>
    </w:p>
    <w:p w:rsidR="00E07C4F" w:rsidRPr="00CA1271" w:rsidRDefault="00E07C4F" w:rsidP="00547C8B">
      <w:pPr>
        <w:jc w:val="center"/>
      </w:pPr>
      <w:r w:rsidRPr="00CA1271">
        <w:rPr>
          <w:noProof/>
          <w:lang w:eastAsia="en-AU"/>
        </w:rPr>
        <w:drawing>
          <wp:inline distT="0" distB="0" distL="0" distR="0" wp14:anchorId="1E75AA15" wp14:editId="2728287E">
            <wp:extent cx="5040000" cy="4032000"/>
            <wp:effectExtent l="0" t="0" r="8255" b="6985"/>
            <wp:docPr id="2" name="slide2" descr="All functions - Dashboard">
              <a:extLst xmlns:a="http://schemas.openxmlformats.org/drawingml/2006/main">
                <a:ext uri="{FF2B5EF4-FFF2-40B4-BE49-F238E27FC236}">
                  <a16:creationId xmlns:a16="http://schemas.microsoft.com/office/drawing/2014/main" id="{4A67E617-9FC0-4C71-994F-E40CF094C1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2" descr="All functions - Dashboard">
                      <a:extLst>
                        <a:ext uri="{FF2B5EF4-FFF2-40B4-BE49-F238E27FC236}">
                          <a16:creationId xmlns:a16="http://schemas.microsoft.com/office/drawing/2014/main" id="{4A67E617-9FC0-4C71-994F-E40CF094C111}"/>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040000" cy="4032000"/>
                    </a:xfrm>
                    <a:prstGeom prst="rect">
                      <a:avLst/>
                    </a:prstGeom>
                  </pic:spPr>
                </pic:pic>
              </a:graphicData>
            </a:graphic>
          </wp:inline>
        </w:drawing>
      </w:r>
    </w:p>
    <w:p w:rsidR="00E07C4F" w:rsidRPr="00CA1271" w:rsidRDefault="00CF439F" w:rsidP="000A5D9B">
      <w:r w:rsidRPr="00CA1271">
        <w:t xml:space="preserve">An earlier </w:t>
      </w:r>
      <w:r w:rsidR="00E07C4F" w:rsidRPr="00CA1271">
        <w:t>study by National Disability</w:t>
      </w:r>
      <w:r w:rsidRPr="00CA1271">
        <w:t xml:space="preserve"> Services, which considered facility costs and general administration as well as back office costs, </w:t>
      </w:r>
      <w:r w:rsidR="00E07C4F" w:rsidRPr="00CA1271">
        <w:t>fo</w:t>
      </w:r>
      <w:r w:rsidRPr="00CA1271">
        <w:t>u</w:t>
      </w:r>
      <w:r w:rsidR="00E07C4F" w:rsidRPr="00CA1271">
        <w:t>nd that overheads accounted on average for 13.3% of the revenue of the reporting organisations.</w:t>
      </w:r>
      <w:r w:rsidR="00E07C4F" w:rsidRPr="00CA1271">
        <w:rPr>
          <w:rStyle w:val="FootnoteReference"/>
        </w:rPr>
        <w:footnoteReference w:id="33"/>
      </w:r>
    </w:p>
    <w:p w:rsidR="00C63652" w:rsidRPr="00CA1271" w:rsidRDefault="00C63652" w:rsidP="00C63652">
      <w:pPr>
        <w:pStyle w:val="Heading3"/>
      </w:pPr>
      <w:r w:rsidRPr="00CA1271">
        <w:t>Evidence on Adherence to Price Limits</w:t>
      </w:r>
    </w:p>
    <w:p w:rsidR="00C63652" w:rsidRPr="00CA1271" w:rsidRDefault="00C63652" w:rsidP="00C63652">
      <w:r w:rsidRPr="00CA1271">
        <w:t>An analysis of all successful claims for payment from the NDIS payment system in the second quarter of 2019-20 for support items that are eligible for the TTP indicates that:</w:t>
      </w:r>
    </w:p>
    <w:p w:rsidR="00C63652" w:rsidRPr="00CA1271" w:rsidRDefault="00C63652" w:rsidP="00C63652">
      <w:pPr>
        <w:pStyle w:val="DotPoint"/>
      </w:pPr>
      <w:r w:rsidRPr="00CA1271">
        <w:t>59.6</w:t>
      </w:r>
      <w:r w:rsidR="00E80A7C" w:rsidRPr="00CA1271">
        <w:t>%</w:t>
      </w:r>
      <w:r w:rsidRPr="00CA1271">
        <w:t xml:space="preserve"> of eligible active providers chose to use the TTP higher price limits (1,580 out of 2,649 providers); and</w:t>
      </w:r>
    </w:p>
    <w:p w:rsidR="00C63652" w:rsidRPr="00CA1271" w:rsidRDefault="00C63652" w:rsidP="00C63652">
      <w:pPr>
        <w:pStyle w:val="DotPoint"/>
      </w:pPr>
      <w:r w:rsidRPr="00CA1271">
        <w:t>49.7</w:t>
      </w:r>
      <w:r w:rsidR="00E80A7C" w:rsidRPr="00CA1271">
        <w:t>%</w:t>
      </w:r>
      <w:r w:rsidRPr="00CA1271">
        <w:t xml:space="preserve"> of all claims (by dollar) were claimed against support items eligible for the higher price limits ($1,217 billion out of $2.451 billion).</w:t>
      </w:r>
    </w:p>
    <w:p w:rsidR="00C63652" w:rsidRPr="00CA1271" w:rsidRDefault="00C63652" w:rsidP="00C63652">
      <w:r w:rsidRPr="00CA1271">
        <w:t>That is, almost 40</w:t>
      </w:r>
      <w:r w:rsidR="00E80A7C" w:rsidRPr="00CA1271">
        <w:t>%</w:t>
      </w:r>
      <w:r w:rsidRPr="00CA1271">
        <w:t xml:space="preserve"> of eligible providers (delivering almost 50</w:t>
      </w:r>
      <w:r w:rsidR="00E80A7C" w:rsidRPr="00CA1271">
        <w:t>%</w:t>
      </w:r>
      <w:r w:rsidRPr="00CA1271">
        <w:t xml:space="preserve"> of all supports) have decided not to access the higher TTP price limits.</w:t>
      </w:r>
      <w:r w:rsidR="00647B74" w:rsidRPr="00CA1271">
        <w:t xml:space="preserve"> </w:t>
      </w:r>
      <w:r w:rsidRPr="00CA1271">
        <w:t>Some providers have indicated that they preferred not to raise their prices so that they could undercut competitors who did, and thus increase their market share.</w:t>
      </w:r>
    </w:p>
    <w:p w:rsidR="00C63652" w:rsidRPr="00CA1271" w:rsidRDefault="00C63652" w:rsidP="00C63652">
      <w:r w:rsidRPr="00CA1271">
        <w:t>Moreover, for those providers who chose to operate under the lower non-TTP price limits, more than 25</w:t>
      </w:r>
      <w:r w:rsidR="00E80A7C" w:rsidRPr="00CA1271">
        <w:t>%</w:t>
      </w:r>
      <w:r w:rsidRPr="00CA1271">
        <w:t xml:space="preserve"> of all claims were below the relevant lower non-TTP price limit and about 9</w:t>
      </w:r>
      <w:r w:rsidR="00E80A7C" w:rsidRPr="00CA1271">
        <w:t>%</w:t>
      </w:r>
      <w:r w:rsidRPr="00CA1271">
        <w:t xml:space="preserve"> of all claims were more than 10</w:t>
      </w:r>
      <w:r w:rsidR="00E80A7C" w:rsidRPr="00CA1271">
        <w:t>%</w:t>
      </w:r>
      <w:r w:rsidRPr="00CA1271">
        <w:t xml:space="preserve"> below the relevant lower non-TTP price limits.</w:t>
      </w:r>
    </w:p>
    <w:p w:rsidR="00C63652" w:rsidRPr="00CA1271" w:rsidRDefault="00C63652" w:rsidP="00C63652">
      <w:r w:rsidRPr="00CA1271">
        <w:t>Even among providers who chose to access the higher TTP price limits, more than 10</w:t>
      </w:r>
      <w:r w:rsidR="00E80A7C" w:rsidRPr="00CA1271">
        <w:t>%</w:t>
      </w:r>
      <w:r w:rsidRPr="00CA1271">
        <w:t xml:space="preserve"> of all claims were below the relevant higher TTP price limit and about 5</w:t>
      </w:r>
      <w:r w:rsidR="00E80A7C" w:rsidRPr="00CA1271">
        <w:t>%</w:t>
      </w:r>
      <w:r w:rsidRPr="00CA1271">
        <w:t xml:space="preserve"> of all claims were more than 5</w:t>
      </w:r>
      <w:r w:rsidR="00E80A7C" w:rsidRPr="00CA1271">
        <w:t>%</w:t>
      </w:r>
      <w:r w:rsidRPr="00CA1271">
        <w:t xml:space="preserve"> below the relevant lower non-TTP price limits.</w:t>
      </w:r>
    </w:p>
    <w:p w:rsidR="00C63652" w:rsidRPr="00CA1271" w:rsidRDefault="00C63652" w:rsidP="00C63652">
      <w:pPr>
        <w:pStyle w:val="Heading2"/>
      </w:pPr>
      <w:bookmarkStart w:id="49" w:name="_Toc42014726"/>
      <w:r w:rsidRPr="00CA1271">
        <w:t>Discussion</w:t>
      </w:r>
      <w:bookmarkEnd w:id="49"/>
    </w:p>
    <w:p w:rsidR="00C63652" w:rsidRPr="00CA1271" w:rsidRDefault="00170F62" w:rsidP="00C63652">
      <w:pPr>
        <w:pStyle w:val="Heading3"/>
      </w:pPr>
      <w:r w:rsidRPr="00CA1271">
        <w:t>NDIS Disability Support Worker Cost Model</w:t>
      </w:r>
    </w:p>
    <w:p w:rsidR="00C63652" w:rsidRPr="00CA1271" w:rsidRDefault="00C63652" w:rsidP="00C63652">
      <w:r w:rsidRPr="00CA1271">
        <w:t xml:space="preserve">The publication of the structure of the </w:t>
      </w:r>
      <w:r w:rsidR="00170F62" w:rsidRPr="00CA1271">
        <w:t>NDIS Disability Support Worker Cost Model</w:t>
      </w:r>
      <w:r w:rsidRPr="00CA1271">
        <w:t xml:space="preserve"> has provided the disability sector with full transparency regarding the setting of price limits under the Scheme and has allowed providers to benchmark their operations against the assumed efficient costs outlined in the model.</w:t>
      </w:r>
    </w:p>
    <w:p w:rsidR="00C63652" w:rsidRPr="00CA1271" w:rsidRDefault="00C63652" w:rsidP="00C63652">
      <w:r w:rsidRPr="00CA1271">
        <w:t xml:space="preserve">Given that baseline price limits are intended to represent efficient costs the TTP survey results, taken on their own, provide some evidence that the </w:t>
      </w:r>
      <w:r w:rsidR="00170F62" w:rsidRPr="00CA1271">
        <w:t>NDIS Disability Support Worker Cost Model</w:t>
      </w:r>
      <w:r w:rsidRPr="00CA1271">
        <w:t xml:space="preserve"> may not be correctly estimating efficient costs – although some of the effects are countervailing.</w:t>
      </w:r>
    </w:p>
    <w:p w:rsidR="00C63652" w:rsidRPr="00CA1271" w:rsidRDefault="00C63652" w:rsidP="00C63652">
      <w:pPr>
        <w:pStyle w:val="DotPoint"/>
      </w:pPr>
      <w:r w:rsidRPr="00CA1271">
        <w:t xml:space="preserve">The average Permanent Share of the workforce among survey respondents (43.8%) is considerably lower than the current Model assumption (90%). Moreover, the efficient </w:t>
      </w:r>
      <w:r w:rsidR="00547C8B" w:rsidRPr="00CA1271">
        <w:t>25</w:t>
      </w:r>
      <w:r w:rsidR="00547C8B" w:rsidRPr="00CA1271">
        <w:rPr>
          <w:vertAlign w:val="superscript"/>
        </w:rPr>
        <w:t>th</w:t>
      </w:r>
      <w:r w:rsidR="00547C8B" w:rsidRPr="00CA1271">
        <w:t xml:space="preserve"> percentile </w:t>
      </w:r>
      <w:r w:rsidRPr="00CA1271">
        <w:t>estimate (71.7%) is also lower than the Model assumption.</w:t>
      </w:r>
    </w:p>
    <w:p w:rsidR="00C63652" w:rsidRPr="00CA1271" w:rsidRDefault="00C63652" w:rsidP="00C63652">
      <w:pPr>
        <w:pStyle w:val="DotPoint"/>
      </w:pPr>
      <w:r w:rsidRPr="00CA1271">
        <w:t xml:space="preserve">The average utilisation rate among survey respondents (79.8%) is lower than the current Model assumptions (87.7% to 92.0%). However, the efficient </w:t>
      </w:r>
      <w:r w:rsidR="00547C8B" w:rsidRPr="00CA1271">
        <w:t>25</w:t>
      </w:r>
      <w:r w:rsidR="00547C8B" w:rsidRPr="00CA1271">
        <w:rPr>
          <w:vertAlign w:val="superscript"/>
        </w:rPr>
        <w:t>th</w:t>
      </w:r>
      <w:r w:rsidR="00547C8B" w:rsidRPr="00CA1271">
        <w:t xml:space="preserve"> percentile </w:t>
      </w:r>
      <w:r w:rsidRPr="00CA1271">
        <w:t>estimate (90.0%) is in line with the current Model assumptions.</w:t>
      </w:r>
    </w:p>
    <w:p w:rsidR="00C63652" w:rsidRPr="00CA1271" w:rsidRDefault="00C63652" w:rsidP="00C63652">
      <w:pPr>
        <w:pStyle w:val="DotPoint"/>
      </w:pPr>
      <w:r w:rsidRPr="00CA1271">
        <w:t>The average overhead</w:t>
      </w:r>
      <w:r w:rsidR="00F0327C" w:rsidRPr="00CA1271">
        <w:t>s</w:t>
      </w:r>
      <w:r w:rsidR="009B753D" w:rsidRPr="00CA1271">
        <w:t xml:space="preserve"> percent</w:t>
      </w:r>
      <w:r w:rsidRPr="00CA1271">
        <w:t xml:space="preserve">age (as a loading on direct care costs) among survey respondents (27.7%) is higher than the current Model assumptions (10.5%). Moreover, the efficient </w:t>
      </w:r>
      <w:r w:rsidR="00547C8B" w:rsidRPr="00CA1271">
        <w:t>25</w:t>
      </w:r>
      <w:r w:rsidR="00547C8B" w:rsidRPr="00CA1271">
        <w:rPr>
          <w:vertAlign w:val="superscript"/>
        </w:rPr>
        <w:t>th</w:t>
      </w:r>
      <w:r w:rsidR="00547C8B" w:rsidRPr="00CA1271">
        <w:t xml:space="preserve"> percentile </w:t>
      </w:r>
      <w:r w:rsidRPr="00CA1271">
        <w:t>estimate (19.8%) is also higher than the current Model assumption.</w:t>
      </w:r>
    </w:p>
    <w:p w:rsidR="00C63652" w:rsidRPr="00CA1271" w:rsidRDefault="00C63652" w:rsidP="00C63652">
      <w:pPr>
        <w:pStyle w:val="DotPoint"/>
      </w:pPr>
      <w:r w:rsidRPr="00CA1271">
        <w:t>The average span of control among survey respondents (11.8:1) is slightly higher than the current Model assumptions (11:1). Moreover, the efficient 25</w:t>
      </w:r>
      <w:r w:rsidRPr="00CA1271">
        <w:rPr>
          <w:vertAlign w:val="superscript"/>
        </w:rPr>
        <w:t>th</w:t>
      </w:r>
      <w:r w:rsidR="00547C8B" w:rsidRPr="00CA1271">
        <w:t xml:space="preserve"> percent</w:t>
      </w:r>
      <w:r w:rsidRPr="00CA1271">
        <w:t>ile estimate (15:1) is considerably higher than the current Model assumption.</w:t>
      </w:r>
    </w:p>
    <w:p w:rsidR="00C63652" w:rsidRPr="00CA1271" w:rsidRDefault="00C63652" w:rsidP="00C63652">
      <w:pPr>
        <w:pStyle w:val="DotPoint"/>
      </w:pPr>
      <w:r w:rsidRPr="00CA1271">
        <w:t xml:space="preserve">The </w:t>
      </w:r>
      <w:r w:rsidR="00170F62" w:rsidRPr="00CA1271">
        <w:t>NDIS Disability Support Worker Cost Model</w:t>
      </w:r>
      <w:r w:rsidRPr="00CA1271">
        <w:t xml:space="preserve"> does not currently provide for allowances paid to workers on top of their salaries (other than shift loadings and superannuation). This in not in line with the TTP Benchmarking Survey which indicates that these allowances can typically be in the order of 1.0</w:t>
      </w:r>
      <w:r w:rsidR="00E80A7C" w:rsidRPr="00CA1271">
        <w:t>%</w:t>
      </w:r>
      <w:r w:rsidRPr="00CA1271">
        <w:t xml:space="preserve"> of the </w:t>
      </w:r>
      <w:r w:rsidR="00190321" w:rsidRPr="00CA1271">
        <w:t xml:space="preserve">base </w:t>
      </w:r>
      <w:r w:rsidRPr="00CA1271">
        <w:t>salary payable to the worker.</w:t>
      </w:r>
    </w:p>
    <w:p w:rsidR="00C63652" w:rsidRPr="00CA1271" w:rsidRDefault="00C63652" w:rsidP="00C63652">
      <w:r w:rsidRPr="00CA1271">
        <w:t>However, the TTP survey does not include results for providers who are not accessing the higher TTP price limits, and who, prima facie, are likely to have lower costs (and hence be more efficient) since they have not chosen to access the higher TTP price limits. Only around half of eligible providers (59.6%) claim the TTP and then less than half of TTP claimants completed the survey by the due date. Thus</w:t>
      </w:r>
      <w:r w:rsidR="00190321" w:rsidRPr="00CA1271">
        <w:t>,</w:t>
      </w:r>
      <w:r w:rsidRPr="00CA1271">
        <w:t xml:space="preserve"> the survey provides results for only around a quarter of those NDIS providers who employ Disability Support Workers. Assuming that the distribution of overheads among non-TTP claiming providers is similar to the distribution among TTP claiming providers, but with a lower average representing their lower costs then it is possible to generate a mixed statistical distribution of all providers. The Review estimates that in this distribution the efficient (25</w:t>
      </w:r>
      <w:r w:rsidRPr="00CA1271">
        <w:rPr>
          <w:vertAlign w:val="superscript"/>
        </w:rPr>
        <w:t>th</w:t>
      </w:r>
      <w:r w:rsidR="006E700A" w:rsidRPr="00CA1271">
        <w:t xml:space="preserve"> percent</w:t>
      </w:r>
      <w:r w:rsidRPr="00CA1271">
        <w:t>ile) provider wo</w:t>
      </w:r>
      <w:r w:rsidR="00547C8B" w:rsidRPr="00CA1271">
        <w:t xml:space="preserve">uld have overheads of </w:t>
      </w:r>
      <w:r w:rsidR="006E700A" w:rsidRPr="00CA1271">
        <w:t>between 14.4% and</w:t>
      </w:r>
      <w:r w:rsidR="00547C8B" w:rsidRPr="00CA1271">
        <w:t xml:space="preserve"> </w:t>
      </w:r>
      <w:r w:rsidR="006E700A" w:rsidRPr="00CA1271">
        <w:t>16.7</w:t>
      </w:r>
      <w:r w:rsidR="00F37B73" w:rsidRPr="00CA1271">
        <w:t>%</w:t>
      </w:r>
      <w:r w:rsidRPr="00CA1271">
        <w:t xml:space="preserve"> of direct costs</w:t>
      </w:r>
      <w:r w:rsidR="006D7957" w:rsidRPr="00CA1271">
        <w:t xml:space="preserve"> (with a median estimate of 15.2%)</w:t>
      </w:r>
      <w:r w:rsidRPr="00CA1271">
        <w:t>.</w:t>
      </w:r>
      <w:r w:rsidR="006E700A" w:rsidRPr="00CA1271">
        <w:rPr>
          <w:rStyle w:val="FootnoteReference"/>
        </w:rPr>
        <w:footnoteReference w:id="34"/>
      </w:r>
    </w:p>
    <w:p w:rsidR="00C63652" w:rsidRPr="00CA1271" w:rsidRDefault="00C63652" w:rsidP="00C63652">
      <w:r w:rsidRPr="00CA1271">
        <w:t>Moreover, some of these overheads relate to provider transport non-labour costs which are currently not separately claimable by providers. The TTP benchmarking survey found that the average cost of travel expenses across respondents was $1,000 per worker per year. A DSW Level 1 paid at $27.61 per hour, with a 38 hour week, has an annual income of $54,557. With salary related on costs and supervision costs this equates to direct care expenditure of about $70,000. Travel expenses of $1,000 would represent a 1.4</w:t>
      </w:r>
      <w:r w:rsidR="00E80A7C" w:rsidRPr="00CA1271">
        <w:t>%</w:t>
      </w:r>
      <w:r w:rsidRPr="00CA1271">
        <w:t xml:space="preserve"> increase on this, and would currently be shown in the overhead</w:t>
      </w:r>
      <w:r w:rsidR="00F0327C" w:rsidRPr="00CA1271">
        <w:t>s</w:t>
      </w:r>
      <w:r w:rsidRPr="00CA1271">
        <w:t xml:space="preserve"> of the provider.</w:t>
      </w:r>
    </w:p>
    <w:p w:rsidR="00C63652" w:rsidRPr="00CA1271" w:rsidRDefault="00C63652" w:rsidP="00C63652">
      <w:r w:rsidRPr="00CA1271">
        <w:t>There is also strong evidence that some providers are managing to operate at or below the current price limits, with almost 40</w:t>
      </w:r>
      <w:r w:rsidR="00E80A7C" w:rsidRPr="00CA1271">
        <w:t>%</w:t>
      </w:r>
      <w:r w:rsidRPr="00CA1271">
        <w:t xml:space="preserve"> of eligible providers choosing not to access the higher TTP price limits. Moreover, more than 25</w:t>
      </w:r>
      <w:r w:rsidR="00E80A7C" w:rsidRPr="00CA1271">
        <w:t>%</w:t>
      </w:r>
      <w:r w:rsidRPr="00CA1271">
        <w:t xml:space="preserve"> of all claims by these providers were below the relevant lower non-TTP price limit and about 9</w:t>
      </w:r>
      <w:r w:rsidR="00E80A7C" w:rsidRPr="00CA1271">
        <w:t>%</w:t>
      </w:r>
      <w:r w:rsidRPr="00CA1271">
        <w:t xml:space="preserve"> of claims were more than 10</w:t>
      </w:r>
      <w:r w:rsidR="00E80A7C" w:rsidRPr="00CA1271">
        <w:t>%</w:t>
      </w:r>
      <w:r w:rsidRPr="00CA1271">
        <w:t xml:space="preserve"> below the relevant lower non-TTP price limits.</w:t>
      </w:r>
    </w:p>
    <w:p w:rsidR="00C63652" w:rsidRPr="00CA1271" w:rsidRDefault="00C63652" w:rsidP="00C63652">
      <w:r w:rsidRPr="00CA1271">
        <w:t>Finally, the current price limits in the NDIS compare very favourably with those that apply in other schemes</w:t>
      </w:r>
      <w:r w:rsidR="00686B5F" w:rsidRPr="00CA1271">
        <w:t xml:space="preserve">. However, it is not clear to what extent these fees can be compared to NDIS price limits, given that fees can operate differently in different contexts (e.g. according to whether or not services are commissioned, and what other fees are also </w:t>
      </w:r>
      <w:r w:rsidR="00C4242B" w:rsidRPr="00CA1271">
        <w:t>claim</w:t>
      </w:r>
      <w:r w:rsidR="00686B5F" w:rsidRPr="00CA1271">
        <w:t xml:space="preserve">able). </w:t>
      </w:r>
      <w:r w:rsidRPr="00CA1271">
        <w:t>The Review also notes that the NDIS price limits seem relatively high compared to the prices charged in the aged care sector</w:t>
      </w:r>
      <w:r w:rsidR="00977D24" w:rsidRPr="00CA1271">
        <w:t xml:space="preserve"> but that these arrangements also include co-payments</w:t>
      </w:r>
      <w:r w:rsidRPr="00CA1271">
        <w:t>. Australian Unity Aged Care, for example, lists an hourly rate for personal care of $53.00 + management fees and Blue Care lists an hourly rate of $50.75 plus management fees (of about $6 per hour).</w:t>
      </w:r>
    </w:p>
    <w:p w:rsidR="002315CE" w:rsidRPr="00CA1271" w:rsidRDefault="00C63652" w:rsidP="00C63652">
      <w:r w:rsidRPr="00CA1271">
        <w:t xml:space="preserve">On balance, therefore, the Review considers that there is no reason to increase the current set of price limits, although it would be appropriate to make some minor modifications to the </w:t>
      </w:r>
      <w:r w:rsidR="00170F62" w:rsidRPr="00CA1271">
        <w:t>NDIS Disability Support Worker Cost Model</w:t>
      </w:r>
      <w:r w:rsidRPr="00CA1271">
        <w:t xml:space="preserve"> to</w:t>
      </w:r>
      <w:r w:rsidR="002315CE" w:rsidRPr="00CA1271">
        <w:t xml:space="preserve"> better reflect the costs structures of efficient (25</w:t>
      </w:r>
      <w:r w:rsidR="002315CE" w:rsidRPr="00CA1271">
        <w:rPr>
          <w:vertAlign w:val="superscript"/>
        </w:rPr>
        <w:t>th</w:t>
      </w:r>
      <w:r w:rsidR="002315CE" w:rsidRPr="00CA1271">
        <w:t xml:space="preserve"> percentile) providers</w:t>
      </w:r>
      <w:r w:rsidR="002315CE" w:rsidRPr="00CA1271">
        <w:rPr>
          <w:rStyle w:val="FootnoteReference"/>
        </w:rPr>
        <w:footnoteReference w:id="35"/>
      </w:r>
      <w:r w:rsidR="002315CE" w:rsidRPr="00CA1271">
        <w:t xml:space="preserve"> by</w:t>
      </w:r>
      <w:r w:rsidRPr="00CA1271">
        <w:t>:</w:t>
      </w:r>
    </w:p>
    <w:p w:rsidR="00C63652" w:rsidRPr="00CA1271" w:rsidRDefault="002315CE" w:rsidP="00C63652">
      <w:pPr>
        <w:pStyle w:val="DotPoint"/>
      </w:pPr>
      <w:r w:rsidRPr="00CA1271">
        <w:t>Decreasing</w:t>
      </w:r>
      <w:r w:rsidR="00C63652" w:rsidRPr="00CA1271">
        <w:t xml:space="preserve"> the ratio of permanent to casual staff assumed in the cost model to 70/30</w:t>
      </w:r>
      <w:r w:rsidR="00E80A7C" w:rsidRPr="00CA1271">
        <w:t>%</w:t>
      </w:r>
      <w:r w:rsidR="00C63652" w:rsidRPr="00CA1271">
        <w:t xml:space="preserve"> in line with the 25</w:t>
      </w:r>
      <w:r w:rsidR="00C63652" w:rsidRPr="00CA1271">
        <w:rPr>
          <w:vertAlign w:val="superscript"/>
        </w:rPr>
        <w:t>th</w:t>
      </w:r>
      <w:r w:rsidR="00DE306E" w:rsidRPr="00CA1271">
        <w:t xml:space="preserve"> percent</w:t>
      </w:r>
      <w:r w:rsidR="00C63652" w:rsidRPr="00CA1271">
        <w:t>ile of the TTP Benchmarking Survey;</w:t>
      </w:r>
    </w:p>
    <w:p w:rsidR="00C63652" w:rsidRPr="00CA1271" w:rsidRDefault="002315CE" w:rsidP="00C63652">
      <w:pPr>
        <w:pStyle w:val="DotPoint"/>
      </w:pPr>
      <w:r w:rsidRPr="00CA1271">
        <w:t>Increasing</w:t>
      </w:r>
      <w:r w:rsidR="00C63652" w:rsidRPr="00CA1271">
        <w:t xml:space="preserve"> the share of staff assumed to take up their long service leave entitlements to 100</w:t>
      </w:r>
      <w:r w:rsidR="00E80A7C" w:rsidRPr="00CA1271">
        <w:t>%</w:t>
      </w:r>
      <w:r w:rsidR="00C63652" w:rsidRPr="00CA1271">
        <w:t xml:space="preserve"> in recognition of the move towards portable long service leave scheme sin some states and territories;</w:t>
      </w:r>
    </w:p>
    <w:p w:rsidR="00C63652" w:rsidRPr="00CA1271" w:rsidRDefault="002315CE" w:rsidP="00C63652">
      <w:pPr>
        <w:pStyle w:val="DotPoint"/>
      </w:pPr>
      <w:r w:rsidRPr="00CA1271">
        <w:t>Decreasing</w:t>
      </w:r>
      <w:r w:rsidR="00C63652" w:rsidRPr="00CA1271">
        <w:t xml:space="preserve"> the assumed workers compensation premium</w:t>
      </w:r>
      <w:r w:rsidR="00F37B73" w:rsidRPr="00CA1271">
        <w:t xml:space="preserve"> percent</w:t>
      </w:r>
      <w:r w:rsidR="00C63652" w:rsidRPr="00CA1271">
        <w:t>age from 3.0</w:t>
      </w:r>
      <w:r w:rsidR="00E80A7C" w:rsidRPr="00CA1271">
        <w:t>%</w:t>
      </w:r>
      <w:r w:rsidR="00C63652" w:rsidRPr="00CA1271">
        <w:t xml:space="preserve"> to 1.7</w:t>
      </w:r>
      <w:r w:rsidR="00E80A7C" w:rsidRPr="00CA1271">
        <w:t>%</w:t>
      </w:r>
      <w:r w:rsidR="00C63652" w:rsidRPr="00CA1271">
        <w:t xml:space="preserve"> in line with the 25</w:t>
      </w:r>
      <w:r w:rsidR="00C63652" w:rsidRPr="00CA1271">
        <w:rPr>
          <w:vertAlign w:val="superscript"/>
        </w:rPr>
        <w:t>th</w:t>
      </w:r>
      <w:r w:rsidR="00DE306E" w:rsidRPr="00CA1271">
        <w:t xml:space="preserve"> percent</w:t>
      </w:r>
      <w:r w:rsidR="00C63652" w:rsidRPr="00CA1271">
        <w:t>ile observed in the TTP Benchmarking Survey, noting that this is equal to the average premium</w:t>
      </w:r>
      <w:r w:rsidR="00F37B73" w:rsidRPr="00CA1271">
        <w:t xml:space="preserve"> percent</w:t>
      </w:r>
      <w:r w:rsidR="00C63652" w:rsidRPr="00CA1271">
        <w:t>age observed across the health and community sector;</w:t>
      </w:r>
    </w:p>
    <w:p w:rsidR="00C63652" w:rsidRPr="00CA1271" w:rsidRDefault="002315CE" w:rsidP="00C63652">
      <w:pPr>
        <w:pStyle w:val="DotPoint"/>
      </w:pPr>
      <w:r w:rsidRPr="00CA1271">
        <w:t>Increasing</w:t>
      </w:r>
      <w:r w:rsidR="00C63652" w:rsidRPr="00CA1271">
        <w:t xml:space="preserve"> the assumed overheads</w:t>
      </w:r>
      <w:r w:rsidR="00F37B73" w:rsidRPr="00CA1271">
        <w:t xml:space="preserve"> percent</w:t>
      </w:r>
      <w:r w:rsidR="00C63652" w:rsidRPr="00CA1271">
        <w:t>age to 12.0</w:t>
      </w:r>
      <w:r w:rsidR="00E80A7C" w:rsidRPr="00CA1271">
        <w:t>%</w:t>
      </w:r>
      <w:r w:rsidR="00C63652" w:rsidRPr="00CA1271">
        <w:t xml:space="preserve"> to better align with the estimated overheads of efficient providers in the sector, noting that other recommendations being made by the Review will directly address some of the costs that providers are currently carrying in their overheads</w:t>
      </w:r>
      <w:r w:rsidR="00C63652" w:rsidRPr="00CA1271">
        <w:rPr>
          <w:rStyle w:val="FootnoteReference"/>
        </w:rPr>
        <w:footnoteReference w:id="36"/>
      </w:r>
      <w:r w:rsidR="00C63652" w:rsidRPr="00CA1271">
        <w:t>;</w:t>
      </w:r>
    </w:p>
    <w:p w:rsidR="00C63652" w:rsidRPr="00CA1271" w:rsidRDefault="002315CE" w:rsidP="00C63652">
      <w:pPr>
        <w:pStyle w:val="DotPoint"/>
      </w:pPr>
      <w:r w:rsidRPr="00CA1271">
        <w:t>Increasing</w:t>
      </w:r>
      <w:r w:rsidR="00C63652" w:rsidRPr="00CA1271">
        <w:t xml:space="preserve"> the supervision ratio from 11 to 15 in line with the 25</w:t>
      </w:r>
      <w:r w:rsidR="00DE306E" w:rsidRPr="00CA1271">
        <w:rPr>
          <w:vertAlign w:val="superscript"/>
        </w:rPr>
        <w:t xml:space="preserve">th </w:t>
      </w:r>
      <w:r w:rsidR="00DE306E" w:rsidRPr="00CA1271">
        <w:t>percent</w:t>
      </w:r>
      <w:r w:rsidR="00C63652" w:rsidRPr="00CA1271">
        <w:t>ile observed in the TTP Benchmarking Survey, noting that the non-face-to-face claiming rules permit some interactions between supervisors and staff to be claimed directly when they relate to the specific direct care needs of a participant; and</w:t>
      </w:r>
    </w:p>
    <w:p w:rsidR="00C63652" w:rsidRPr="00CA1271" w:rsidRDefault="002315CE" w:rsidP="00C63652">
      <w:pPr>
        <w:pStyle w:val="DotPoint"/>
      </w:pPr>
      <w:r w:rsidRPr="00CA1271">
        <w:t>Increasing</w:t>
      </w:r>
      <w:r w:rsidR="00C63652" w:rsidRPr="00CA1271">
        <w:t xml:space="preserve"> the provision of allowances </w:t>
      </w:r>
      <w:r w:rsidR="00686B5F" w:rsidRPr="00CA1271">
        <w:t xml:space="preserve">(other than travel allowances) </w:t>
      </w:r>
      <w:r w:rsidR="00C63652" w:rsidRPr="00CA1271">
        <w:t>for support workers and supervisors to 1.0</w:t>
      </w:r>
      <w:r w:rsidR="00E80A7C" w:rsidRPr="00CA1271">
        <w:t>%</w:t>
      </w:r>
      <w:r w:rsidR="00C63652" w:rsidRPr="00CA1271">
        <w:t xml:space="preserve"> of salary, in line with the average level observed in the TTP Benchmarking Survey.</w:t>
      </w:r>
    </w:p>
    <w:p w:rsidR="00C63652" w:rsidRPr="00CA1271" w:rsidRDefault="00C63652" w:rsidP="00C63652">
      <w:r w:rsidRPr="00CA1271">
        <w:t>The Review notes the concerns raised by some providers that the ratio of permanent to casual staff differs by shift. The Review accepts that these variations</w:t>
      </w:r>
      <w:r w:rsidR="00E0528D" w:rsidRPr="00CA1271">
        <w:t>, if they exist,</w:t>
      </w:r>
      <w:r w:rsidRPr="00CA1271">
        <w:t xml:space="preserve"> are not accounted for in the </w:t>
      </w:r>
      <w:r w:rsidR="00170F62" w:rsidRPr="00CA1271">
        <w:t>NDIS Disability Support Worker Cost Model</w:t>
      </w:r>
      <w:r w:rsidR="00E0528D" w:rsidRPr="00CA1271">
        <w:t xml:space="preserve"> but the Review</w:t>
      </w:r>
      <w:r w:rsidRPr="00CA1271">
        <w:t xml:space="preserve"> does not have sufficient data available to it to determine if these practices make a material difference to the overall costs of employers. The Review suggests that these matters should be investigated further in the next TTP Financial Benchmarking Survey.</w:t>
      </w:r>
    </w:p>
    <w:p w:rsidR="00C63652" w:rsidRPr="00CA1271" w:rsidRDefault="00C63652" w:rsidP="00C63652">
      <w:r w:rsidRPr="00CA1271">
        <w:t xml:space="preserve">The Review also notes the concerns raised by some providers that the </w:t>
      </w:r>
      <w:r w:rsidR="00170F62" w:rsidRPr="00CA1271">
        <w:t>NDIS Disability Support Worker Cost Model</w:t>
      </w:r>
      <w:r w:rsidRPr="00CA1271">
        <w:t xml:space="preserve"> does not take into account the additional costs of employing Agency Staff. The Review does not accept this criticism as these costs are by and large, within the control of providers who are responsible for managing the rostering of their workforce. The Review therefore considers that any such additional costs are best attributed against the provider’s overhead</w:t>
      </w:r>
      <w:r w:rsidR="00F0327C" w:rsidRPr="00CA1271">
        <w:t>s</w:t>
      </w:r>
      <w:r w:rsidRPr="00CA1271">
        <w:t xml:space="preserve"> in the </w:t>
      </w:r>
      <w:r w:rsidR="00170F62" w:rsidRPr="00CA1271">
        <w:t>NDIS Disability Support Worker Cost Model</w:t>
      </w:r>
      <w:r w:rsidRPr="00CA1271">
        <w:t>.</w:t>
      </w:r>
    </w:p>
    <w:p w:rsidR="004D6147" w:rsidRPr="00CA1271" w:rsidRDefault="004D6147" w:rsidP="004D6147">
      <w:pPr>
        <w:pStyle w:val="Heading3"/>
      </w:pPr>
      <w:r w:rsidRPr="00CA1271">
        <w:t>High Intensity Supports</w:t>
      </w:r>
    </w:p>
    <w:p w:rsidR="004D6147" w:rsidRPr="00CA1271" w:rsidRDefault="004D6147" w:rsidP="004D6147">
      <w:r w:rsidRPr="00CA1271">
        <w:t>The Review does not support the request by some providers that the price limit for support items should be determined by the complexity of the participant’s needs rather than by the skills and experience of the support worker, as currently. The Review accepts that participants with complex needs will often require more funding, both for more supports and for more skilled or experienced support workers. However, this is a planning issue, not a pricing issue. From a price control perspective the important issue is the input costs of the provider, which are largely determined by the skills and experience of the support worker who delivers the support.</w:t>
      </w:r>
    </w:p>
    <w:p w:rsidR="004D6147" w:rsidRPr="00CA1271" w:rsidRDefault="004D6147" w:rsidP="004D6147">
      <w:r w:rsidRPr="00CA1271">
        <w:t xml:space="preserve">The Review understands that some providers would prefer greater guidance as to when they may use the Level 1, Level 2 and Level 3 price limits. Currently the </w:t>
      </w:r>
      <w:r w:rsidRPr="00CA1271">
        <w:rPr>
          <w:i/>
        </w:rPr>
        <w:t>NDIS Price Guide</w:t>
      </w:r>
      <w:r w:rsidRPr="00CA1271">
        <w:t xml:space="preserve"> says that:</w:t>
      </w:r>
    </w:p>
    <w:p w:rsidR="004D6147" w:rsidRPr="00CA1271" w:rsidRDefault="004D6147" w:rsidP="004D6147">
      <w:pPr>
        <w:pStyle w:val="Quote1"/>
      </w:pPr>
      <w:r w:rsidRPr="00CA1271">
        <w:t>A support is considered a high intensity support if the participant requires assistance from a support worker with additional qualifications and experience relevant to the participant’s complex needs. The high intensity price limits may be considered when:</w:t>
      </w:r>
    </w:p>
    <w:p w:rsidR="004D6147" w:rsidRPr="00CA1271" w:rsidRDefault="004D6147" w:rsidP="007A045B">
      <w:pPr>
        <w:pStyle w:val="Quote1"/>
        <w:numPr>
          <w:ilvl w:val="1"/>
          <w:numId w:val="16"/>
        </w:numPr>
        <w:ind w:left="851"/>
      </w:pPr>
      <w:r w:rsidRPr="00CA1271">
        <w:rPr>
          <w:szCs w:val="18"/>
        </w:rPr>
        <w:t xml:space="preserve">frequent (at least 1 instance per shift) assistance is required to manage challenging behaviours that </w:t>
      </w:r>
      <w:r w:rsidRPr="00CA1271">
        <w:t>require intensive positive behaviour support; and/or</w:t>
      </w:r>
    </w:p>
    <w:p w:rsidR="004D6147" w:rsidRPr="00CA1271" w:rsidRDefault="004D6147" w:rsidP="007A045B">
      <w:pPr>
        <w:pStyle w:val="Quote1"/>
        <w:numPr>
          <w:ilvl w:val="1"/>
          <w:numId w:val="16"/>
        </w:numPr>
        <w:ind w:left="851"/>
        <w:rPr>
          <w:szCs w:val="18"/>
        </w:rPr>
      </w:pPr>
      <w:r w:rsidRPr="00CA1271">
        <w:t>continual active support</w:t>
      </w:r>
      <w:r w:rsidRPr="00CA1271">
        <w:rPr>
          <w:szCs w:val="18"/>
        </w:rPr>
        <w:t xml:space="preserve"> is required due to high medical support needs (such as unstable seizure activity or respiratory support)</w:t>
      </w:r>
    </w:p>
    <w:p w:rsidR="004D6147" w:rsidRPr="00CA1271" w:rsidRDefault="004D6147" w:rsidP="004D6147">
      <w:pPr>
        <w:pStyle w:val="Quote1"/>
      </w:pPr>
      <w:r w:rsidRPr="00CA1271">
        <w:t>In determining which price limit for High Intensity Supports should apply to a given support, the provider should consider the skills and experience of the worker delivering the support. 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cap, with the participant’s prior agreement.</w:t>
      </w:r>
    </w:p>
    <w:p w:rsidR="004D6147" w:rsidRPr="00CA1271" w:rsidRDefault="004D6147" w:rsidP="004D6147">
      <w:r w:rsidRPr="00CA1271">
        <w:t>An alternative approach would be for the Price Limit levels to be linked to the skills and competencies set out in the SCHADS Award.</w:t>
      </w:r>
    </w:p>
    <w:p w:rsidR="004D6147" w:rsidRPr="00CA1271" w:rsidRDefault="004D6147" w:rsidP="004D6147">
      <w:pPr>
        <w:pStyle w:val="Quote1"/>
      </w:pPr>
      <w:r w:rsidRPr="00CA1271">
        <w:t>Level 1 support items should be used if the worker who delivers the support is someone who has the skills and experience that would mean that they would be classified as a Social and Community Services Employee level 2 (below the maximum pay point) if they were employed under the SCHADS Award.</w:t>
      </w:r>
    </w:p>
    <w:p w:rsidR="004D6147" w:rsidRPr="00CA1271" w:rsidRDefault="004D6147" w:rsidP="004D6147">
      <w:pPr>
        <w:pStyle w:val="Quote1"/>
      </w:pPr>
      <w:r w:rsidRPr="00CA1271">
        <w:t>Level 2 support items should be used if the worker who delivers the support is someone who has the skills and experience that would mean that they would be classified as a Social and Community Services Employee level 2 (at the maximum pay point) or as a Social and Community Serv</w:t>
      </w:r>
      <w:r w:rsidR="00C172C6">
        <w:t>ices Employee level 3 (at the min</w:t>
      </w:r>
      <w:r w:rsidRPr="00CA1271">
        <w:t>imum pay point) if they were employed under the SCHADS Award.</w:t>
      </w:r>
    </w:p>
    <w:p w:rsidR="004D6147" w:rsidRPr="00CA1271" w:rsidRDefault="004D6147" w:rsidP="004D6147">
      <w:pPr>
        <w:pStyle w:val="Quote1"/>
      </w:pPr>
      <w:r w:rsidRPr="00CA1271">
        <w:t>Level 3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rsidR="004D6147" w:rsidRPr="00CA1271" w:rsidRDefault="004D6147" w:rsidP="004D6147">
      <w:r w:rsidRPr="00CA1271">
        <w:t>On balance, the Review considers that the alternative approach is more appropriate. Providers have expressed concerns that many of them do not currently employ workers under the SCHADS Award, but the proposed definitions are only linked to the competencies set out in the SCHADS Award as a point of reference.</w:t>
      </w:r>
    </w:p>
    <w:p w:rsidR="004D6147" w:rsidRPr="00CA1271" w:rsidRDefault="004D6147" w:rsidP="004D6147">
      <w:pPr>
        <w:pStyle w:val="Heading3"/>
      </w:pPr>
      <w:r w:rsidRPr="00CA1271">
        <w:t>Time of Day and Day of Week</w:t>
      </w:r>
    </w:p>
    <w:p w:rsidR="004D6147" w:rsidRPr="00CA1271" w:rsidRDefault="004D6147" w:rsidP="004D6147">
      <w:r w:rsidRPr="00CA1271">
        <w:t>The Review does not support the request by some providers that the price limit should be determined by the shift of the worker rather than by the time of day that the support is delivered. It is important that participants know what price limit applies to each support that they purchase and they cannot know this if the price limit can also vary according to the shift that the employer has engaged the employee to work. In the end, workforce rostering is a matter for providers to manage.</w:t>
      </w:r>
    </w:p>
    <w:p w:rsidR="004D6147" w:rsidRPr="00CA1271" w:rsidRDefault="00977D24" w:rsidP="004D6147">
      <w:r w:rsidRPr="00CA1271">
        <w:t xml:space="preserve">As an exception to this general rule, the Review sees merit in the current arrangement whereby </w:t>
      </w:r>
      <w:r w:rsidR="004D6147" w:rsidRPr="00CA1271">
        <w:t xml:space="preserve">when a support </w:t>
      </w:r>
      <w:r w:rsidRPr="00CA1271">
        <w:t xml:space="preserve">for a participant </w:t>
      </w:r>
      <w:r w:rsidR="004D6147" w:rsidRPr="00CA1271">
        <w:t xml:space="preserve">crosses a shift boundary and the same worker delivers the entire support then the provider is entitled to use the highest price limit for the entire support. To avoid any confusion the Review suggests that the relevant section of the NDIS Price Guide should be rewritten as follows: </w:t>
      </w:r>
    </w:p>
    <w:p w:rsidR="004D6147" w:rsidRPr="00CA1271" w:rsidRDefault="004D6147" w:rsidP="004D6147">
      <w:pPr>
        <w:pStyle w:val="Quote1"/>
        <w:keepNext/>
        <w:rPr>
          <w:b/>
        </w:rPr>
      </w:pPr>
      <w:r w:rsidRPr="00CA1271">
        <w:rPr>
          <w:b/>
        </w:rPr>
        <w:t>Time of Day and Day of Week</w:t>
      </w:r>
    </w:p>
    <w:p w:rsidR="004D6147" w:rsidRPr="00CA1271" w:rsidRDefault="004D6147" w:rsidP="004D6147">
      <w:pPr>
        <w:pStyle w:val="Quote1"/>
      </w:pPr>
      <w:r w:rsidRPr="00CA1271">
        <w:t xml:space="preserve">In determining which price limit is applicable to a support, the important consideration is when the support is provided to the participant, </w:t>
      </w:r>
      <w:r w:rsidRPr="00CA1271">
        <w:rPr>
          <w:u w:val="single"/>
        </w:rPr>
        <w:t>not</w:t>
      </w:r>
      <w:r w:rsidRPr="00CA1271">
        <w:t xml:space="preserve"> the shift of the worker used to deliver that support as determined by the applicable Industry Award or Enterpr</w:t>
      </w:r>
      <w:r w:rsidR="00977D24" w:rsidRPr="00CA1271">
        <w:t>ise Bargaining Agreement (EBA).</w:t>
      </w:r>
    </w:p>
    <w:p w:rsidR="004D6147" w:rsidRPr="00CA1271" w:rsidRDefault="004D6147" w:rsidP="004D6147">
      <w:pPr>
        <w:pStyle w:val="Quote1"/>
      </w:pPr>
      <w:r w:rsidRPr="00CA1271">
        <w:t>For NDIS billing purposes the provider must first determine the day of the week on which the support was provided on and then the time of the day during which the support was delivered. (Note: weekday means Monday, Tuesday, Wednesday, Thursday or Friday).</w:t>
      </w:r>
    </w:p>
    <w:p w:rsidR="004D6147" w:rsidRPr="00CA1271" w:rsidRDefault="004D6147" w:rsidP="007A045B">
      <w:pPr>
        <w:pStyle w:val="Quote1"/>
        <w:numPr>
          <w:ilvl w:val="0"/>
          <w:numId w:val="20"/>
        </w:numPr>
        <w:ind w:left="567" w:hanging="283"/>
      </w:pPr>
      <w:r w:rsidRPr="00CA1271">
        <w:t xml:space="preserve">A </w:t>
      </w:r>
      <w:r w:rsidRPr="00CA1271">
        <w:rPr>
          <w:b/>
        </w:rPr>
        <w:t>Night-time Sleepover Support</w:t>
      </w:r>
      <w:r w:rsidRPr="00CA1271">
        <w:t xml:space="preserve"> is any support to an individual participant delivered on a weekday, a Saturday, a Sunday or a Public Holiday that:</w:t>
      </w:r>
    </w:p>
    <w:p w:rsidR="004D6147" w:rsidRPr="00CA1271" w:rsidRDefault="004D6147" w:rsidP="007A045B">
      <w:pPr>
        <w:pStyle w:val="DotPoint"/>
        <w:numPr>
          <w:ilvl w:val="0"/>
          <w:numId w:val="21"/>
        </w:numPr>
        <w:ind w:left="1134" w:hanging="283"/>
      </w:pPr>
      <w:r w:rsidRPr="00CA1271">
        <w:t>commences before midnight on a given day and finishes after midnight on that day; and</w:t>
      </w:r>
    </w:p>
    <w:p w:rsidR="004D6147" w:rsidRPr="00CA1271" w:rsidRDefault="004D6147" w:rsidP="007A045B">
      <w:pPr>
        <w:pStyle w:val="DotPoint"/>
        <w:numPr>
          <w:ilvl w:val="0"/>
          <w:numId w:val="21"/>
        </w:numPr>
        <w:ind w:left="1134" w:hanging="283"/>
      </w:pPr>
      <w:r w:rsidRPr="00CA1271">
        <w:t>is for a continuous period of eight (8) hours or more; and</w:t>
      </w:r>
    </w:p>
    <w:p w:rsidR="004D6147" w:rsidRPr="00CA1271" w:rsidRDefault="004D6147" w:rsidP="007A045B">
      <w:pPr>
        <w:pStyle w:val="DotPoint"/>
        <w:numPr>
          <w:ilvl w:val="0"/>
          <w:numId w:val="21"/>
        </w:numPr>
        <w:ind w:left="1134" w:hanging="283"/>
      </w:pPr>
      <w:proofErr w:type="gramStart"/>
      <w:r w:rsidRPr="00CA1271">
        <w:t>the</w:t>
      </w:r>
      <w:proofErr w:type="gramEnd"/>
      <w:r w:rsidRPr="00CA1271">
        <w:t xml:space="preserve"> worker is allowed to sleep when they are not providing support.</w:t>
      </w:r>
    </w:p>
    <w:p w:rsidR="004D6147" w:rsidRPr="00CA1271" w:rsidRDefault="004D6147" w:rsidP="007A045B">
      <w:pPr>
        <w:pStyle w:val="Quote1"/>
        <w:numPr>
          <w:ilvl w:val="0"/>
          <w:numId w:val="20"/>
        </w:numPr>
        <w:ind w:left="567" w:hanging="283"/>
      </w:pPr>
      <w:r w:rsidRPr="00CA1271">
        <w:t xml:space="preserve">A </w:t>
      </w:r>
      <w:r w:rsidRPr="00CA1271">
        <w:rPr>
          <w:b/>
        </w:rPr>
        <w:t>Public Holiday Support</w:t>
      </w:r>
      <w:r w:rsidRPr="00CA1271">
        <w:t xml:space="preserve"> is any support to an individual participant that starts at or after midnight on the night prior to a Public Holiday and ends before or at midnight of that Public Holiday (unless that support is a Night-time Sleepover Support).</w:t>
      </w:r>
    </w:p>
    <w:p w:rsidR="004D6147" w:rsidRPr="00CA1271" w:rsidRDefault="004D6147" w:rsidP="007A045B">
      <w:pPr>
        <w:pStyle w:val="Quote1"/>
        <w:numPr>
          <w:ilvl w:val="0"/>
          <w:numId w:val="20"/>
        </w:numPr>
        <w:ind w:left="567" w:hanging="283"/>
      </w:pPr>
      <w:r w:rsidRPr="00CA1271">
        <w:t xml:space="preserve">A </w:t>
      </w:r>
      <w:r w:rsidRPr="00CA1271">
        <w:rPr>
          <w:b/>
        </w:rPr>
        <w:t>Saturday Support</w:t>
      </w:r>
      <w:r w:rsidRPr="00CA1271">
        <w:t xml:space="preserve"> is any support to an individual participant that starts at or after midnight on the night prior to a Saturday and ends before or at midnight of that Saturday (unless that support is a Public Holiday Support or a Night-time Sleepover Support).</w:t>
      </w:r>
    </w:p>
    <w:p w:rsidR="004D6147" w:rsidRPr="00CA1271" w:rsidRDefault="004D6147" w:rsidP="007A045B">
      <w:pPr>
        <w:pStyle w:val="Quote1"/>
        <w:numPr>
          <w:ilvl w:val="0"/>
          <w:numId w:val="20"/>
        </w:numPr>
        <w:ind w:left="567" w:hanging="283"/>
      </w:pPr>
      <w:r w:rsidRPr="00CA1271">
        <w:t xml:space="preserve">A </w:t>
      </w:r>
      <w:r w:rsidRPr="00CA1271">
        <w:rPr>
          <w:b/>
        </w:rPr>
        <w:t>Sunday Support</w:t>
      </w:r>
      <w:r w:rsidRPr="00CA1271">
        <w:t xml:space="preserve"> is any support to an individual participant that starts at or after midnight on the night prior to a Sunday and ends before or at midnight of that Sunday (unless that support is a Public Holiday Support or a Night-time Sleepover Support).</w:t>
      </w:r>
    </w:p>
    <w:p w:rsidR="004D6147" w:rsidRPr="00CA1271" w:rsidRDefault="004D6147" w:rsidP="007A045B">
      <w:pPr>
        <w:pStyle w:val="Quote1"/>
        <w:numPr>
          <w:ilvl w:val="0"/>
          <w:numId w:val="20"/>
        </w:numPr>
        <w:ind w:left="567" w:hanging="283"/>
      </w:pPr>
      <w:r w:rsidRPr="00CA1271">
        <w:t xml:space="preserve">A </w:t>
      </w:r>
      <w:r w:rsidRPr="00CA1271">
        <w:rPr>
          <w:b/>
        </w:rPr>
        <w:t>Standard Day Support</w:t>
      </w:r>
      <w:r w:rsidRPr="00CA1271">
        <w:t xml:space="preserve"> is any other support, and is either:</w:t>
      </w:r>
    </w:p>
    <w:p w:rsidR="004D6147" w:rsidRPr="00CA1271" w:rsidRDefault="004D6147" w:rsidP="007A045B">
      <w:pPr>
        <w:pStyle w:val="DotPoint"/>
        <w:numPr>
          <w:ilvl w:val="0"/>
          <w:numId w:val="21"/>
        </w:numPr>
        <w:ind w:left="1134" w:hanging="283"/>
      </w:pPr>
      <w:r w:rsidRPr="00CA1271">
        <w:t xml:space="preserve">A </w:t>
      </w:r>
      <w:r w:rsidRPr="00CA1271">
        <w:rPr>
          <w:b/>
        </w:rPr>
        <w:t>Weekday Support</w:t>
      </w:r>
      <w:r w:rsidRPr="00CA1271">
        <w:t xml:space="preserve"> is any support to an individual participant that starts at or after 6:00 am and ends before or at 8:00 pm on a single weekday (unless that support is a Public Holiday Support or a Night-time Sleepover Support).</w:t>
      </w:r>
    </w:p>
    <w:p w:rsidR="004D6147" w:rsidRPr="00CA1271" w:rsidRDefault="004D6147" w:rsidP="007A045B">
      <w:pPr>
        <w:pStyle w:val="DotPoint"/>
        <w:numPr>
          <w:ilvl w:val="0"/>
          <w:numId w:val="21"/>
        </w:numPr>
        <w:ind w:left="1134" w:hanging="283"/>
      </w:pPr>
      <w:r w:rsidRPr="00CA1271">
        <w:t xml:space="preserve">An </w:t>
      </w:r>
      <w:r w:rsidRPr="00CA1271">
        <w:rPr>
          <w:b/>
        </w:rPr>
        <w:t>Evening Support</w:t>
      </w:r>
      <w:r w:rsidRPr="00CA1271">
        <w:t xml:space="preserve"> is any support to an individual participant that finishes after 8:00 pm and at or before midnight on a single weekday (unless that support is a Public Holiday Support or a Night-time Sleepover Support).</w:t>
      </w:r>
    </w:p>
    <w:p w:rsidR="004D6147" w:rsidRPr="00CA1271" w:rsidRDefault="004D6147" w:rsidP="007A045B">
      <w:pPr>
        <w:pStyle w:val="DotPoint"/>
        <w:numPr>
          <w:ilvl w:val="0"/>
          <w:numId w:val="21"/>
        </w:numPr>
        <w:ind w:left="1134" w:hanging="283"/>
      </w:pPr>
      <w:r w:rsidRPr="00CA1271">
        <w:t xml:space="preserve">An </w:t>
      </w:r>
      <w:r w:rsidRPr="00CA1271">
        <w:rPr>
          <w:b/>
        </w:rPr>
        <w:t>Active Overnight Support</w:t>
      </w:r>
      <w:r w:rsidRPr="00CA1271">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rsidR="004D6147" w:rsidRPr="00CA1271" w:rsidRDefault="004D6147" w:rsidP="004D6147">
      <w:pPr>
        <w:pStyle w:val="Quote1"/>
      </w:pPr>
      <w:r w:rsidRPr="00CA1271">
        <w:t xml:space="preserve">If a support to an individual participant does not meet one of the above criteria then it needs to be billed as two or more separate supports. </w:t>
      </w:r>
    </w:p>
    <w:p w:rsidR="004D6147" w:rsidRPr="00CA1271" w:rsidRDefault="004D6147" w:rsidP="004D6147">
      <w:pPr>
        <w:pStyle w:val="Quote1"/>
        <w:rPr>
          <w:b/>
        </w:rPr>
      </w:pPr>
      <w:r w:rsidRPr="00CA1271">
        <w:rPr>
          <w:b/>
        </w:rPr>
        <w:t>Night-time Sleepover Supports</w:t>
      </w:r>
    </w:p>
    <w:p w:rsidR="004D6147" w:rsidRPr="00CA1271" w:rsidRDefault="004D6147" w:rsidP="004D6147">
      <w:pPr>
        <w:pStyle w:val="Quote1"/>
      </w:pPr>
      <w:r w:rsidRPr="00CA1271">
        <w:t>Night-time Sleepover Supports have a price limit that is inclusive of the cost of two hours of any supports provided to the participant for the duration of the period. Providers may claim for third or additional hour at Saturday rates on weekdays, or at applicable rates on other days (Saturday, Sunday or Public Holidays)</w:t>
      </w:r>
    </w:p>
    <w:p w:rsidR="004D6147" w:rsidRPr="00CA1271" w:rsidRDefault="004D6147" w:rsidP="004D6147">
      <w:pPr>
        <w:pStyle w:val="Quote1"/>
      </w:pPr>
      <w:r w:rsidRPr="00CA1271">
        <w:t>Note, Night-time Sleepover Supports apply to any day of the week and on public holidays, pending criteria met as described previously.</w:t>
      </w:r>
    </w:p>
    <w:p w:rsidR="00C63652" w:rsidRPr="00CA1271" w:rsidRDefault="00C63652" w:rsidP="00C63652">
      <w:pPr>
        <w:pStyle w:val="Heading3"/>
      </w:pPr>
      <w:r w:rsidRPr="00CA1271">
        <w:t>Public Holidays and Annual Leave</w:t>
      </w:r>
    </w:p>
    <w:p w:rsidR="00C63652" w:rsidRPr="00CA1271" w:rsidRDefault="00C63652" w:rsidP="00C63652">
      <w:r w:rsidRPr="00CA1271">
        <w:t>The Review notes the concerns raised by providers that the number of public holidays differs by state and territory and that it is a long standing practice of employers in the Northern Territory to allow their workers one or two additional weeks of annual leave.</w:t>
      </w:r>
      <w:r w:rsidR="00647B74" w:rsidRPr="00CA1271">
        <w:t xml:space="preserve"> </w:t>
      </w:r>
      <w:r w:rsidRPr="00CA1271">
        <w:t>The Review also notes that the SCHADS Award provides for an additional week of annual leave for employees who work for more than four ordinary hours on 10 or more weekends during the yearly period in respect of which their annual leave accrues.</w:t>
      </w:r>
    </w:p>
    <w:p w:rsidR="00C63652" w:rsidRPr="00CA1271" w:rsidRDefault="00C63652" w:rsidP="00C63652">
      <w:r w:rsidRPr="00CA1271">
        <w:t xml:space="preserve">The Review accepts that these variations are not accounted for in the </w:t>
      </w:r>
      <w:r w:rsidR="00170F62" w:rsidRPr="00CA1271">
        <w:t>NDIS Disability Support Worker Cost Model</w:t>
      </w:r>
      <w:r w:rsidRPr="00CA1271">
        <w:t xml:space="preserve"> but it does not have sufficient data available to it to determine if these practices make a material difference to the overall costs of employers. The Review suggests that these matters should be investigated further in the next TTP Financial Benchmarking Survey.</w:t>
      </w:r>
    </w:p>
    <w:p w:rsidR="00C63652" w:rsidRPr="00CA1271" w:rsidRDefault="00C63652" w:rsidP="00C63652">
      <w:pPr>
        <w:pStyle w:val="Heading3"/>
      </w:pPr>
      <w:r w:rsidRPr="00CA1271">
        <w:t>Temporary Transformation Payment</w:t>
      </w:r>
      <w:r w:rsidR="006F6AF5" w:rsidRPr="00CA1271">
        <w:t xml:space="preserve"> (TTP)</w:t>
      </w:r>
    </w:p>
    <w:p w:rsidR="00C63652" w:rsidRPr="00CA1271" w:rsidRDefault="00C63652" w:rsidP="00C63652">
      <w:r w:rsidRPr="00CA1271">
        <w:t xml:space="preserve">The </w:t>
      </w:r>
      <w:r w:rsidR="006F6AF5" w:rsidRPr="00CA1271">
        <w:t>TTP</w:t>
      </w:r>
      <w:r w:rsidRPr="00CA1271">
        <w:t xml:space="preserve"> loading was introduced for some providers of core supports because of the need to balance the drive towards efficiency and the requirement to swiftly expand supply. Markets for core disability supports are continuing to develop, with both increases in market supply and improvements in production efficiency required. While improvements to production efficiency imply reductions to costs in the long run, expansion of market supply necessitates higher short to medium term prices. To maintain and expand production volumes of disability supports, higher short-term prices are thus needed to maintain existing supply and as an incentive to redirect the allocation of resources to the NDIS from other sectors in the economy. </w:t>
      </w:r>
    </w:p>
    <w:p w:rsidR="00C63652" w:rsidRPr="00CA1271" w:rsidRDefault="00C63652" w:rsidP="00C63652">
      <w:r w:rsidRPr="00CA1271">
        <w:t xml:space="preserve">The level of the </w:t>
      </w:r>
      <w:r w:rsidR="006F6AF5" w:rsidRPr="00CA1271">
        <w:t>TTP</w:t>
      </w:r>
      <w:r w:rsidRPr="00CA1271">
        <w:t xml:space="preserve"> loading was set at 7.5% for 2019-20 to be reduced by 1.5</w:t>
      </w:r>
      <w:r w:rsidR="00F37B73" w:rsidRPr="00CA1271">
        <w:t>%</w:t>
      </w:r>
      <w:r w:rsidRPr="00CA1271">
        <w:t xml:space="preserve">age points each 1 July thereafter in line with the NDIS Pricing Strategy </w:t>
      </w:r>
      <w:r w:rsidR="006F6AF5" w:rsidRPr="00CA1271">
        <w:t xml:space="preserve">that </w:t>
      </w:r>
      <w:r w:rsidRPr="00CA1271">
        <w:t>said:</w:t>
      </w:r>
    </w:p>
    <w:p w:rsidR="00C63652" w:rsidRPr="00CA1271" w:rsidRDefault="00C63652" w:rsidP="00C63652">
      <w:pPr>
        <w:pStyle w:val="Quote1"/>
      </w:pPr>
      <w:r w:rsidRPr="00CA1271">
        <w:t>Price caps should be set in accordance with the movements in transitional price levels … to recognise the costs providers are facing in adjusting to the new arrangements, the time required to unwind established agreements, and to encourage growth in supply while driving efficiency. This should be done through an explicit and decreasing loading on sustainable price levels – the Temporary Transformation Payment (TTP) of about 7.5</w:t>
      </w:r>
      <w:r w:rsidR="00E80A7C" w:rsidRPr="00CA1271">
        <w:t>%</w:t>
      </w:r>
      <w:r w:rsidRPr="00CA1271">
        <w:t xml:space="preserve"> – with a clear statement to the market of the expected glide path over five years to efficient price levels through the phased reduction of the TTP. Detailed ongoing monitoring of markets should also be conducted to determine whether short-term price increases have been sufficient to expand supply, attract new entrants and increase competitive pressure. In the longer term, it is expected that competition between providers will result in a reduction of prices towards the long run efficient price. As market prices reduce towards long run efficient prices, the price caps imposed are expected to no longer be binding, in which case their removal can be considered.</w:t>
      </w:r>
    </w:p>
    <w:p w:rsidR="00C63652" w:rsidRPr="00CA1271" w:rsidRDefault="00C63652" w:rsidP="00C63652">
      <w:r w:rsidRPr="00CA1271">
        <w:t>The Review considers that there is more than sufficient evidence that the market for disability supports is continuing to grow and become more efficient, noting again that more than 40</w:t>
      </w:r>
      <w:r w:rsidR="00E80A7C" w:rsidRPr="00CA1271">
        <w:t>%</w:t>
      </w:r>
      <w:r w:rsidRPr="00CA1271">
        <w:t xml:space="preserve"> of providers chose not to access the </w:t>
      </w:r>
      <w:r w:rsidR="006F6AF5" w:rsidRPr="00CA1271">
        <w:t>TTP</w:t>
      </w:r>
      <w:r w:rsidRPr="00CA1271">
        <w:t xml:space="preserve"> accounting for almost half of all claims (by dollar) against relevant support items, and that of those providers who chose to operate under the lower non-Temporary Transformation Payment price limits, more than 25</w:t>
      </w:r>
      <w:r w:rsidR="00E80A7C" w:rsidRPr="00CA1271">
        <w:t>%</w:t>
      </w:r>
      <w:r w:rsidRPr="00CA1271">
        <w:t xml:space="preserve"> of all claims were below the relevant lower price limit.</w:t>
      </w:r>
    </w:p>
    <w:p w:rsidR="00C63652" w:rsidRPr="00CA1271" w:rsidRDefault="00C63652" w:rsidP="00C63652">
      <w:r w:rsidRPr="00CA1271">
        <w:t>The Review also considers that the eligibility requirements to access the higher TTP price limits should therefore be strengthened and suggests that:</w:t>
      </w:r>
    </w:p>
    <w:p w:rsidR="00C63652" w:rsidRPr="00CA1271" w:rsidRDefault="00C63652" w:rsidP="00C63652">
      <w:pPr>
        <w:pStyle w:val="DotPoint"/>
      </w:pPr>
      <w:r w:rsidRPr="00CA1271">
        <w:t xml:space="preserve">Providers of relevant supports who were </w:t>
      </w:r>
      <w:r w:rsidRPr="00CA1271">
        <w:rPr>
          <w:u w:val="single"/>
        </w:rPr>
        <w:t>active</w:t>
      </w:r>
      <w:r w:rsidRPr="00CA1271">
        <w:t xml:space="preserve"> in 2019-20:</w:t>
      </w:r>
    </w:p>
    <w:p w:rsidR="00C63652" w:rsidRPr="00CA1271" w:rsidRDefault="00C63652" w:rsidP="007A045B">
      <w:pPr>
        <w:pStyle w:val="DotPoint"/>
        <w:numPr>
          <w:ilvl w:val="1"/>
          <w:numId w:val="13"/>
        </w:numPr>
        <w:ind w:hanging="306"/>
      </w:pPr>
      <w:r w:rsidRPr="00CA1271">
        <w:t>Should only be eligible to access the higher TTP price limits in 2020-21 if they have indicate</w:t>
      </w:r>
      <w:r w:rsidR="00B2604C">
        <w:t>d to the NDIA before 1 July 2020</w:t>
      </w:r>
      <w:r w:rsidRPr="00CA1271">
        <w:t xml:space="preserve"> that:</w:t>
      </w:r>
    </w:p>
    <w:p w:rsidR="00C63652" w:rsidRPr="00CA1271" w:rsidRDefault="00C63652" w:rsidP="007A045B">
      <w:pPr>
        <w:pStyle w:val="DotPoint"/>
        <w:numPr>
          <w:ilvl w:val="2"/>
          <w:numId w:val="22"/>
        </w:numPr>
      </w:pPr>
      <w:r w:rsidRPr="00CA1271">
        <w:t>they have published, and will continue to publish, their service prices in accordance with the NDIS Price Guide;</w:t>
      </w:r>
    </w:p>
    <w:p w:rsidR="00C63652" w:rsidRPr="00CA1271" w:rsidRDefault="00C63652" w:rsidP="007A045B">
      <w:pPr>
        <w:pStyle w:val="DotPoint"/>
        <w:numPr>
          <w:ilvl w:val="2"/>
          <w:numId w:val="22"/>
        </w:numPr>
      </w:pPr>
      <w:r w:rsidRPr="00CA1271">
        <w:t>they have listed their business contact details in the Provider Finder and will continue to ensure that those details are kept up-to-date; and</w:t>
      </w:r>
    </w:p>
    <w:p w:rsidR="00C63652" w:rsidRPr="00CA1271" w:rsidRDefault="00C63652" w:rsidP="007A045B">
      <w:pPr>
        <w:pStyle w:val="DotPoint"/>
        <w:numPr>
          <w:ilvl w:val="2"/>
          <w:numId w:val="22"/>
        </w:numPr>
      </w:pPr>
      <w:r w:rsidRPr="00CA1271">
        <w:t>will participate in the 2020-21 TTP Benchmarking Survey; and</w:t>
      </w:r>
    </w:p>
    <w:p w:rsidR="00C63652" w:rsidRPr="00CA1271" w:rsidRDefault="00C63652" w:rsidP="007A045B">
      <w:pPr>
        <w:pStyle w:val="DotPoint"/>
        <w:numPr>
          <w:ilvl w:val="1"/>
          <w:numId w:val="13"/>
        </w:numPr>
        <w:ind w:hanging="306"/>
      </w:pPr>
      <w:r w:rsidRPr="00CA1271">
        <w:t>Should cease to eligible to access the higher TTP price limits from the closing date of the 2020-21 TTP Benchmarking Survey if they do not take part in the 2020-21 TTP Benchmarking Survey;</w:t>
      </w:r>
    </w:p>
    <w:p w:rsidR="00C63652" w:rsidRPr="00CA1271" w:rsidRDefault="00C63652" w:rsidP="00C63652">
      <w:pPr>
        <w:pStyle w:val="DotPoint"/>
      </w:pPr>
      <w:r w:rsidRPr="00CA1271">
        <w:t xml:space="preserve">Providers of relevant supports who were </w:t>
      </w:r>
      <w:r w:rsidRPr="00CA1271">
        <w:rPr>
          <w:u w:val="single"/>
        </w:rPr>
        <w:t>not active</w:t>
      </w:r>
      <w:r w:rsidRPr="00CA1271">
        <w:t xml:space="preserve"> in 2019-20 and who become active </w:t>
      </w:r>
      <w:r w:rsidRPr="00CA1271">
        <w:rPr>
          <w:u w:val="single"/>
        </w:rPr>
        <w:t>before</w:t>
      </w:r>
      <w:r w:rsidRPr="00CA1271">
        <w:t xml:space="preserve"> the closing date of the 2020-21 TTP Benchmarking Survey should be subject to the same eligibility criteria as set out </w:t>
      </w:r>
      <w:r w:rsidR="00CA1271" w:rsidRPr="00CA1271">
        <w:t xml:space="preserve">in the dot point </w:t>
      </w:r>
      <w:r w:rsidR="00CA1271">
        <w:t xml:space="preserve">immediately </w:t>
      </w:r>
      <w:r w:rsidR="00CA1271" w:rsidRPr="00CA1271">
        <w:t>above</w:t>
      </w:r>
      <w:r w:rsidR="00CA1271">
        <w:t>,</w:t>
      </w:r>
      <w:r w:rsidRPr="00CA1271">
        <w:t xml:space="preserve"> except that they should be required to indicate their intention to accept the eligibility conditions before they first make a TTP claim, rather than before 1 July 2020; and</w:t>
      </w:r>
    </w:p>
    <w:p w:rsidR="00C63652" w:rsidRPr="00CA1271" w:rsidRDefault="00C63652" w:rsidP="00C63652">
      <w:pPr>
        <w:pStyle w:val="DotPoint"/>
      </w:pPr>
      <w:r w:rsidRPr="00CA1271">
        <w:t xml:space="preserve">Providers of relevant supports who were </w:t>
      </w:r>
      <w:r w:rsidRPr="00CA1271">
        <w:rPr>
          <w:u w:val="single"/>
        </w:rPr>
        <w:t>not active</w:t>
      </w:r>
      <w:r w:rsidRPr="00CA1271">
        <w:t xml:space="preserve"> in 2019-20 and who become active </w:t>
      </w:r>
      <w:r w:rsidRPr="00CA1271">
        <w:rPr>
          <w:u w:val="single"/>
        </w:rPr>
        <w:t>after</w:t>
      </w:r>
      <w:r w:rsidRPr="00CA1271">
        <w:t xml:space="preserve"> the closing date of the 2020-21 TTP Benchmarking Survey should be subject to the same eligibility criteria as set out in </w:t>
      </w:r>
      <w:r w:rsidR="00CA1271" w:rsidRPr="00CA1271">
        <w:t xml:space="preserve">the dot point </w:t>
      </w:r>
      <w:r w:rsidR="00CA1271">
        <w:t xml:space="preserve">immediately </w:t>
      </w:r>
      <w:r w:rsidR="00CA1271" w:rsidRPr="00CA1271">
        <w:t>above,</w:t>
      </w:r>
      <w:r w:rsidRPr="00CA1271">
        <w:t xml:space="preserve"> except that they should cease being eligible to access the higher TTP price limits from the closing date of the 2021-22 TTP Benchmarking Survey.</w:t>
      </w:r>
    </w:p>
    <w:p w:rsidR="00C63652" w:rsidRPr="00CA1271" w:rsidRDefault="00C63652" w:rsidP="00C63652">
      <w:r w:rsidRPr="00CA1271">
        <w:t xml:space="preserve">The Review also suggests that Plan Managers should be required to receive an attestation from a provider who is seeking to make a claim against an item subject to the higher </w:t>
      </w:r>
      <w:r w:rsidR="006F6AF5" w:rsidRPr="00CA1271">
        <w:t>TTP</w:t>
      </w:r>
      <w:r w:rsidRPr="00CA1271">
        <w:t xml:space="preserve"> price limits that they are eligible to access the higher price limits before the Plan Manager processes the claim.</w:t>
      </w:r>
    </w:p>
    <w:p w:rsidR="00C63652" w:rsidRPr="00CA1271" w:rsidRDefault="00C63652" w:rsidP="00C63652">
      <w:pPr>
        <w:pStyle w:val="Heading2"/>
      </w:pPr>
      <w:bookmarkStart w:id="50" w:name="_Toc42014727"/>
      <w:r w:rsidRPr="00CA1271">
        <w:t>Recommendations</w:t>
      </w:r>
      <w:bookmarkEnd w:id="50"/>
    </w:p>
    <w:p w:rsidR="00C63652" w:rsidRPr="00CA1271" w:rsidRDefault="00170F62" w:rsidP="00F24A64">
      <w:pPr>
        <w:pStyle w:val="REcommendation"/>
        <w:ind w:left="2126" w:hanging="2126"/>
        <w:rPr>
          <w:b/>
        </w:rPr>
      </w:pPr>
      <w:r w:rsidRPr="00CA1271">
        <w:rPr>
          <w:b/>
        </w:rPr>
        <w:t>NDIS Disability Support Worker Cost Model</w:t>
      </w:r>
    </w:p>
    <w:p w:rsidR="004F2243" w:rsidRPr="00CA1271" w:rsidRDefault="0008512C" w:rsidP="007A045B">
      <w:pPr>
        <w:pStyle w:val="REcommendation"/>
        <w:numPr>
          <w:ilvl w:val="1"/>
          <w:numId w:val="11"/>
        </w:numPr>
        <w:rPr>
          <w:rFonts w:cstheme="minorHAnsi"/>
        </w:rPr>
      </w:pPr>
      <w:r w:rsidRPr="00CA1271">
        <w:rPr>
          <w:rFonts w:cstheme="minorHAnsi"/>
        </w:rPr>
        <w:t>The NDIA</w:t>
      </w:r>
      <w:r w:rsidR="004F2243" w:rsidRPr="00CA1271">
        <w:rPr>
          <w:rFonts w:cstheme="minorHAnsi"/>
        </w:rPr>
        <w:t xml:space="preserve"> should continue to use the NDIS Disability Support Worker Cost Model to determine the base (non-TTP) price limits for supports delivered by Disability Support Workers</w:t>
      </w:r>
      <w:r w:rsidR="00EB1008" w:rsidRPr="00CA1271">
        <w:rPr>
          <w:rFonts w:cstheme="minorHAnsi"/>
        </w:rPr>
        <w:t xml:space="preserve"> based on the performance of efficient providers</w:t>
      </w:r>
      <w:r w:rsidR="004F2243" w:rsidRPr="00CA1271">
        <w:rPr>
          <w:rFonts w:cstheme="minorHAnsi"/>
        </w:rPr>
        <w:t>.</w:t>
      </w:r>
    </w:p>
    <w:p w:rsidR="00C63652" w:rsidRPr="00CA1271" w:rsidRDefault="0008512C" w:rsidP="007A045B">
      <w:pPr>
        <w:pStyle w:val="REcommendation"/>
        <w:numPr>
          <w:ilvl w:val="1"/>
          <w:numId w:val="11"/>
        </w:numPr>
      </w:pPr>
      <w:r w:rsidRPr="00CA1271">
        <w:t>The NDIA</w:t>
      </w:r>
      <w:r w:rsidR="00C63652" w:rsidRPr="00CA1271">
        <w:t xml:space="preserve"> should amend the </w:t>
      </w:r>
      <w:r w:rsidR="00170F62" w:rsidRPr="00CA1271">
        <w:t>NDIS Disability Support Worker Cost Model</w:t>
      </w:r>
      <w:r w:rsidR="00C63652" w:rsidRPr="00CA1271">
        <w:t xml:space="preserve"> (and the price limits determined by the cost model), from 1 July 2020, by:</w:t>
      </w:r>
    </w:p>
    <w:p w:rsidR="00C63652" w:rsidRPr="00CA1271" w:rsidRDefault="00C63652" w:rsidP="007A045B">
      <w:pPr>
        <w:pStyle w:val="REcommendation"/>
        <w:numPr>
          <w:ilvl w:val="2"/>
          <w:numId w:val="11"/>
        </w:numPr>
      </w:pPr>
      <w:r w:rsidRPr="00CA1271">
        <w:t>Decreasing the ratio of permanent to casual staff to 70</w:t>
      </w:r>
      <w:r w:rsidR="00E0528D" w:rsidRPr="00CA1271">
        <w:t>%</w:t>
      </w:r>
      <w:r w:rsidRPr="00CA1271">
        <w:t>/30</w:t>
      </w:r>
      <w:r w:rsidR="00E80A7C" w:rsidRPr="00CA1271">
        <w:t>%</w:t>
      </w:r>
      <w:r w:rsidRPr="00CA1271">
        <w:t>;</w:t>
      </w:r>
    </w:p>
    <w:p w:rsidR="00C63652" w:rsidRPr="00CA1271" w:rsidRDefault="00C63652" w:rsidP="007A045B">
      <w:pPr>
        <w:pStyle w:val="REcommendation"/>
        <w:numPr>
          <w:ilvl w:val="2"/>
          <w:numId w:val="11"/>
        </w:numPr>
      </w:pPr>
      <w:r w:rsidRPr="00CA1271">
        <w:t>Increasing the share of staff assumed to take up their long service leave entitlements to 100</w:t>
      </w:r>
      <w:r w:rsidR="00E80A7C" w:rsidRPr="00CA1271">
        <w:t>%</w:t>
      </w:r>
      <w:r w:rsidRPr="00CA1271">
        <w:t>;</w:t>
      </w:r>
    </w:p>
    <w:p w:rsidR="00C63652" w:rsidRPr="00CA1271" w:rsidRDefault="00C63652" w:rsidP="007A045B">
      <w:pPr>
        <w:pStyle w:val="REcommendation"/>
        <w:numPr>
          <w:ilvl w:val="2"/>
          <w:numId w:val="11"/>
        </w:numPr>
      </w:pPr>
      <w:r w:rsidRPr="00CA1271">
        <w:t>Decreasing the workers compensation premium</w:t>
      </w:r>
      <w:r w:rsidR="00F37B73" w:rsidRPr="00CA1271">
        <w:t xml:space="preserve"> percenta</w:t>
      </w:r>
      <w:r w:rsidRPr="00CA1271">
        <w:t>ge to 1.7</w:t>
      </w:r>
      <w:r w:rsidR="00E80A7C" w:rsidRPr="00CA1271">
        <w:t>%</w:t>
      </w:r>
      <w:r w:rsidRPr="00CA1271">
        <w:t>;</w:t>
      </w:r>
    </w:p>
    <w:p w:rsidR="00C63652" w:rsidRPr="00CA1271" w:rsidRDefault="00C63652" w:rsidP="007A045B">
      <w:pPr>
        <w:pStyle w:val="REcommendation"/>
        <w:numPr>
          <w:ilvl w:val="2"/>
          <w:numId w:val="11"/>
        </w:numPr>
      </w:pPr>
      <w:r w:rsidRPr="00CA1271">
        <w:t>Increasing the overhead</w:t>
      </w:r>
      <w:r w:rsidR="00F0327C" w:rsidRPr="00CA1271">
        <w:t>s</w:t>
      </w:r>
      <w:r w:rsidR="00F37B73" w:rsidRPr="00CA1271">
        <w:t xml:space="preserve"> percent</w:t>
      </w:r>
      <w:r w:rsidRPr="00CA1271">
        <w:t>age to 12.0</w:t>
      </w:r>
      <w:r w:rsidR="00E80A7C" w:rsidRPr="00CA1271">
        <w:t>%</w:t>
      </w:r>
      <w:r w:rsidRPr="00CA1271">
        <w:t>;</w:t>
      </w:r>
    </w:p>
    <w:p w:rsidR="00C63652" w:rsidRPr="00CA1271" w:rsidRDefault="00C63652" w:rsidP="007A045B">
      <w:pPr>
        <w:pStyle w:val="REcommendation"/>
        <w:numPr>
          <w:ilvl w:val="2"/>
          <w:numId w:val="11"/>
        </w:numPr>
      </w:pPr>
      <w:r w:rsidRPr="00CA1271">
        <w:t>Increasing the supervision ratio to 15:1;</w:t>
      </w:r>
      <w:r w:rsidR="00E0528D" w:rsidRPr="00CA1271">
        <w:t xml:space="preserve"> and</w:t>
      </w:r>
    </w:p>
    <w:p w:rsidR="00977D24" w:rsidRPr="00CA1271" w:rsidRDefault="00C63652" w:rsidP="00977D24">
      <w:pPr>
        <w:pStyle w:val="REcommendation"/>
        <w:numPr>
          <w:ilvl w:val="2"/>
          <w:numId w:val="11"/>
        </w:numPr>
      </w:pPr>
      <w:r w:rsidRPr="00CA1271">
        <w:t>Increasing the allowance provision for support workers and supervisors to 1.0</w:t>
      </w:r>
      <w:r w:rsidR="00E80A7C" w:rsidRPr="00CA1271">
        <w:t>%</w:t>
      </w:r>
      <w:r w:rsidRPr="00CA1271">
        <w:t xml:space="preserve"> of salary.</w:t>
      </w:r>
    </w:p>
    <w:p w:rsidR="00C63652" w:rsidRPr="00CA1271" w:rsidRDefault="00C63652" w:rsidP="00C63652">
      <w:pPr>
        <w:pStyle w:val="REcommendation"/>
        <w:keepNext w:val="0"/>
        <w:rPr>
          <w:b/>
        </w:rPr>
      </w:pPr>
      <w:r w:rsidRPr="00CA1271">
        <w:rPr>
          <w:b/>
        </w:rPr>
        <w:t>Temporary Transformation Payment</w:t>
      </w:r>
    </w:p>
    <w:p w:rsidR="00C63652" w:rsidRPr="00CA1271" w:rsidRDefault="0008512C" w:rsidP="00C63652">
      <w:pPr>
        <w:pStyle w:val="REcommendation"/>
        <w:keepNext w:val="0"/>
        <w:numPr>
          <w:ilvl w:val="0"/>
          <w:numId w:val="0"/>
        </w:numPr>
        <w:ind w:left="851"/>
      </w:pPr>
      <w:r w:rsidRPr="00CA1271">
        <w:t>The NDIA</w:t>
      </w:r>
      <w:r w:rsidR="00C63652" w:rsidRPr="00CA1271">
        <w:t xml:space="preserve"> should reduce the level of the Temporary Transformation Payment from 7.5</w:t>
      </w:r>
      <w:r w:rsidR="00E80A7C" w:rsidRPr="00CA1271">
        <w:t>%</w:t>
      </w:r>
      <w:r w:rsidR="00C63652" w:rsidRPr="00CA1271">
        <w:t xml:space="preserve"> to 6.0</w:t>
      </w:r>
      <w:r w:rsidR="00E80A7C" w:rsidRPr="00CA1271">
        <w:t>%</w:t>
      </w:r>
      <w:r w:rsidR="00C63652" w:rsidRPr="00CA1271">
        <w:t xml:space="preserve"> on 1 July 2020 as previously announced.</w:t>
      </w:r>
    </w:p>
    <w:p w:rsidR="00C63652" w:rsidRPr="00CA1271" w:rsidRDefault="00C63652" w:rsidP="00894840">
      <w:pPr>
        <w:pStyle w:val="REcommendation"/>
        <w:ind w:left="2126" w:hanging="2126"/>
        <w:rPr>
          <w:b/>
        </w:rPr>
      </w:pPr>
      <w:r w:rsidRPr="00CA1271">
        <w:rPr>
          <w:b/>
        </w:rPr>
        <w:t>Definition</w:t>
      </w:r>
      <w:r w:rsidR="00E0528D" w:rsidRPr="00CA1271">
        <w:rPr>
          <w:b/>
        </w:rPr>
        <w:t>s</w:t>
      </w:r>
      <w:r w:rsidRPr="00CA1271">
        <w:rPr>
          <w:b/>
        </w:rPr>
        <w:t xml:space="preserve"> of the Levels of High Intensity Supports</w:t>
      </w:r>
    </w:p>
    <w:p w:rsidR="00C63652" w:rsidRPr="00CA1271" w:rsidRDefault="00C63652" w:rsidP="00C63652">
      <w:pPr>
        <w:pStyle w:val="REcommendation"/>
        <w:keepNext w:val="0"/>
        <w:numPr>
          <w:ilvl w:val="0"/>
          <w:numId w:val="0"/>
        </w:numPr>
        <w:ind w:left="851"/>
      </w:pPr>
      <w:r w:rsidRPr="00CA1271">
        <w:t xml:space="preserve">That the definitions of Level 1, Level 2 and Level 3 supports in the </w:t>
      </w:r>
      <w:r w:rsidRPr="00CA1271">
        <w:rPr>
          <w:i/>
        </w:rPr>
        <w:t>NDIS Price Guide</w:t>
      </w:r>
      <w:r w:rsidRPr="00CA1271">
        <w:t xml:space="preserve"> should be amended as follows:</w:t>
      </w:r>
    </w:p>
    <w:p w:rsidR="00C63652" w:rsidRPr="00CA1271" w:rsidRDefault="00C63652" w:rsidP="00F37B73">
      <w:pPr>
        <w:pStyle w:val="Quote1"/>
        <w:ind w:left="1134"/>
      </w:pPr>
      <w:r w:rsidRPr="00CA1271">
        <w:t>Level 1 support items should be used if the worker who delivers the support is someone who has the skills and experience that would mean that they would be classified as a Social and Community Services Employee level 2 (below the maximum pay point) if they were employed under the SCHADS Award.</w:t>
      </w:r>
    </w:p>
    <w:p w:rsidR="00C63652" w:rsidRPr="00CA1271" w:rsidRDefault="00C63652" w:rsidP="00F37B73">
      <w:pPr>
        <w:pStyle w:val="Quote1"/>
        <w:ind w:left="1134"/>
      </w:pPr>
      <w:r w:rsidRPr="00CA1271">
        <w:t>Level 2 support items should be used if the worker who delivers the support is someone who has the skills and experience that would mean that they would be classified as a Social and Community Services Employee level 2 (at the maximum pay point) or as a Social and Community Serv</w:t>
      </w:r>
      <w:r w:rsidR="00C172C6">
        <w:t>ices Employee level 3 (at the min</w:t>
      </w:r>
      <w:r w:rsidRPr="00CA1271">
        <w:t>imum pay point) if they were employed under the SCHADS Award.</w:t>
      </w:r>
    </w:p>
    <w:p w:rsidR="00C63652" w:rsidRPr="00CA1271" w:rsidRDefault="00C63652" w:rsidP="00F37B73">
      <w:pPr>
        <w:pStyle w:val="Quote1"/>
        <w:ind w:left="1134"/>
      </w:pPr>
      <w:r w:rsidRPr="00CA1271">
        <w:t>Level 3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rsidR="00E0528D" w:rsidRPr="00CA1271" w:rsidRDefault="00E0528D" w:rsidP="0002418C">
      <w:pPr>
        <w:pStyle w:val="REcommendation"/>
        <w:ind w:left="2126" w:hanging="2126"/>
        <w:rPr>
          <w:b/>
        </w:rPr>
      </w:pPr>
      <w:r w:rsidRPr="00CA1271">
        <w:rPr>
          <w:b/>
        </w:rPr>
        <w:t>Definitions of Time of Day and Day of Week</w:t>
      </w:r>
    </w:p>
    <w:p w:rsidR="00E0528D" w:rsidRPr="00CA1271" w:rsidRDefault="00E0528D" w:rsidP="00E0528D">
      <w:pPr>
        <w:pStyle w:val="REcommendation"/>
        <w:keepNext w:val="0"/>
        <w:numPr>
          <w:ilvl w:val="0"/>
          <w:numId w:val="0"/>
        </w:numPr>
        <w:ind w:left="851"/>
      </w:pPr>
      <w:r w:rsidRPr="00CA1271">
        <w:t xml:space="preserve">That the definitions of Time of Day and Day of Week in the </w:t>
      </w:r>
      <w:r w:rsidRPr="00CA1271">
        <w:rPr>
          <w:i/>
        </w:rPr>
        <w:t>NDIS Price Guide</w:t>
      </w:r>
      <w:r w:rsidRPr="00CA1271">
        <w:t xml:space="preserve"> should be amended as follows:</w:t>
      </w:r>
    </w:p>
    <w:p w:rsidR="00E0528D" w:rsidRPr="00CA1271" w:rsidRDefault="00E0528D" w:rsidP="00F37B73">
      <w:pPr>
        <w:pStyle w:val="Quote1"/>
        <w:keepNext/>
        <w:ind w:left="1134"/>
        <w:rPr>
          <w:b/>
        </w:rPr>
      </w:pPr>
      <w:r w:rsidRPr="00CA1271">
        <w:rPr>
          <w:b/>
        </w:rPr>
        <w:t>Time of Day and Day of Week</w:t>
      </w:r>
    </w:p>
    <w:p w:rsidR="00E0528D" w:rsidRPr="00CA1271" w:rsidRDefault="00E0528D" w:rsidP="00F37B73">
      <w:pPr>
        <w:pStyle w:val="Quote1"/>
        <w:ind w:left="1134"/>
      </w:pPr>
      <w:r w:rsidRPr="00CA1271">
        <w:t xml:space="preserve">In determining which price limit is applicable to a support, the important consideration is when the support is provided to the participant, not the shift of the worker used to deliver that support as determined by the applicable Industry Award or Enterprise Bargaining Agreement (EBA). </w:t>
      </w:r>
    </w:p>
    <w:p w:rsidR="00E0528D" w:rsidRPr="00CA1271" w:rsidRDefault="00E0528D" w:rsidP="00F37B73">
      <w:pPr>
        <w:pStyle w:val="Quote1"/>
        <w:ind w:left="1134"/>
      </w:pPr>
      <w:r w:rsidRPr="00CA1271">
        <w:t>For NDIS billing purposes the provider must first determine the day of the week on which the support was provided on and then the time of the day during which the support was delivered. (Note: weekday means Monday, Tuesday, Wednesday, Thursday or Friday).</w:t>
      </w:r>
    </w:p>
    <w:p w:rsidR="00E0528D" w:rsidRPr="00CA1271" w:rsidRDefault="00E0528D" w:rsidP="007A045B">
      <w:pPr>
        <w:pStyle w:val="Quote1"/>
        <w:numPr>
          <w:ilvl w:val="0"/>
          <w:numId w:val="20"/>
        </w:numPr>
        <w:ind w:left="1701" w:hanging="283"/>
      </w:pPr>
      <w:r w:rsidRPr="00CA1271">
        <w:t xml:space="preserve">A </w:t>
      </w:r>
      <w:r w:rsidRPr="00CA1271">
        <w:rPr>
          <w:b/>
        </w:rPr>
        <w:t>Night-time Sleepover Support</w:t>
      </w:r>
      <w:r w:rsidRPr="00CA1271">
        <w:t xml:space="preserve"> is any support to an individual participant delivered on a weekday, a Saturday, a Sunday or a Public Holiday that:</w:t>
      </w:r>
    </w:p>
    <w:p w:rsidR="00E0528D" w:rsidRPr="00CA1271" w:rsidRDefault="00E0528D" w:rsidP="007A045B">
      <w:pPr>
        <w:pStyle w:val="DotPoint"/>
        <w:numPr>
          <w:ilvl w:val="0"/>
          <w:numId w:val="21"/>
        </w:numPr>
        <w:ind w:left="2268" w:hanging="283"/>
      </w:pPr>
      <w:r w:rsidRPr="00CA1271">
        <w:t>commences before midnight on a given day and finishes after midnight on that day; and</w:t>
      </w:r>
    </w:p>
    <w:p w:rsidR="00E0528D" w:rsidRPr="00CA1271" w:rsidRDefault="00E0528D" w:rsidP="007A045B">
      <w:pPr>
        <w:pStyle w:val="DotPoint"/>
        <w:numPr>
          <w:ilvl w:val="0"/>
          <w:numId w:val="21"/>
        </w:numPr>
        <w:ind w:left="2268" w:hanging="283"/>
      </w:pPr>
      <w:r w:rsidRPr="00CA1271">
        <w:t>is for a continuous period of eight (8) hours or more; and</w:t>
      </w:r>
    </w:p>
    <w:p w:rsidR="00E0528D" w:rsidRPr="00CA1271" w:rsidRDefault="00E0528D" w:rsidP="007A045B">
      <w:pPr>
        <w:pStyle w:val="DotPoint"/>
        <w:numPr>
          <w:ilvl w:val="0"/>
          <w:numId w:val="21"/>
        </w:numPr>
        <w:ind w:left="2268" w:hanging="283"/>
      </w:pPr>
      <w:proofErr w:type="gramStart"/>
      <w:r w:rsidRPr="00CA1271">
        <w:t>the</w:t>
      </w:r>
      <w:proofErr w:type="gramEnd"/>
      <w:r w:rsidRPr="00CA1271">
        <w:t xml:space="preserve"> worker is allowed to sleep when they are not providing support.</w:t>
      </w:r>
    </w:p>
    <w:p w:rsidR="00E0528D" w:rsidRPr="00CA1271" w:rsidRDefault="00E0528D" w:rsidP="007A045B">
      <w:pPr>
        <w:pStyle w:val="Quote1"/>
        <w:numPr>
          <w:ilvl w:val="0"/>
          <w:numId w:val="20"/>
        </w:numPr>
        <w:ind w:left="1701" w:hanging="283"/>
      </w:pPr>
      <w:r w:rsidRPr="00CA1271">
        <w:t xml:space="preserve">A </w:t>
      </w:r>
      <w:r w:rsidRPr="00CA1271">
        <w:rPr>
          <w:b/>
        </w:rPr>
        <w:t>Public Holiday Support</w:t>
      </w:r>
      <w:r w:rsidRPr="00CA1271">
        <w:t xml:space="preserve"> is any support to an individual participant that starts at or after midnight on the night prior to a Public Holiday and ends before or at midnight of that Public Holiday (unless that support is a Night-time Sleepover Support).</w:t>
      </w:r>
    </w:p>
    <w:p w:rsidR="00E0528D" w:rsidRPr="00CA1271" w:rsidRDefault="00E0528D" w:rsidP="007A045B">
      <w:pPr>
        <w:pStyle w:val="Quote1"/>
        <w:numPr>
          <w:ilvl w:val="0"/>
          <w:numId w:val="20"/>
        </w:numPr>
        <w:ind w:left="1701" w:hanging="283"/>
      </w:pPr>
      <w:r w:rsidRPr="00CA1271">
        <w:t xml:space="preserve">A </w:t>
      </w:r>
      <w:r w:rsidRPr="00CA1271">
        <w:rPr>
          <w:b/>
        </w:rPr>
        <w:t>Saturday Support</w:t>
      </w:r>
      <w:r w:rsidRPr="00CA1271">
        <w:t xml:space="preserve"> is any support to an individual participant that starts at or after midnight on the night prior to a Saturday and ends before or at midnight of that Saturday (unless that support is a Public Holiday Support or a Night-time Sleepover Support).</w:t>
      </w:r>
    </w:p>
    <w:p w:rsidR="00E0528D" w:rsidRPr="00CA1271" w:rsidRDefault="00E0528D" w:rsidP="007A045B">
      <w:pPr>
        <w:pStyle w:val="Quote1"/>
        <w:numPr>
          <w:ilvl w:val="0"/>
          <w:numId w:val="20"/>
        </w:numPr>
        <w:ind w:left="1701" w:hanging="283"/>
      </w:pPr>
      <w:r w:rsidRPr="00CA1271">
        <w:t xml:space="preserve">A </w:t>
      </w:r>
      <w:r w:rsidRPr="00CA1271">
        <w:rPr>
          <w:b/>
        </w:rPr>
        <w:t>Sunday Support</w:t>
      </w:r>
      <w:r w:rsidRPr="00CA1271">
        <w:t xml:space="preserve"> is any support to an individual participant that starts at or after midnight on the night prior to a Sunday and ends before or at midnight of that Sunday (unless that support is a Public Holiday Support or a Night-time Sleepover Support).</w:t>
      </w:r>
    </w:p>
    <w:p w:rsidR="00E0528D" w:rsidRPr="00CA1271" w:rsidRDefault="00E0528D" w:rsidP="007A045B">
      <w:pPr>
        <w:pStyle w:val="Quote1"/>
        <w:numPr>
          <w:ilvl w:val="0"/>
          <w:numId w:val="20"/>
        </w:numPr>
        <w:ind w:left="1701" w:hanging="283"/>
      </w:pPr>
      <w:r w:rsidRPr="00CA1271">
        <w:t xml:space="preserve">A </w:t>
      </w:r>
      <w:r w:rsidRPr="00CA1271">
        <w:rPr>
          <w:b/>
        </w:rPr>
        <w:t>Standard Day Support</w:t>
      </w:r>
      <w:r w:rsidRPr="00CA1271">
        <w:t xml:space="preserve"> is any other support, and is either:</w:t>
      </w:r>
    </w:p>
    <w:p w:rsidR="00E0528D" w:rsidRPr="00CA1271" w:rsidRDefault="00E0528D" w:rsidP="007A045B">
      <w:pPr>
        <w:pStyle w:val="DotPoint"/>
        <w:numPr>
          <w:ilvl w:val="0"/>
          <w:numId w:val="21"/>
        </w:numPr>
        <w:ind w:left="2268" w:hanging="283"/>
      </w:pPr>
      <w:r w:rsidRPr="00CA1271">
        <w:t xml:space="preserve">A </w:t>
      </w:r>
      <w:r w:rsidRPr="00CA1271">
        <w:rPr>
          <w:b/>
        </w:rPr>
        <w:t>Weekday Support</w:t>
      </w:r>
      <w:r w:rsidRPr="00CA1271">
        <w:t xml:space="preserve"> is any support to an individual participant that starts at or after 6:00 am and ends before or at 8:00 pm on a single weekday (unless that support is a Public Holiday Support or a Night-time Sleepover Support).</w:t>
      </w:r>
    </w:p>
    <w:p w:rsidR="00E0528D" w:rsidRPr="00CA1271" w:rsidRDefault="00E0528D" w:rsidP="007A045B">
      <w:pPr>
        <w:pStyle w:val="DotPoint"/>
        <w:numPr>
          <w:ilvl w:val="0"/>
          <w:numId w:val="21"/>
        </w:numPr>
        <w:ind w:left="2268" w:hanging="283"/>
      </w:pPr>
      <w:r w:rsidRPr="00CA1271">
        <w:t xml:space="preserve">An </w:t>
      </w:r>
      <w:r w:rsidRPr="00CA1271">
        <w:rPr>
          <w:b/>
        </w:rPr>
        <w:t>Evening Support</w:t>
      </w:r>
      <w:r w:rsidRPr="00CA1271">
        <w:t xml:space="preserve"> is any support to an individual participant that finishes after 8:00 pm and at or before midnight on a single weekday (unless that support is a Public Holiday Support or a Night-time Sleepover Support).</w:t>
      </w:r>
    </w:p>
    <w:p w:rsidR="00E0528D" w:rsidRPr="00CA1271" w:rsidRDefault="00E0528D" w:rsidP="007A045B">
      <w:pPr>
        <w:pStyle w:val="DotPoint"/>
        <w:numPr>
          <w:ilvl w:val="0"/>
          <w:numId w:val="21"/>
        </w:numPr>
        <w:ind w:left="2268" w:hanging="283"/>
      </w:pPr>
      <w:r w:rsidRPr="00CA1271">
        <w:t xml:space="preserve">An </w:t>
      </w:r>
      <w:r w:rsidRPr="00CA1271">
        <w:rPr>
          <w:b/>
        </w:rPr>
        <w:t>Active Overnight Support</w:t>
      </w:r>
      <w:r w:rsidRPr="00CA1271">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rsidR="00E0528D" w:rsidRPr="00CA1271" w:rsidRDefault="00E0528D" w:rsidP="00F37B73">
      <w:pPr>
        <w:pStyle w:val="Quote1"/>
        <w:ind w:left="1134"/>
      </w:pPr>
      <w:r w:rsidRPr="00CA1271">
        <w:t xml:space="preserve">If a support to an individual participant does not meet one of the above criteria then it needs to be billed as two or more separate supports. </w:t>
      </w:r>
    </w:p>
    <w:p w:rsidR="00E0528D" w:rsidRPr="00CA1271" w:rsidRDefault="00E0528D" w:rsidP="00F37B73">
      <w:pPr>
        <w:pStyle w:val="Quote1"/>
        <w:ind w:left="1134"/>
        <w:rPr>
          <w:b/>
        </w:rPr>
      </w:pPr>
      <w:r w:rsidRPr="00CA1271">
        <w:rPr>
          <w:b/>
        </w:rPr>
        <w:t>Night-time Sleepover Supports</w:t>
      </w:r>
    </w:p>
    <w:p w:rsidR="00E0528D" w:rsidRPr="00CA1271" w:rsidRDefault="00E0528D" w:rsidP="00F37B73">
      <w:pPr>
        <w:pStyle w:val="Quote1"/>
        <w:ind w:left="1134"/>
      </w:pPr>
      <w:r w:rsidRPr="00CA1271">
        <w:t>Night-time Sleepover Supports have a price limit that is inclusive of the cost of two hours of any supports provided to the participant for the duration of the period. Providers may claim for third or additional hour at Saturday rates on weekdays, or at applicable rates on other days (Saturday, Sunday or Public Holidays)</w:t>
      </w:r>
    </w:p>
    <w:p w:rsidR="00E0528D" w:rsidRPr="00CA1271" w:rsidRDefault="00E0528D" w:rsidP="00F37B73">
      <w:pPr>
        <w:pStyle w:val="Quote1"/>
        <w:ind w:left="1134"/>
      </w:pPr>
      <w:r w:rsidRPr="00CA1271">
        <w:t>Note, Night-time Sleepover Supports apply to any day of the week and on public holidays, pending criteria met as described previously.</w:t>
      </w:r>
    </w:p>
    <w:p w:rsidR="00E0528D" w:rsidRPr="00CA1271" w:rsidRDefault="00E0528D" w:rsidP="00C63652">
      <w:pPr>
        <w:pStyle w:val="Quote1"/>
      </w:pPr>
    </w:p>
    <w:p w:rsidR="00C63652" w:rsidRPr="00CA1271" w:rsidRDefault="00C63652" w:rsidP="00C63652">
      <w:pPr>
        <w:pStyle w:val="REcommendation"/>
        <w:keepNext w:val="0"/>
        <w:numPr>
          <w:ilvl w:val="0"/>
          <w:numId w:val="0"/>
        </w:numPr>
        <w:ind w:left="851"/>
      </w:pPr>
    </w:p>
    <w:p w:rsidR="00C63652" w:rsidRPr="00CA1271" w:rsidRDefault="00C63652" w:rsidP="00C63652">
      <w:pPr>
        <w:sectPr w:rsidR="00C63652" w:rsidRPr="00CA1271" w:rsidSect="00CA5B7E">
          <w:pgSz w:w="11907" w:h="16839" w:code="9"/>
          <w:pgMar w:top="1418" w:right="1418" w:bottom="1418" w:left="1418" w:header="709" w:footer="709" w:gutter="0"/>
          <w:cols w:space="708"/>
          <w:titlePg/>
          <w:docGrid w:linePitch="360"/>
        </w:sectPr>
      </w:pPr>
      <w:bookmarkStart w:id="51" w:name="_Ref23256506"/>
    </w:p>
    <w:p w:rsidR="00C63652" w:rsidRPr="00CA1271" w:rsidRDefault="00C63652" w:rsidP="00C63652">
      <w:pPr>
        <w:pStyle w:val="Heading1"/>
        <w:ind w:left="567" w:hanging="567"/>
      </w:pPr>
      <w:bookmarkStart w:id="52" w:name="_Toc42014728"/>
      <w:bookmarkStart w:id="53" w:name="_Ref42689339"/>
      <w:bookmarkStart w:id="54" w:name="_Ref42689351"/>
      <w:r w:rsidRPr="00CA1271">
        <w:t>Price limits for group-based core supports</w:t>
      </w:r>
      <w:bookmarkEnd w:id="51"/>
      <w:bookmarkEnd w:id="52"/>
      <w:bookmarkEnd w:id="53"/>
      <w:bookmarkEnd w:id="54"/>
    </w:p>
    <w:p w:rsidR="00C63652" w:rsidRPr="00CA1271" w:rsidRDefault="00C63652" w:rsidP="00C63652">
      <w:r w:rsidRPr="00CA1271">
        <w:t>The Review was required by its Terms of Reference to examine the methodology for deriving the price controls for group-based supports from the price controls for 1:1 supports.</w:t>
      </w:r>
    </w:p>
    <w:p w:rsidR="00C63652" w:rsidRPr="00CA1271" w:rsidRDefault="00C63652" w:rsidP="00C63652">
      <w:pPr>
        <w:pStyle w:val="Heading2"/>
      </w:pPr>
      <w:bookmarkStart w:id="55" w:name="_Toc42014729"/>
      <w:r w:rsidRPr="00CA1271">
        <w:t>Current Arrangements</w:t>
      </w:r>
      <w:bookmarkEnd w:id="55"/>
      <w:r w:rsidRPr="00CA1271">
        <w:t xml:space="preserve"> </w:t>
      </w:r>
    </w:p>
    <w:p w:rsidR="00C63652" w:rsidRPr="00CA1271" w:rsidRDefault="00C63652" w:rsidP="00C63652">
      <w:r w:rsidRPr="00CA1271">
        <w:t>NDIS price limits for group supports delivered b</w:t>
      </w:r>
      <w:r w:rsidR="00A61B06" w:rsidRPr="00CA1271">
        <w:t xml:space="preserve">y Disability Support Workers </w:t>
      </w:r>
      <w:r w:rsidRPr="00CA1271">
        <w:t xml:space="preserve">and their equivalents in the Assistance with Daily Life Support Category and the Assistance with Social and Community Participation Support Category vary according to the same factors as 1:1 supports (see the previous chapter) and two additional factors: </w:t>
      </w:r>
    </w:p>
    <w:p w:rsidR="00C63652" w:rsidRPr="00CA1271" w:rsidRDefault="00C63652" w:rsidP="00C63652">
      <w:pPr>
        <w:pStyle w:val="DotPoint"/>
      </w:pPr>
      <w:r w:rsidRPr="00CA1271">
        <w:t>Price limits vary according to the ratio of support workers to participants – there are different price limits for 1:2; 1:3; 1:4 and 1:5 supports; and</w:t>
      </w:r>
    </w:p>
    <w:p w:rsidR="00C63652" w:rsidRPr="00CA1271" w:rsidRDefault="00C63652" w:rsidP="00C63652">
      <w:pPr>
        <w:pStyle w:val="DotPoint"/>
      </w:pPr>
      <w:r w:rsidRPr="00CA1271">
        <w:t>Price limits also vary depending on whether the support is delivered in a centre or in the community.</w:t>
      </w:r>
    </w:p>
    <w:p w:rsidR="00C63652" w:rsidRPr="00CA1271" w:rsidRDefault="00C63652" w:rsidP="00C63652">
      <w:r w:rsidRPr="00CA1271">
        <w:t xml:space="preserve">The </w:t>
      </w:r>
      <w:r w:rsidRPr="00CA1271">
        <w:rPr>
          <w:i/>
        </w:rPr>
        <w:t>NDIS Price Guide</w:t>
      </w:r>
      <w:r w:rsidRPr="00CA1271">
        <w:t xml:space="preserve"> currently says that:</w:t>
      </w:r>
    </w:p>
    <w:p w:rsidR="00C63652" w:rsidRPr="00CA1271" w:rsidRDefault="00C63652" w:rsidP="00C63652">
      <w:pPr>
        <w:pStyle w:val="Quote1"/>
      </w:pPr>
      <w:r w:rsidRPr="00CA1271">
        <w:t>Assistance to access community, social and recreational activities is often provided in a group setting, either in the community or in a centre.</w:t>
      </w:r>
    </w:p>
    <w:p w:rsidR="00C63652" w:rsidRPr="00CA1271" w:rsidRDefault="00C63652" w:rsidP="007A045B">
      <w:pPr>
        <w:pStyle w:val="Quote1"/>
        <w:numPr>
          <w:ilvl w:val="0"/>
          <w:numId w:val="19"/>
        </w:numPr>
        <w:ind w:left="993"/>
      </w:pPr>
      <w:r w:rsidRPr="00CA1271">
        <w:t>A hierarchy of price limits applies to group based supports, based on:</w:t>
      </w:r>
    </w:p>
    <w:p w:rsidR="00C63652" w:rsidRPr="00CA1271" w:rsidRDefault="00C63652" w:rsidP="007A045B">
      <w:pPr>
        <w:pStyle w:val="Quote1"/>
        <w:numPr>
          <w:ilvl w:val="0"/>
          <w:numId w:val="19"/>
        </w:numPr>
        <w:ind w:left="993"/>
      </w:pPr>
      <w:r w:rsidRPr="00CA1271">
        <w:t>the time of day that the support is delivered;</w:t>
      </w:r>
    </w:p>
    <w:p w:rsidR="00C63652" w:rsidRPr="00CA1271" w:rsidRDefault="00C63652" w:rsidP="007A045B">
      <w:pPr>
        <w:pStyle w:val="Quote1"/>
        <w:numPr>
          <w:ilvl w:val="0"/>
          <w:numId w:val="19"/>
        </w:numPr>
        <w:ind w:left="993"/>
      </w:pPr>
      <w:r w:rsidRPr="00CA1271">
        <w:t>the day of week that the support is delivered;</w:t>
      </w:r>
    </w:p>
    <w:p w:rsidR="00C63652" w:rsidRPr="00CA1271" w:rsidRDefault="00C63652" w:rsidP="007A045B">
      <w:pPr>
        <w:pStyle w:val="Quote1"/>
        <w:numPr>
          <w:ilvl w:val="0"/>
          <w:numId w:val="19"/>
        </w:numPr>
        <w:ind w:left="993"/>
      </w:pPr>
      <w:r w:rsidRPr="00CA1271">
        <w:t>whether the support is Standard Intensity or High Intensity (complex);</w:t>
      </w:r>
    </w:p>
    <w:p w:rsidR="00C63652" w:rsidRPr="00CA1271" w:rsidRDefault="00C63652" w:rsidP="007A045B">
      <w:pPr>
        <w:pStyle w:val="Quote1"/>
        <w:numPr>
          <w:ilvl w:val="0"/>
          <w:numId w:val="19"/>
        </w:numPr>
        <w:ind w:left="993"/>
      </w:pPr>
      <w:r w:rsidRPr="00CA1271">
        <w:t>whether the provider is eligible for the Temporary Transformation Payment;</w:t>
      </w:r>
    </w:p>
    <w:p w:rsidR="00C63652" w:rsidRPr="00CA1271" w:rsidRDefault="00C63652" w:rsidP="007A045B">
      <w:pPr>
        <w:pStyle w:val="Quote1"/>
        <w:numPr>
          <w:ilvl w:val="0"/>
          <w:numId w:val="19"/>
        </w:numPr>
        <w:ind w:left="993"/>
      </w:pPr>
      <w:r w:rsidRPr="00CA1271">
        <w:t>the size of the group and ratio of staff to participants; and</w:t>
      </w:r>
    </w:p>
    <w:p w:rsidR="00C63652" w:rsidRPr="00CA1271" w:rsidRDefault="00C63652" w:rsidP="007A045B">
      <w:pPr>
        <w:pStyle w:val="Quote1"/>
        <w:numPr>
          <w:ilvl w:val="0"/>
          <w:numId w:val="19"/>
        </w:numPr>
        <w:ind w:left="993"/>
      </w:pPr>
      <w:proofErr w:type="gramStart"/>
      <w:r w:rsidRPr="00CA1271">
        <w:t>whether</w:t>
      </w:r>
      <w:proofErr w:type="gramEnd"/>
      <w:r w:rsidRPr="00CA1271">
        <w:t xml:space="preserve"> the support is provided in a Centre or in the community.</w:t>
      </w:r>
    </w:p>
    <w:p w:rsidR="00C63652" w:rsidRPr="00CA1271" w:rsidRDefault="00C63652" w:rsidP="00C63652">
      <w:pPr>
        <w:pStyle w:val="Quote1"/>
      </w:pPr>
      <w:r w:rsidRPr="00CA1271">
        <w:t>For support ratios that are not stated in this Guide (e.g. two workers for three participants), participants and providers should discuss and agree the most appropriate line item to be used for payments, and the appropriate price to be paid (which might be lower than the price limit for that line item).</w:t>
      </w:r>
    </w:p>
    <w:p w:rsidR="00C63652" w:rsidRPr="00CA1271" w:rsidRDefault="00C63652" w:rsidP="00C63652">
      <w:pPr>
        <w:pStyle w:val="Quote1"/>
      </w:pPr>
      <w:r w:rsidRPr="00CA1271">
        <w:t>Providers of group-based supports are not permitted to bill for non-face-to-face services as the hourly price limits for these supports include an allowance for non-face-to-face services.</w:t>
      </w:r>
    </w:p>
    <w:p w:rsidR="00C63652" w:rsidRPr="00CA1271" w:rsidRDefault="00C63652" w:rsidP="00C63652">
      <w:r w:rsidRPr="00CA1271">
        <w:t xml:space="preserve">The price limit for community-based group supports apply to each hour of support and are based on the price limit of the relevant 1:1 community participation support (for each level of support and time of day and day of week). The price limit for the relevant 1:1 support is P then the price limit </w:t>
      </w:r>
      <w:proofErr w:type="spellStart"/>
      <w:r w:rsidRPr="00CA1271">
        <w:t>P</w:t>
      </w:r>
      <w:r w:rsidRPr="00CA1271">
        <w:rPr>
          <w:vertAlign w:val="subscript"/>
        </w:rPr>
        <w:t>n</w:t>
      </w:r>
      <w:proofErr w:type="spellEnd"/>
      <w:r w:rsidRPr="00CA1271">
        <w:t xml:space="preserve"> for the 1</w:t>
      </w:r>
      <w:proofErr w:type="gramStart"/>
      <w:r w:rsidRPr="00CA1271">
        <w:t>:n</w:t>
      </w:r>
      <w:proofErr w:type="gramEnd"/>
      <w:r w:rsidRPr="00CA1271">
        <w:t xml:space="preserve"> community based support is given by the following formulae:</w:t>
      </w:r>
    </w:p>
    <w:p w:rsidR="00A61B06" w:rsidRPr="00CA1271" w:rsidRDefault="00F30779" w:rsidP="00C63652">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n-1</m:t>
                  </m:r>
                </m:e>
              </m:d>
              <m:r>
                <w:rPr>
                  <w:rFonts w:ascii="Cambria Math" w:hAnsi="Cambria Math"/>
                </w:rPr>
                <m:t>×0.12×P</m:t>
              </m:r>
            </m:num>
            <m:den>
              <m:r>
                <w:rPr>
                  <w:rFonts w:ascii="Cambria Math" w:hAnsi="Cambria Math"/>
                </w:rPr>
                <m:t>n</m:t>
              </m:r>
            </m:den>
          </m:f>
        </m:oMath>
      </m:oMathPara>
    </w:p>
    <w:p w:rsidR="00C63652" w:rsidRPr="00CA1271" w:rsidRDefault="00C63652" w:rsidP="00C63652">
      <w:r w:rsidRPr="00CA1271">
        <w:t>For each additional person in the group (after the first) an additional 12</w:t>
      </w:r>
      <w:r w:rsidR="00E80A7C" w:rsidRPr="00CA1271">
        <w:t>%</w:t>
      </w:r>
      <w:r w:rsidRPr="00CA1271">
        <w:t xml:space="preserve"> of the 1:1 price limit (essentially seven minutes) is added to the </w:t>
      </w:r>
      <w:r w:rsidR="00A01380" w:rsidRPr="00CA1271">
        <w:t xml:space="preserve">hourly </w:t>
      </w:r>
      <w:r w:rsidRPr="00CA1271">
        <w:t xml:space="preserve">price limit. This </w:t>
      </w:r>
      <w:r w:rsidR="00A01380" w:rsidRPr="00CA1271">
        <w:t>is meant to reflect</w:t>
      </w:r>
      <w:r w:rsidRPr="00CA1271">
        <w:t xml:space="preserve"> the time that the provider may need to spend writing a report on each participant in the group after the group has finished</w:t>
      </w:r>
      <w:r w:rsidR="00A01380" w:rsidRPr="00CA1271">
        <w:t xml:space="preserve"> or in preparing or setting up for the group session</w:t>
      </w:r>
      <w:r w:rsidRPr="00CA1271">
        <w:t xml:space="preserve">. Because of this built-in loading, providers of group based supports are not permitted to </w:t>
      </w:r>
      <w:r w:rsidR="00C4242B" w:rsidRPr="00CA1271">
        <w:t>claim</w:t>
      </w:r>
      <w:r w:rsidRPr="00CA1271">
        <w:t xml:space="preserve"> for non-face-to-face time. For 1:1 supports, non-face-to-face activities </w:t>
      </w:r>
      <w:r w:rsidR="00A01380" w:rsidRPr="00CA1271">
        <w:t xml:space="preserve">that </w:t>
      </w:r>
      <w:r w:rsidRPr="00CA1271">
        <w:t>are part of delivering a specific disability support to that participant (rather than a general activity such as enrolment, administration or staff rostering)</w:t>
      </w:r>
      <w:r w:rsidR="00A01380" w:rsidRPr="00CA1271">
        <w:t xml:space="preserve"> are claimable against the participant’s plan</w:t>
      </w:r>
      <w:r w:rsidRPr="00CA1271">
        <w:t>.</w:t>
      </w:r>
    </w:p>
    <w:p w:rsidR="00C63652" w:rsidRPr="00CA1271" w:rsidRDefault="00C63652" w:rsidP="00C63652">
      <w:r w:rsidRPr="00CA1271">
        <w:t xml:space="preserve">The price limit for centre-based group supports are calculated by adding a fixed capital allowance amount to the relevant community based group support. In 2019-20, the amount of the fixed capital allowance was $2.10 per participant per hour. The amount of the fixed capital allowance is indexed on 1 July each year in line with movements in the </w:t>
      </w:r>
      <w:r w:rsidR="00A61B06" w:rsidRPr="00CA1271">
        <w:t xml:space="preserve">ABS </w:t>
      </w:r>
      <w:r w:rsidRPr="00CA1271">
        <w:t>Consumer Price Index.</w:t>
      </w:r>
    </w:p>
    <w:p w:rsidR="00C63652" w:rsidRPr="00CA1271" w:rsidRDefault="00C63652" w:rsidP="00C63652">
      <w:pPr>
        <w:pStyle w:val="Heading2"/>
      </w:pPr>
      <w:bookmarkStart w:id="56" w:name="_Toc42014730"/>
      <w:r w:rsidRPr="00CA1271">
        <w:t>Consultations</w:t>
      </w:r>
      <w:bookmarkEnd w:id="56"/>
    </w:p>
    <w:p w:rsidR="00C63652" w:rsidRPr="00CA1271" w:rsidRDefault="00C63652" w:rsidP="00C63652">
      <w:pPr>
        <w:rPr>
          <w:rFonts w:cs="Arial"/>
        </w:rPr>
      </w:pPr>
      <w:r w:rsidRPr="00CA1271">
        <w:rPr>
          <w:rFonts w:cs="Arial"/>
        </w:rPr>
        <w:t xml:space="preserve">The </w:t>
      </w:r>
      <w:r w:rsidRPr="00CA1271">
        <w:rPr>
          <w:rFonts w:cs="Arial"/>
          <w:i/>
        </w:rPr>
        <w:t>Issues Paper</w:t>
      </w:r>
      <w:r w:rsidRPr="00CA1271">
        <w:rPr>
          <w:rFonts w:cs="Arial"/>
        </w:rPr>
        <w:t xml:space="preserve"> </w:t>
      </w:r>
      <w:r w:rsidR="00A61B06" w:rsidRPr="00CA1271">
        <w:rPr>
          <w:rFonts w:cs="Arial"/>
        </w:rPr>
        <w:t>sought feedback on</w:t>
      </w:r>
      <w:r w:rsidRPr="00CA1271">
        <w:rPr>
          <w:rFonts w:cs="Arial"/>
        </w:rPr>
        <w:t xml:space="preserve"> a number of issues with the current arrangements that had been raised by the sector.</w:t>
      </w:r>
    </w:p>
    <w:p w:rsidR="00C63652" w:rsidRPr="00CA1271" w:rsidRDefault="00C63652" w:rsidP="00C63652">
      <w:pPr>
        <w:pStyle w:val="DotPoint"/>
      </w:pPr>
      <w:r w:rsidRPr="00CA1271">
        <w:t xml:space="preserve">Some stakeholders </w:t>
      </w:r>
      <w:r w:rsidR="00A61B06" w:rsidRPr="00CA1271">
        <w:t>have</w:t>
      </w:r>
      <w:r w:rsidRPr="00CA1271">
        <w:t xml:space="preserve"> expressed a concern that the current price control arrangements for group-based supports provide an unintended incentive for larger groups. Other stakeholders have suggested that the “built-in” allowance for non-face to face time, while possibly appropriate for supports that are only one hour long, may not be appropriate for longer support. A provider delivering a 1:5 support to five participants for four hours, for example, is effectively paid for 5.9 hours of work, as the current arrangements assume that they will spend 28.8 minutes of non-face-to-face time for every participant in the group (after the first participant).</w:t>
      </w:r>
    </w:p>
    <w:p w:rsidR="00C63652" w:rsidRPr="00CA1271" w:rsidRDefault="00C63652" w:rsidP="00C63652">
      <w:pPr>
        <w:pStyle w:val="DotPoint"/>
      </w:pPr>
      <w:r w:rsidRPr="00CA1271">
        <w:t>An alternative approach would be for the base price for 1</w:t>
      </w:r>
      <w:proofErr w:type="gramStart"/>
      <w:r w:rsidRPr="00CA1271">
        <w:t>:n</w:t>
      </w:r>
      <w:proofErr w:type="gramEnd"/>
      <w:r w:rsidRPr="00CA1271">
        <w:t xml:space="preserve"> supports to be calculated as a simple proportion (1/n) of the base price of 1:1 supports but allow providers to </w:t>
      </w:r>
      <w:r w:rsidR="00C4242B" w:rsidRPr="00CA1271">
        <w:t>claim</w:t>
      </w:r>
      <w:r w:rsidRPr="00CA1271">
        <w:t xml:space="preserve"> for any non-face-to-face supports that they actually provided.</w:t>
      </w:r>
    </w:p>
    <w:p w:rsidR="00C63652" w:rsidRPr="00CA1271" w:rsidRDefault="00C63652" w:rsidP="00C63652">
      <w:pPr>
        <w:pStyle w:val="DotPoint"/>
      </w:pPr>
      <w:r w:rsidRPr="00CA1271">
        <w:t>Some stakeholders have also expressed concerns that the capital allowance is too small and should vary according to the quality of the infrastructure being used to deliver the services. Conversely, other stakeholders have expressed concerns that the capital allowance is too large and provides an unintended incentive for centre-based supports.</w:t>
      </w:r>
    </w:p>
    <w:p w:rsidR="00C63652" w:rsidRPr="00CA1271" w:rsidRDefault="00C63652" w:rsidP="00C63652">
      <w:pPr>
        <w:pStyle w:val="Heading3"/>
      </w:pPr>
      <w:r w:rsidRPr="00CA1271">
        <w:t>Group based rates</w:t>
      </w:r>
    </w:p>
    <w:p w:rsidR="00C63652" w:rsidRPr="00CA1271" w:rsidRDefault="00C63652" w:rsidP="00C63652">
      <w:r w:rsidRPr="00CA1271">
        <w:t xml:space="preserve">The </w:t>
      </w:r>
      <w:r w:rsidRPr="00CA1271">
        <w:rPr>
          <w:i/>
        </w:rPr>
        <w:t>Issues Paper</w:t>
      </w:r>
      <w:r w:rsidRPr="00CA1271">
        <w:t xml:space="preserve"> asked respondents to identify the additional administrative and other tasks were </w:t>
      </w:r>
      <w:r w:rsidR="00A01380" w:rsidRPr="00CA1271">
        <w:t>involved in offering group base</w:t>
      </w:r>
      <w:r w:rsidRPr="00CA1271">
        <w:t>d supports and to indicate whether those co</w:t>
      </w:r>
      <w:r w:rsidR="00A61B06" w:rsidRPr="00CA1271">
        <w:t>sts would be best recognised by:</w:t>
      </w:r>
    </w:p>
    <w:p w:rsidR="00C63652" w:rsidRPr="00CA1271" w:rsidRDefault="00C63652" w:rsidP="00C63652">
      <w:pPr>
        <w:pStyle w:val="DotPoint"/>
      </w:pPr>
      <w:r w:rsidRPr="00CA1271">
        <w:t xml:space="preserve">Developing a separate </w:t>
      </w:r>
      <w:r w:rsidR="00A61B06" w:rsidRPr="00CA1271">
        <w:t>Disability Support Worker</w:t>
      </w:r>
      <w:r w:rsidRPr="00CA1271">
        <w:t xml:space="preserve"> Cost Model for Group-Based Supports with different utilisation, supervision and overhead</w:t>
      </w:r>
      <w:r w:rsidR="00F0327C" w:rsidRPr="00CA1271">
        <w:t>s</w:t>
      </w:r>
      <w:r w:rsidRPr="00CA1271">
        <w:t xml:space="preserve"> assumptions. If this </w:t>
      </w:r>
      <w:r w:rsidR="00A61B06" w:rsidRPr="00CA1271">
        <w:t>was</w:t>
      </w:r>
      <w:r w:rsidRPr="00CA1271">
        <w:t xml:space="preserve"> the preferred approach then </w:t>
      </w:r>
      <w:r w:rsidR="00A61B06" w:rsidRPr="00CA1271">
        <w:t xml:space="preserve">respondents were asked to identify </w:t>
      </w:r>
      <w:r w:rsidRPr="00CA1271">
        <w:t xml:space="preserve">what different assumptions should be made with respect to these key variables and why? </w:t>
      </w:r>
    </w:p>
    <w:p w:rsidR="00C63652" w:rsidRPr="00CA1271" w:rsidRDefault="00C63652" w:rsidP="00C63652">
      <w:pPr>
        <w:pStyle w:val="DotPoint"/>
      </w:pPr>
      <w:r w:rsidRPr="00CA1271">
        <w:t xml:space="preserve">Moving to a simpler ratio-based approach to setting group-based price limits, and allowing providers to claim for non-face-to-face time. </w:t>
      </w:r>
    </w:p>
    <w:p w:rsidR="00C63652" w:rsidRPr="00CA1271" w:rsidRDefault="00C63652" w:rsidP="00C63652">
      <w:pPr>
        <w:pStyle w:val="DotPoint"/>
      </w:pPr>
      <w:r w:rsidRPr="00CA1271">
        <w:t xml:space="preserve">Maintaining the current approach, of an in-built administration time </w:t>
      </w:r>
      <w:r w:rsidR="00A61B06" w:rsidRPr="00CA1271">
        <w:t>in each group support. If this wa</w:t>
      </w:r>
      <w:r w:rsidRPr="00CA1271">
        <w:t xml:space="preserve">s the preferred approach then </w:t>
      </w:r>
      <w:r w:rsidR="00A61B06" w:rsidRPr="00CA1271">
        <w:t>respondents were asked if</w:t>
      </w:r>
      <w:r w:rsidRPr="00CA1271">
        <w:t xml:space="preserve"> the amount of administration time </w:t>
      </w:r>
      <w:r w:rsidR="00A61B06" w:rsidRPr="00CA1271">
        <w:t xml:space="preserve">should </w:t>
      </w:r>
      <w:r w:rsidRPr="00CA1271">
        <w:t>be fixed for each group support or be longer for longer supports?</w:t>
      </w:r>
    </w:p>
    <w:p w:rsidR="00C63652" w:rsidRPr="00CA1271" w:rsidRDefault="00C63652" w:rsidP="00C63652">
      <w:pPr>
        <w:rPr>
          <w:b/>
        </w:rPr>
      </w:pPr>
      <w:r w:rsidRPr="00CA1271">
        <w:t>Many submissions received did not select an individual option, but were supportive of a simpler ratio based approach to group supports and claiming non-face-to-face tasks. A few submissions mentioned the highly variable nature of some additional tasks to assist the participant and that an ability to claim for these non-face-to-face tasks would assist recouping the true costs faced by providers. There was very little support for Option C in submissions.</w:t>
      </w:r>
      <w:r w:rsidRPr="00CA1271">
        <w:rPr>
          <w:b/>
        </w:rPr>
        <w:t xml:space="preserve"> </w:t>
      </w:r>
    </w:p>
    <w:p w:rsidR="00C63652" w:rsidRPr="00CA1271" w:rsidRDefault="00C63652" w:rsidP="00C63652">
      <w:r w:rsidRPr="00CA1271">
        <w:t>One provider argued that the tasks were highly variable depende</w:t>
      </w:r>
      <w:r w:rsidR="006F6AF5" w:rsidRPr="00CA1271">
        <w:t>nt</w:t>
      </w:r>
      <w:r w:rsidRPr="00CA1271">
        <w:t xml:space="preserve"> on the size of the group supported but included “tracking and reporting of attendance, time taken with paperwork associated with </w:t>
      </w:r>
      <w:r w:rsidR="006F6AF5" w:rsidRPr="00CA1271">
        <w:t>m</w:t>
      </w:r>
      <w:r w:rsidRPr="00CA1271">
        <w:t>edication dispensing, progress noting, incident reporting / management and updating of profile information</w:t>
      </w:r>
      <w:r w:rsidR="006F6AF5" w:rsidRPr="00CA1271">
        <w:t>”</w:t>
      </w:r>
      <w:r w:rsidRPr="00CA1271">
        <w:t>. They argued that “</w:t>
      </w:r>
      <w:r w:rsidR="006F6AF5" w:rsidRPr="00CA1271">
        <w:t>a</w:t>
      </w:r>
      <w:r w:rsidRPr="00CA1271">
        <w:t xml:space="preserve">dministration time should be longer for those supporting complex/high support people due to additional paperwork that goes with them.” </w:t>
      </w:r>
    </w:p>
    <w:p w:rsidR="00C63652" w:rsidRPr="00CA1271" w:rsidRDefault="00C63652" w:rsidP="00C63652">
      <w:r w:rsidRPr="00CA1271">
        <w:t xml:space="preserve">Another </w:t>
      </w:r>
      <w:r w:rsidR="006F6AF5" w:rsidRPr="00CA1271">
        <w:t xml:space="preserve">respondent </w:t>
      </w:r>
      <w:r w:rsidRPr="00CA1271">
        <w:t>argued that the additional administrative tasks for group based supports stemmed from the regular duplication of work brought on by the number of participants in the group. Tasks can include (but were not limited to) communicating with all group participants and/or their families around events, activities and times; collating of activity planners; booking community venues, and so on. The amount of time this can take varies vastly from month-to-month, group-to-group, and is dependent on the number of participants per activity, compatibility, staff needs, etc. due to a varying number of complexities.</w:t>
      </w:r>
      <w:r w:rsidR="006A7531" w:rsidRPr="00CA1271">
        <w:t xml:space="preserve"> </w:t>
      </w:r>
      <w:r w:rsidRPr="00CA1271">
        <w:t>The most common suggested proportion of administrative time was 10</w:t>
      </w:r>
      <w:r w:rsidR="00E80A7C" w:rsidRPr="00CA1271">
        <w:t>%</w:t>
      </w:r>
      <w:r w:rsidRPr="00CA1271">
        <w:t>, with other responses ranging from 7</w:t>
      </w:r>
      <w:r w:rsidR="00E80A7C" w:rsidRPr="00CA1271">
        <w:t>%</w:t>
      </w:r>
      <w:r w:rsidRPr="00CA1271">
        <w:t xml:space="preserve"> to 25</w:t>
      </w:r>
      <w:r w:rsidR="00E80A7C" w:rsidRPr="00CA1271">
        <w:t>%</w:t>
      </w:r>
      <w:r w:rsidRPr="00CA1271">
        <w:t>.</w:t>
      </w:r>
    </w:p>
    <w:p w:rsidR="00C63652" w:rsidRPr="00CA1271" w:rsidRDefault="00C63652" w:rsidP="00C63652">
      <w:r w:rsidRPr="00CA1271">
        <w:t xml:space="preserve">There was a general concern by some responses that the nature of the price limits for increasing group ratios may lead to larger groups being prioritised. Although this is ultimately the choice of the participant, there was a sense that profit margins for bigger groups would incentivise this. </w:t>
      </w:r>
    </w:p>
    <w:p w:rsidR="00C63652" w:rsidRPr="00CA1271" w:rsidRDefault="00C63652" w:rsidP="00C63652">
      <w:r w:rsidRPr="00CA1271">
        <w:t xml:space="preserve">Members of the Working Group on Group </w:t>
      </w:r>
      <w:r w:rsidR="006F6AF5" w:rsidRPr="00CA1271">
        <w:t xml:space="preserve">Supports </w:t>
      </w:r>
      <w:r w:rsidRPr="00CA1271">
        <w:t xml:space="preserve">raised the same concerns as had been raised in submissions to the </w:t>
      </w:r>
      <w:r w:rsidRPr="00CA1271">
        <w:rPr>
          <w:i/>
        </w:rPr>
        <w:t>Issues Paper</w:t>
      </w:r>
      <w:r w:rsidRPr="00CA1271">
        <w:t xml:space="preserve">. Some requested having no fixed ratio at all to allow ultimate flexibility. Providers could then charge for the time each support took and then divide by the number of participants or by the average ratio across the time the support took. National Disability Services (NDS) suggested that the NDIS should keep both options with providers choosing which was best for them, but most providers within the working group wanted to move towards claiming for non-face-to-face time as needed separately to the direct support time. </w:t>
      </w:r>
    </w:p>
    <w:p w:rsidR="00C63652" w:rsidRPr="00CA1271" w:rsidRDefault="00C63652" w:rsidP="00C63652">
      <w:pPr>
        <w:pStyle w:val="Heading3"/>
      </w:pPr>
      <w:r w:rsidRPr="00CA1271">
        <w:t>Capital allowance</w:t>
      </w:r>
    </w:p>
    <w:p w:rsidR="00C63652" w:rsidRPr="00CA1271" w:rsidRDefault="00C63652" w:rsidP="00C63652">
      <w:r w:rsidRPr="00CA1271">
        <w:t xml:space="preserve">Respondents were also asked whether the current capital allowance arrangements for group-based supports </w:t>
      </w:r>
      <w:r w:rsidR="00A826B3" w:rsidRPr="00CA1271">
        <w:t>were</w:t>
      </w:r>
      <w:r w:rsidRPr="00CA1271">
        <w:t xml:space="preserve"> adequate. Some responses to this question suggested that current capital allowance was not adequate, as it does not reflect the asset maintenance or refurbishment costs, particularly for purpose-built facilities. One respondent provided a range of dollar values per hour to maintain their facilities, ranging below and above the NDIS capital allowance. Another submission proposed that the capital allowance was adequate for the facilities they were providing their facilities.</w:t>
      </w:r>
      <w:r w:rsidR="006A7531" w:rsidRPr="00CA1271">
        <w:t xml:space="preserve"> </w:t>
      </w:r>
    </w:p>
    <w:p w:rsidR="00C63652" w:rsidRPr="00CA1271" w:rsidRDefault="00C63652" w:rsidP="00C63652">
      <w:r w:rsidRPr="00CA1271">
        <w:t xml:space="preserve">Members of the Working Group reported that actual centre based costs depended on ownership and capital investment, and can vary largely. One provider, with a number of centres, noted that while the average was $2.50 per participant hour, it ranged from as high as $4 down to $1. </w:t>
      </w:r>
    </w:p>
    <w:p w:rsidR="00C63652" w:rsidRPr="00CA1271" w:rsidRDefault="00C63652" w:rsidP="00C63652">
      <w:pPr>
        <w:pStyle w:val="Heading3"/>
      </w:pPr>
      <w:r w:rsidRPr="00CA1271">
        <w:t>Other issues</w:t>
      </w:r>
    </w:p>
    <w:p w:rsidR="00C63652" w:rsidRPr="00CA1271" w:rsidRDefault="00C63652" w:rsidP="00C63652">
      <w:r w:rsidRPr="00CA1271">
        <w:t xml:space="preserve">Several providers raised the issue of cancellations for group activities and how this may pose a greater administrative burden than with standard 1:1 supports, as it affects the way the group is structured and delivered. Moreover, some activities may be reliant on a set number of participants and any short-notice cancellations hinder the group activity going ahead. </w:t>
      </w:r>
      <w:r w:rsidR="00A01380" w:rsidRPr="00CA1271">
        <w:t>In general, providers were attracted to the “programs of support” approach (see Recommendation 3) as the best way to address this issue as it gave greater certainty to both providers and the other participants in the group.</w:t>
      </w:r>
    </w:p>
    <w:p w:rsidR="00C63652" w:rsidRPr="00CA1271" w:rsidRDefault="00C63652" w:rsidP="00C63652">
      <w:pPr>
        <w:pStyle w:val="Heading2"/>
      </w:pPr>
      <w:bookmarkStart w:id="57" w:name="_Toc42014731"/>
      <w:r w:rsidRPr="00CA1271">
        <w:t>Research</w:t>
      </w:r>
      <w:bookmarkEnd w:id="57"/>
    </w:p>
    <w:p w:rsidR="00C63652" w:rsidRPr="00CA1271" w:rsidRDefault="006F6AF5" w:rsidP="00C63652">
      <w:r w:rsidRPr="00CA1271">
        <w:fldChar w:fldCharType="begin"/>
      </w:r>
      <w:r w:rsidRPr="00CA1271">
        <w:instrText xml:space="preserve"> REF _Ref37882921 \h </w:instrText>
      </w:r>
      <w:r w:rsidR="006D7957" w:rsidRPr="00CA1271">
        <w:instrText xml:space="preserve"> \* MERGEFORMAT </w:instrText>
      </w:r>
      <w:r w:rsidRPr="00CA1271">
        <w:fldChar w:fldCharType="separate"/>
      </w:r>
      <w:r w:rsidR="00B621CC" w:rsidRPr="00CA1271">
        <w:t xml:space="preserve">Figure </w:t>
      </w:r>
      <w:r w:rsidR="00B621CC">
        <w:rPr>
          <w:noProof/>
        </w:rPr>
        <w:t>4</w:t>
      </w:r>
      <w:r w:rsidRPr="00CA1271">
        <w:fldChar w:fldCharType="end"/>
      </w:r>
      <w:r w:rsidRPr="00CA1271">
        <w:t xml:space="preserve"> illustrate</w:t>
      </w:r>
      <w:r w:rsidR="00015578" w:rsidRPr="00CA1271">
        <w:t>s</w:t>
      </w:r>
      <w:r w:rsidR="00C63652" w:rsidRPr="00CA1271">
        <w:t xml:space="preserve"> the trend in usage of group activities at increasingly larger ratios. Generally, after 1:3, there are relatively fewer supports claimed at the 1:4 and 1:5 level.</w:t>
      </w:r>
    </w:p>
    <w:p w:rsidR="00C63652" w:rsidRPr="00CA1271" w:rsidRDefault="00C63652" w:rsidP="00C63652">
      <w:pPr>
        <w:pStyle w:val="DotPoint"/>
      </w:pPr>
      <w:r w:rsidRPr="00CA1271">
        <w:t xml:space="preserve">The distribution of complex </w:t>
      </w:r>
      <w:r w:rsidR="006A7531" w:rsidRPr="00CA1271">
        <w:t xml:space="preserve">group </w:t>
      </w:r>
      <w:r w:rsidRPr="00CA1271">
        <w:t xml:space="preserve">activities in </w:t>
      </w:r>
      <w:r w:rsidR="006A7531" w:rsidRPr="00CA1271">
        <w:t xml:space="preserve">the in the community and in </w:t>
      </w:r>
      <w:r w:rsidRPr="00CA1271">
        <w:t>a centre reveals a standard linear decline in the demand for increasingly larger group activities. This does not support the notion that the cost model incentivises larger groups over 1:1 which was an initial concern.</w:t>
      </w:r>
    </w:p>
    <w:p w:rsidR="00C63652" w:rsidRPr="00CA1271" w:rsidRDefault="00C63652" w:rsidP="00C63652">
      <w:pPr>
        <w:pStyle w:val="DotPoint"/>
      </w:pPr>
      <w:r w:rsidRPr="00CA1271">
        <w:t>The distribution of standard group activities in a centre</w:t>
      </w:r>
      <w:r w:rsidR="006A7531" w:rsidRPr="00CA1271">
        <w:t xml:space="preserve"> and in the community</w:t>
      </w:r>
      <w:r w:rsidRPr="00CA1271">
        <w:t xml:space="preserve"> is slightly different, with an increased usage of 1:3 ratios. This may be reflective of the preferred size of group for these type of supports and could offer support for the application of group support packages that allowed providers to provide a </w:t>
      </w:r>
      <w:r w:rsidR="006A7531" w:rsidRPr="00CA1271">
        <w:t>group</w:t>
      </w:r>
      <w:r w:rsidRPr="00CA1271">
        <w:t xml:space="preserve"> based activity that over time averages out to 1:3 ratios but with the flexibility to provide at a greater or lesser ratio where cancellations or other contingencies force </w:t>
      </w:r>
      <w:r w:rsidR="006A7531" w:rsidRPr="00CA1271">
        <w:t>changes in specific situations.</w:t>
      </w:r>
    </w:p>
    <w:p w:rsidR="006F6AF5" w:rsidRDefault="006F6AF5" w:rsidP="00A61B06">
      <w:pPr>
        <w:pStyle w:val="Caption"/>
      </w:pPr>
      <w:bookmarkStart w:id="58" w:name="_Ref37882921"/>
      <w:bookmarkStart w:id="59" w:name="_Toc42014776"/>
      <w:r w:rsidRPr="00CA1271">
        <w:t xml:space="preserve">Figure </w:t>
      </w:r>
      <w:r w:rsidRPr="00CA1271">
        <w:fldChar w:fldCharType="begin"/>
      </w:r>
      <w:r w:rsidRPr="00CA1271">
        <w:instrText xml:space="preserve"> SEQ Figure \* ARABIC </w:instrText>
      </w:r>
      <w:r w:rsidRPr="00CA1271">
        <w:fldChar w:fldCharType="separate"/>
      </w:r>
      <w:r w:rsidR="00B621CC">
        <w:rPr>
          <w:noProof/>
        </w:rPr>
        <w:t>4</w:t>
      </w:r>
      <w:r w:rsidRPr="00CA1271">
        <w:fldChar w:fldCharType="end"/>
      </w:r>
      <w:bookmarkEnd w:id="58"/>
      <w:r w:rsidRPr="00CA1271">
        <w:t xml:space="preserve"> - Claims for </w:t>
      </w:r>
      <w:r w:rsidR="008E6A7F">
        <w:t>Group A</w:t>
      </w:r>
      <w:r w:rsidRPr="00CA1271">
        <w:t>ctivities</w:t>
      </w:r>
      <w:bookmarkEnd w:id="59"/>
    </w:p>
    <w:p w:rsidR="006F6AF5" w:rsidRPr="00CA1271" w:rsidRDefault="00156EDE" w:rsidP="00156EDE">
      <w:pPr>
        <w:jc w:val="center"/>
      </w:pPr>
      <w:r>
        <w:rPr>
          <w:noProof/>
          <w:lang w:eastAsia="en-AU"/>
        </w:rPr>
        <w:drawing>
          <wp:inline distT="0" distB="0" distL="0" distR="0" wp14:anchorId="4132E481">
            <wp:extent cx="4680000" cy="3060000"/>
            <wp:effectExtent l="0" t="0" r="6350" b="7620"/>
            <wp:docPr id="7" name="Picture 7" title="Figure 4 - Claims for Group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80000" cy="3060000"/>
                    </a:xfrm>
                    <a:prstGeom prst="rect">
                      <a:avLst/>
                    </a:prstGeom>
                    <a:noFill/>
                  </pic:spPr>
                </pic:pic>
              </a:graphicData>
            </a:graphic>
          </wp:inline>
        </w:drawing>
      </w:r>
    </w:p>
    <w:p w:rsidR="00C63652" w:rsidRPr="00CA1271" w:rsidRDefault="00C63652" w:rsidP="00C63652">
      <w:pPr>
        <w:pStyle w:val="Heading2"/>
      </w:pPr>
      <w:bookmarkStart w:id="60" w:name="_Toc42014732"/>
      <w:r w:rsidRPr="00CA1271">
        <w:t>Discussion</w:t>
      </w:r>
      <w:bookmarkEnd w:id="60"/>
    </w:p>
    <w:p w:rsidR="00C63652" w:rsidRPr="00CA1271" w:rsidRDefault="00C63652" w:rsidP="00C63652">
      <w:r w:rsidRPr="00CA1271">
        <w:t xml:space="preserve">The Review considers that there is considerable merit in replacing the current group based pricing arrangements with simplified arrangements, whereby providers can </w:t>
      </w:r>
      <w:r w:rsidR="00C4242B" w:rsidRPr="00CA1271">
        <w:t>claim</w:t>
      </w:r>
      <w:r w:rsidRPr="00CA1271">
        <w:t xml:space="preserve"> for both direct service provision and no</w:t>
      </w:r>
      <w:r w:rsidR="006F6AF5" w:rsidRPr="00CA1271">
        <w:t>n</w:t>
      </w:r>
      <w:r w:rsidRPr="00CA1271">
        <w:t>-face-to-face supports as they are provided. Providers would divide the number of worker hours by the number of participant hours to derive their own fractions of hours to charge participants and would claim for these hours against the 1:1 support item and subject to the standard price limit. For example, one worker to three participants for a one</w:t>
      </w:r>
      <w:r w:rsidR="006F6AF5" w:rsidRPr="00CA1271">
        <w:t>-</w:t>
      </w:r>
      <w:r w:rsidRPr="00CA1271">
        <w:t xml:space="preserve">hour session would be claimed as 1/3 of an hour per participant subject to the 1:1 price limit rather than as currently where </w:t>
      </w:r>
      <w:r w:rsidR="006F6AF5" w:rsidRPr="00CA1271">
        <w:t xml:space="preserve">the </w:t>
      </w:r>
      <w:r w:rsidRPr="00CA1271">
        <w:t xml:space="preserve">hour is claimed for each participant but subject to a reduced 1:3 price limit. </w:t>
      </w:r>
      <w:r w:rsidR="00B7547D" w:rsidRPr="00CA1271">
        <w:t>Providers of centre based care would claim for the fixed capital allowance for each participant through a separate support item.</w:t>
      </w:r>
    </w:p>
    <w:p w:rsidR="00C63652" w:rsidRPr="00CA1271" w:rsidRDefault="00C63652" w:rsidP="00C63652">
      <w:r w:rsidRPr="00CA1271">
        <w:t xml:space="preserve">The Review notes that when this change was suggested last year the sector did not accept it. It appears, however, that the sector has become much more comfortable with the non-face-to-face </w:t>
      </w:r>
      <w:r w:rsidR="00C4242B" w:rsidRPr="00CA1271">
        <w:t>claim</w:t>
      </w:r>
      <w:r w:rsidRPr="00CA1271">
        <w:t>ing arr</w:t>
      </w:r>
      <w:r w:rsidR="006F6AF5" w:rsidRPr="00CA1271">
        <w:t>an</w:t>
      </w:r>
      <w:r w:rsidRPr="00CA1271">
        <w:t xml:space="preserve">gements and can now see the opportunities that can arise from the proposed simplification. Currently there are over 220 support items for group based supports in the </w:t>
      </w:r>
      <w:r w:rsidRPr="00CA1271">
        <w:rPr>
          <w:i/>
        </w:rPr>
        <w:t>NDIS Support Catalogue</w:t>
      </w:r>
      <w:r w:rsidRPr="00CA1271">
        <w:t>. Under the proposed amendments, some 200 of these support items would no longer be needed.</w:t>
      </w:r>
    </w:p>
    <w:p w:rsidR="00C63652" w:rsidRPr="00CA1271" w:rsidRDefault="00C63652" w:rsidP="00C63652">
      <w:r w:rsidRPr="00CA1271">
        <w:t>The Review does not consider that the evidence about the capital costs of centre</w:t>
      </w:r>
      <w:r w:rsidR="006F6AF5" w:rsidRPr="00CA1271">
        <w:t>-</w:t>
      </w:r>
      <w:r w:rsidRPr="00CA1271">
        <w:t>base</w:t>
      </w:r>
      <w:r w:rsidR="00B7547D" w:rsidRPr="00CA1271">
        <w:t>d care is sufficiently strong</w:t>
      </w:r>
      <w:r w:rsidRPr="00CA1271">
        <w:t xml:space="preserve"> </w:t>
      </w:r>
      <w:r w:rsidR="00B7547D" w:rsidRPr="00CA1271">
        <w:t>to justify a change in the amount of the fixed capital allowance</w:t>
      </w:r>
      <w:r w:rsidRPr="00CA1271">
        <w:t>, but requires further investigation.</w:t>
      </w:r>
    </w:p>
    <w:p w:rsidR="00C63652" w:rsidRPr="00CA1271" w:rsidRDefault="00C63652" w:rsidP="00C63652">
      <w:pPr>
        <w:pStyle w:val="Heading2"/>
      </w:pPr>
      <w:bookmarkStart w:id="61" w:name="_Toc42014733"/>
      <w:r w:rsidRPr="00CA1271">
        <w:t>Recommendation</w:t>
      </w:r>
      <w:bookmarkEnd w:id="61"/>
    </w:p>
    <w:p w:rsidR="00C63652" w:rsidRPr="00CA1271" w:rsidRDefault="00C63652" w:rsidP="00C63652">
      <w:pPr>
        <w:pStyle w:val="REcommendation"/>
        <w:keepNext w:val="0"/>
        <w:ind w:left="2126" w:hanging="2126"/>
        <w:rPr>
          <w:b/>
        </w:rPr>
      </w:pPr>
      <w:r w:rsidRPr="00CA1271">
        <w:rPr>
          <w:b/>
        </w:rPr>
        <w:t>Group</w:t>
      </w:r>
      <w:r w:rsidR="006F6AF5" w:rsidRPr="00CA1271">
        <w:rPr>
          <w:b/>
        </w:rPr>
        <w:t>-</w:t>
      </w:r>
      <w:r w:rsidRPr="00CA1271">
        <w:rPr>
          <w:b/>
        </w:rPr>
        <w:t>Base</w:t>
      </w:r>
      <w:r w:rsidR="006F6AF5" w:rsidRPr="00CA1271">
        <w:rPr>
          <w:b/>
        </w:rPr>
        <w:t>d</w:t>
      </w:r>
      <w:r w:rsidRPr="00CA1271">
        <w:rPr>
          <w:b/>
        </w:rPr>
        <w:t xml:space="preserve"> Supports</w:t>
      </w:r>
    </w:p>
    <w:p w:rsidR="00C63652" w:rsidRPr="00CA1271" w:rsidRDefault="0008512C" w:rsidP="007A045B">
      <w:pPr>
        <w:pStyle w:val="REcommendation"/>
        <w:keepNext w:val="0"/>
        <w:numPr>
          <w:ilvl w:val="1"/>
          <w:numId w:val="11"/>
        </w:numPr>
      </w:pPr>
      <w:r w:rsidRPr="00CA1271">
        <w:t>The NDIA</w:t>
      </w:r>
      <w:r w:rsidR="00C63652" w:rsidRPr="00CA1271">
        <w:t xml:space="preserve"> should amend the pricing arrangements for group based supports so that providers no longer use the various worker to participant ratio support items but instead </w:t>
      </w:r>
      <w:r w:rsidR="00C4242B" w:rsidRPr="00CA1271">
        <w:t>claim</w:t>
      </w:r>
      <w:r w:rsidR="00C63652" w:rsidRPr="00CA1271">
        <w:t xml:space="preserve"> all supports against the appropriate 1:1 support items by apportioning the time spent with the group among the members of the group.</w:t>
      </w:r>
      <w:r w:rsidR="00B7547D" w:rsidRPr="00CA1271">
        <w:t xml:space="preserve"> Providers of centre based care would claim for the fixed capital allowance for each participant in a group through a separate support item.</w:t>
      </w:r>
    </w:p>
    <w:p w:rsidR="00C63652" w:rsidRPr="00CA1271" w:rsidRDefault="0008512C" w:rsidP="007A045B">
      <w:pPr>
        <w:pStyle w:val="REcommendation"/>
        <w:keepNext w:val="0"/>
        <w:numPr>
          <w:ilvl w:val="1"/>
          <w:numId w:val="11"/>
        </w:numPr>
      </w:pPr>
      <w:r w:rsidRPr="00CA1271">
        <w:t>The NDIA</w:t>
      </w:r>
      <w:r w:rsidR="00C63652" w:rsidRPr="00CA1271">
        <w:t xml:space="preserve"> should also amend the pricing arrangements for group based supports so that providers can claim for non-face-to-face supports under the usual conditions</w:t>
      </w:r>
      <w:r w:rsidR="006F6AF5" w:rsidRPr="00CA1271">
        <w:t>, rather than having an allowance for non-face-to-face supports built into the price limit</w:t>
      </w:r>
      <w:r w:rsidR="00C63652" w:rsidRPr="00CA1271">
        <w:t>.</w:t>
      </w:r>
    </w:p>
    <w:p w:rsidR="00A61B06" w:rsidRPr="00CA1271" w:rsidRDefault="00A61B06" w:rsidP="00A61B06">
      <w:pPr>
        <w:sectPr w:rsidR="00A61B06" w:rsidRPr="00CA1271" w:rsidSect="00CA5B7E">
          <w:pgSz w:w="11907" w:h="16839" w:code="9"/>
          <w:pgMar w:top="1418" w:right="1418" w:bottom="1418" w:left="1418" w:header="709" w:footer="709" w:gutter="0"/>
          <w:cols w:space="708"/>
          <w:titlePg/>
          <w:docGrid w:linePitch="360"/>
        </w:sectPr>
      </w:pPr>
    </w:p>
    <w:p w:rsidR="00C63652" w:rsidRPr="00CA1271" w:rsidRDefault="00C63652" w:rsidP="00C63652">
      <w:pPr>
        <w:pStyle w:val="Heading1"/>
        <w:ind w:left="567" w:hanging="567"/>
      </w:pPr>
      <w:bookmarkStart w:id="62" w:name="_Toc42014734"/>
      <w:bookmarkStart w:id="63" w:name="_Ref42689366"/>
      <w:bookmarkStart w:id="64" w:name="_Ref42689374"/>
      <w:r w:rsidRPr="00CA1271">
        <w:t>Capacity Building Supports</w:t>
      </w:r>
      <w:bookmarkEnd w:id="62"/>
      <w:bookmarkEnd w:id="63"/>
      <w:bookmarkEnd w:id="64"/>
    </w:p>
    <w:p w:rsidR="00C63652" w:rsidRPr="00CA1271" w:rsidRDefault="00C63652" w:rsidP="00C63652">
      <w:r w:rsidRPr="00CA1271">
        <w:t>The Review was required by its Terms of Reference to review the price control framework for capacity building supports, including therapy supports, by examining:</w:t>
      </w:r>
    </w:p>
    <w:p w:rsidR="00C63652" w:rsidRPr="00CA1271" w:rsidRDefault="00C63652" w:rsidP="00C63652">
      <w:pPr>
        <w:pStyle w:val="DotPoint"/>
      </w:pPr>
      <w:r w:rsidRPr="00CA1271">
        <w:t>how price limits for capacity building supports, other than therapy supports, should be indexed or otherwise determined annually;</w:t>
      </w:r>
    </w:p>
    <w:p w:rsidR="00C63652" w:rsidRPr="00CA1271" w:rsidRDefault="00C63652" w:rsidP="00C63652">
      <w:pPr>
        <w:pStyle w:val="DotPoint"/>
      </w:pPr>
      <w:r w:rsidRPr="00CA1271">
        <w:t>how price limits for therapy supports should be adjusted annually, given the outcomes of the Review of Therapy Pricing Arrangements;</w:t>
      </w:r>
    </w:p>
    <w:p w:rsidR="00C63652" w:rsidRPr="00CA1271" w:rsidRDefault="00C63652" w:rsidP="00C63652">
      <w:pPr>
        <w:pStyle w:val="DotPoint"/>
      </w:pPr>
      <w:r w:rsidRPr="00CA1271">
        <w:t>whether different price limits might be appropriate for different times of the day, or days of the week, for some capacity building supports, including for therapists, therapy assistants and for capacity building supports delivered by disability support workers; and</w:t>
      </w:r>
    </w:p>
    <w:p w:rsidR="00C63652" w:rsidRPr="00CA1271" w:rsidRDefault="00C63652" w:rsidP="00C63652">
      <w:pPr>
        <w:pStyle w:val="DotPoint"/>
      </w:pPr>
      <w:proofErr w:type="gramStart"/>
      <w:r w:rsidRPr="00CA1271">
        <w:t>whether</w:t>
      </w:r>
      <w:proofErr w:type="gramEnd"/>
      <w:r w:rsidRPr="00CA1271">
        <w:t xml:space="preserve"> therapists and other capacity building providers should be able to recover the costs of consumables provided to participants as part of a support.</w:t>
      </w:r>
    </w:p>
    <w:p w:rsidR="00C63652" w:rsidRPr="00CA1271" w:rsidRDefault="00C63652" w:rsidP="00C63652">
      <w:pPr>
        <w:pStyle w:val="Heading2"/>
      </w:pPr>
      <w:bookmarkStart w:id="65" w:name="_Toc42014735"/>
      <w:r w:rsidRPr="00CA1271">
        <w:t>Current Arrangements</w:t>
      </w:r>
      <w:bookmarkEnd w:id="65"/>
      <w:r w:rsidRPr="00CA1271">
        <w:t xml:space="preserve"> </w:t>
      </w:r>
    </w:p>
    <w:p w:rsidR="00C63652" w:rsidRPr="00CA1271" w:rsidRDefault="00C63652" w:rsidP="00C63652">
      <w:r w:rsidRPr="00CA1271">
        <w:t>Capacity building supports can be broadly split into two categories:</w:t>
      </w:r>
    </w:p>
    <w:p w:rsidR="00C63652" w:rsidRPr="00CA1271" w:rsidRDefault="00C63652" w:rsidP="00C63652">
      <w:pPr>
        <w:pStyle w:val="DotPoint"/>
      </w:pPr>
      <w:r w:rsidRPr="00CA1271">
        <w:t>Therapy supports, including Early Intervention Supports for Early Childhood (ECEI) supports – these supports are delivered by the following Registration Groups: Therapeutic Supports (0128); Early Intervention Supports for Early Childhood (0118); Community Nursing Care (0114); Customised Prosthetics (0135); Exercise Physiology &amp; Personal Well-being Activities (0126); and Specialist Positive Behaviour Support (0110); and</w:t>
      </w:r>
    </w:p>
    <w:p w:rsidR="00C63652" w:rsidRPr="00CA1271" w:rsidRDefault="00C63652" w:rsidP="00C63652">
      <w:pPr>
        <w:pStyle w:val="DotPoint"/>
      </w:pPr>
      <w:r w:rsidRPr="00CA1271">
        <w:t>All other capacity-building supports.</w:t>
      </w:r>
    </w:p>
    <w:p w:rsidR="00C63652" w:rsidRPr="00CA1271" w:rsidRDefault="00C63652" w:rsidP="00C63652">
      <w:r w:rsidRPr="00CA1271">
        <w:t xml:space="preserve">Capacity building supports are delivered through the following support categories (for more information on each individual support category, please refer to the </w:t>
      </w:r>
      <w:r w:rsidR="00CB4B0A" w:rsidRPr="00CA1271">
        <w:rPr>
          <w:i/>
        </w:rPr>
        <w:t xml:space="preserve">NDIS </w:t>
      </w:r>
      <w:r w:rsidRPr="00CA1271">
        <w:rPr>
          <w:i/>
        </w:rPr>
        <w:t>Price Guide</w:t>
      </w:r>
      <w:r w:rsidRPr="00CA1271">
        <w:t>):</w:t>
      </w:r>
      <w:r w:rsidRPr="00CA1271">
        <w:rPr>
          <w:rStyle w:val="FootnoteReference"/>
        </w:rPr>
        <w:footnoteReference w:id="37"/>
      </w:r>
    </w:p>
    <w:p w:rsidR="00C63652" w:rsidRPr="00CA1271" w:rsidRDefault="00C63652" w:rsidP="00C63652">
      <w:pPr>
        <w:pStyle w:val="DotPoint"/>
      </w:pPr>
      <w:bookmarkStart w:id="66" w:name="_Support_Category_3.08"/>
      <w:bookmarkStart w:id="67" w:name="_Capacity_Building_-_1"/>
      <w:bookmarkStart w:id="68" w:name="_Support_Category_3.10"/>
      <w:bookmarkStart w:id="69" w:name="_Capacity_Building_-"/>
      <w:bookmarkStart w:id="70" w:name="_Workplace_assistance"/>
      <w:bookmarkStart w:id="71" w:name="_Support_Category_3.14"/>
      <w:bookmarkStart w:id="72" w:name="_Support_Category_3.15"/>
      <w:bookmarkEnd w:id="66"/>
      <w:bookmarkEnd w:id="67"/>
      <w:bookmarkEnd w:id="68"/>
      <w:bookmarkEnd w:id="69"/>
      <w:bookmarkEnd w:id="70"/>
      <w:bookmarkEnd w:id="71"/>
      <w:bookmarkEnd w:id="72"/>
      <w:r w:rsidRPr="00CA1271">
        <w:t>Support Coordination</w:t>
      </w:r>
    </w:p>
    <w:p w:rsidR="00C63652" w:rsidRPr="00CA1271" w:rsidRDefault="00C63652" w:rsidP="00C63652">
      <w:pPr>
        <w:pStyle w:val="DotPoint"/>
      </w:pPr>
      <w:r w:rsidRPr="00CA1271">
        <w:t xml:space="preserve">Improved Living Arrangements – </w:t>
      </w:r>
      <w:r w:rsidRPr="00CA1271">
        <w:softHyphen/>
        <w:t>support to help a participant find and maintain an appropriate place to live;</w:t>
      </w:r>
    </w:p>
    <w:p w:rsidR="00C63652" w:rsidRPr="00CA1271" w:rsidRDefault="00C63652" w:rsidP="00C63652">
      <w:pPr>
        <w:pStyle w:val="DotPoint"/>
      </w:pPr>
      <w:r w:rsidRPr="00CA1271">
        <w:t>Increased Social and Community Participation – development and training to increase a participant’s skills so they can participate in community, social and recreational activities;</w:t>
      </w:r>
    </w:p>
    <w:p w:rsidR="00C63652" w:rsidRPr="00CA1271" w:rsidRDefault="00C63652" w:rsidP="00C63652">
      <w:pPr>
        <w:pStyle w:val="DotPoint"/>
      </w:pPr>
      <w:r w:rsidRPr="00CA1271">
        <w:t>Finding and Keeping a Job – employment-related support, training and assessments that help a participant find and keep a job;</w:t>
      </w:r>
    </w:p>
    <w:p w:rsidR="00C63652" w:rsidRPr="00CA1271" w:rsidRDefault="00C63652" w:rsidP="00C63652">
      <w:pPr>
        <w:pStyle w:val="DotPoint"/>
      </w:pPr>
      <w:r w:rsidRPr="00CA1271">
        <w:t>Improved Relationships – support to help a participant develop positive behaviours and interact with others;</w:t>
      </w:r>
    </w:p>
    <w:p w:rsidR="00C63652" w:rsidRPr="00CA1271" w:rsidRDefault="00C63652" w:rsidP="00C63652">
      <w:pPr>
        <w:pStyle w:val="DotPoint"/>
      </w:pPr>
      <w:r w:rsidRPr="00CA1271">
        <w:t>Improved Health and Wellbeing – including exercise or diet advice to manage the impact of the participant’s disability;</w:t>
      </w:r>
    </w:p>
    <w:p w:rsidR="00C63652" w:rsidRPr="00CA1271" w:rsidRDefault="00C63652" w:rsidP="00C63652">
      <w:pPr>
        <w:pStyle w:val="DotPoint"/>
      </w:pPr>
      <w:r w:rsidRPr="00CA1271">
        <w:t>Improved Learning –</w:t>
      </w:r>
      <w:r w:rsidRPr="00CA1271">
        <w:softHyphen/>
        <w:t xml:space="preserve"> including training, advice and help for the participant to move from school to further education; and</w:t>
      </w:r>
    </w:p>
    <w:p w:rsidR="00C63652" w:rsidRPr="00CA1271" w:rsidRDefault="00C63652" w:rsidP="00C63652">
      <w:pPr>
        <w:pStyle w:val="DotPoint"/>
      </w:pPr>
      <w:r w:rsidRPr="00CA1271">
        <w:t>Improved Daily Living Skills – assessment, training or therapy to help increase the participant’s skills, independence and community participation.</w:t>
      </w:r>
    </w:p>
    <w:p w:rsidR="00C63652" w:rsidRPr="00CA1271" w:rsidRDefault="00C63652" w:rsidP="00C63652">
      <w:pPr>
        <w:pStyle w:val="Heading2"/>
      </w:pPr>
      <w:bookmarkStart w:id="73" w:name="_Toc42014736"/>
      <w:r w:rsidRPr="00CA1271">
        <w:t>Consultations</w:t>
      </w:r>
      <w:bookmarkEnd w:id="73"/>
    </w:p>
    <w:p w:rsidR="00C63652" w:rsidRPr="00CA1271" w:rsidRDefault="00CB4B0A" w:rsidP="00C63652">
      <w:pPr>
        <w:rPr>
          <w:rFonts w:cs="Arial"/>
        </w:rPr>
      </w:pPr>
      <w:r w:rsidRPr="00CA1271">
        <w:rPr>
          <w:rFonts w:cs="Arial"/>
        </w:rPr>
        <w:t xml:space="preserve">The </w:t>
      </w:r>
      <w:r w:rsidRPr="00CA1271">
        <w:rPr>
          <w:rFonts w:cs="Arial"/>
          <w:i/>
        </w:rPr>
        <w:t>Issues P</w:t>
      </w:r>
      <w:r w:rsidR="00C63652" w:rsidRPr="00CA1271">
        <w:rPr>
          <w:rFonts w:cs="Arial"/>
          <w:i/>
        </w:rPr>
        <w:t>aper</w:t>
      </w:r>
      <w:r w:rsidR="00C63652" w:rsidRPr="00CA1271">
        <w:rPr>
          <w:rFonts w:cs="Arial"/>
        </w:rPr>
        <w:t xml:space="preserve"> presented a number of issues with the current arrangements that had been raised by the sector, including:</w:t>
      </w:r>
    </w:p>
    <w:p w:rsidR="00C63652" w:rsidRPr="00CA1271" w:rsidRDefault="00C63652" w:rsidP="00C63652">
      <w:pPr>
        <w:numPr>
          <w:ilvl w:val="0"/>
          <w:numId w:val="8"/>
        </w:numPr>
      </w:pPr>
      <w:r w:rsidRPr="00CA1271">
        <w:t>Whether the price limits for capacity building supports represent value for money for participants and allow providers to recover the costs of delivering these supports?</w:t>
      </w:r>
    </w:p>
    <w:p w:rsidR="00C63652" w:rsidRPr="00CA1271" w:rsidRDefault="00C63652" w:rsidP="00C63652">
      <w:pPr>
        <w:numPr>
          <w:ilvl w:val="0"/>
          <w:numId w:val="8"/>
        </w:numPr>
      </w:pPr>
      <w:r w:rsidRPr="00CA1271">
        <w:t>Whether different price limits might be appropriate for different times of the day, or days of the week, for some capacity building supports, including for therapy assistants and capacity building supports delivered by disability support workers?</w:t>
      </w:r>
    </w:p>
    <w:p w:rsidR="00C63652" w:rsidRPr="00CA1271" w:rsidRDefault="00C63652" w:rsidP="00C63652">
      <w:pPr>
        <w:numPr>
          <w:ilvl w:val="0"/>
          <w:numId w:val="8"/>
        </w:numPr>
      </w:pPr>
      <w:r w:rsidRPr="00CA1271">
        <w:t>Whether therapists and other capacity-building providers should be able to recover the costs of consumables provided to participants as part of a support? Currently, if providers of capacity building supports also want to claim for the cost of any consumables used in the delivery of the support then they are also required to register for the relevant assistive technology and equipment registration group. Some stakeholders have argued that providers of therapy and other capacity building supports should be able to recover the costs of consumables provided to the participant as part of the primary support.</w:t>
      </w:r>
    </w:p>
    <w:p w:rsidR="00C63652" w:rsidRPr="00CA1271" w:rsidRDefault="00C63652" w:rsidP="00C63652">
      <w:pPr>
        <w:numPr>
          <w:ilvl w:val="0"/>
          <w:numId w:val="8"/>
        </w:numPr>
      </w:pPr>
      <w:r w:rsidRPr="00CA1271">
        <w:t xml:space="preserve">Whether the current indexation arrangements for the price limits for capacity building supports appropriately maintain their value? Currently, the price limits for capacity building supports are increased on 1 July each year in line the weighted increase over the previous twelve months in the </w:t>
      </w:r>
      <w:r w:rsidR="00FE19DD" w:rsidRPr="00CA1271">
        <w:t>ABS</w:t>
      </w:r>
      <w:r w:rsidRPr="00CA1271">
        <w:t xml:space="preserve"> Wage Price Index and the Consumer Price Index (with an 80/20 weighting). </w:t>
      </w:r>
    </w:p>
    <w:p w:rsidR="00C63652" w:rsidRPr="00CA1271" w:rsidRDefault="00C63652" w:rsidP="00C63652">
      <w:r w:rsidRPr="00CA1271">
        <w:t>The most common concern raised by providers was that there was a lack of alignment between the price limits for core and capacity building supports, where those supports were delivered by Disability Support workers. It was noted that the employer does not differentiate when paying the support worker regardless of the support delivered. The support line items 15</w:t>
      </w:r>
      <w:r w:rsidR="00E45265" w:rsidRPr="00CA1271">
        <w:t>_</w:t>
      </w:r>
      <w:r w:rsidRPr="00CA1271">
        <w:t xml:space="preserve">035_0106_1_3 (Assistance with decision making, daily planning and budgeting) and 15_037_0117_1_3 (Individual training in the home for general life skills to increase independence) were raised in several submissions. </w:t>
      </w:r>
    </w:p>
    <w:p w:rsidR="00C63652" w:rsidRPr="00CA1271" w:rsidRDefault="00C63652" w:rsidP="00C63652">
      <w:r w:rsidRPr="00CA1271">
        <w:t xml:space="preserve">Respondents also suggested that the introduction of intensity levels and </w:t>
      </w:r>
      <w:r w:rsidR="00E45265" w:rsidRPr="00CA1271">
        <w:t>the TTP</w:t>
      </w:r>
      <w:r w:rsidRPr="00CA1271">
        <w:t xml:space="preserve"> for core supports should be considered for capacity-building supports. One respondent suggested that some capacity-building supports require similar levels of competency to Level 2 and 3 core supports. </w:t>
      </w:r>
    </w:p>
    <w:p w:rsidR="00C63652" w:rsidRPr="00CA1271" w:rsidRDefault="00C63652" w:rsidP="00C63652">
      <w:r w:rsidRPr="00CA1271">
        <w:t>A few respondents asked for support coordination price limits to be aligned to therapy price limits, as allied health professionals can also perform this role.</w:t>
      </w:r>
    </w:p>
    <w:p w:rsidR="00C63652" w:rsidRPr="00CA1271" w:rsidRDefault="00C63652" w:rsidP="00C63652">
      <w:r w:rsidRPr="00CA1271">
        <w:t xml:space="preserve">Some respondents also argued that the NDIA should consider introducing out-of-hours price limits for some capacity building supports in line with the arrangements for core supports. Some considered these supports unviable other than during </w:t>
      </w:r>
      <w:r w:rsidR="00E45265" w:rsidRPr="00CA1271">
        <w:t xml:space="preserve">weekday </w:t>
      </w:r>
      <w:r w:rsidRPr="00CA1271">
        <w:t xml:space="preserve">business hours because of the current arrangements and do not offer services </w:t>
      </w:r>
      <w:r w:rsidR="00E45265" w:rsidRPr="00CA1271">
        <w:t>outside of</w:t>
      </w:r>
      <w:r w:rsidRPr="00CA1271">
        <w:t xml:space="preserve"> th</w:t>
      </w:r>
      <w:r w:rsidR="00E45265" w:rsidRPr="00CA1271">
        <w:t>o</w:t>
      </w:r>
      <w:r w:rsidRPr="00CA1271">
        <w:t xml:space="preserve">se times. There was a concern that </w:t>
      </w:r>
      <w:r w:rsidR="00E45265" w:rsidRPr="00CA1271">
        <w:t>t</w:t>
      </w:r>
      <w:r w:rsidRPr="00CA1271">
        <w:t xml:space="preserve">his might reduce participant choice. Conversely, other respondents raised the concern that introducing differing rates would add complexity to pricing arrangements. </w:t>
      </w:r>
    </w:p>
    <w:p w:rsidR="00C63652" w:rsidRPr="00CA1271" w:rsidRDefault="00C63652" w:rsidP="00C63652">
      <w:r w:rsidRPr="00CA1271">
        <w:t>A significant number of respondents argued that consumables should be claimable by capacity building providers where the provider may also provide the consumable. There was, however, a wide variety of suggestions in how to achieve this. Suggestions included:</w:t>
      </w:r>
    </w:p>
    <w:p w:rsidR="00C63652" w:rsidRPr="00CA1271" w:rsidRDefault="00C63652" w:rsidP="00C63652">
      <w:pPr>
        <w:pStyle w:val="DotPoint"/>
      </w:pPr>
      <w:r w:rsidRPr="00CA1271">
        <w:t>Claim under the Quality and Safeguard Commissions guidelines;</w:t>
      </w:r>
    </w:p>
    <w:p w:rsidR="00C63652" w:rsidRPr="00CA1271" w:rsidRDefault="00C63652" w:rsidP="00C63652">
      <w:pPr>
        <w:pStyle w:val="DotPoint"/>
      </w:pPr>
      <w:r w:rsidRPr="00CA1271">
        <w:t xml:space="preserve">If the consumable is under a set monetary level, then it could be claimable by the provider; </w:t>
      </w:r>
    </w:p>
    <w:p w:rsidR="00C63652" w:rsidRPr="00CA1271" w:rsidRDefault="00C63652" w:rsidP="00C63652">
      <w:pPr>
        <w:pStyle w:val="DotPoint"/>
      </w:pPr>
      <w:r w:rsidRPr="00CA1271">
        <w:t>A separate consumables NDIS plan budget that providers could claim from; or</w:t>
      </w:r>
    </w:p>
    <w:p w:rsidR="00C63652" w:rsidRPr="00CA1271" w:rsidRDefault="00C63652" w:rsidP="00C63652">
      <w:pPr>
        <w:pStyle w:val="DotPoint"/>
      </w:pPr>
      <w:r w:rsidRPr="00CA1271">
        <w:t xml:space="preserve">Capacity building budgets should include both support and relevant consumables. </w:t>
      </w:r>
    </w:p>
    <w:p w:rsidR="00C63652" w:rsidRPr="00CA1271" w:rsidRDefault="00C63652" w:rsidP="00C63652">
      <w:r w:rsidRPr="00CA1271">
        <w:t>Several members of the Working Group</w:t>
      </w:r>
      <w:r w:rsidR="00E45265" w:rsidRPr="00CA1271">
        <w:t xml:space="preserve"> for Capacity Building Supports</w:t>
      </w:r>
      <w:r w:rsidRPr="00CA1271">
        <w:t xml:space="preserve"> commented that therapists in some similar schemes, workers’ compensation schemes and traffic accident compensation schemes, were allowed to claim for consumables up to a small dollar amount, usually up to $200.</w:t>
      </w:r>
    </w:p>
    <w:p w:rsidR="00C63652" w:rsidRPr="00CA1271" w:rsidRDefault="00C63652" w:rsidP="00C63652">
      <w:r w:rsidRPr="00CA1271">
        <w:t xml:space="preserve">The majority of respondents suggested that the current indexation was inadequate in maintaining the value of capacity building price limits, particularly relative to the inflation applied to core supports. There was a variety of suggestions on the appropriate indexation method to apply. Several suggested adopting the same procedure that is done with core supports due to crossover in the workers used who are affected by the Fair Work Commission’s minimum wage decisions and the increases built into the SCHADS Award </w:t>
      </w:r>
    </w:p>
    <w:p w:rsidR="00C63652" w:rsidRPr="00CA1271" w:rsidRDefault="00C63652" w:rsidP="00C63652">
      <w:r w:rsidRPr="00CA1271">
        <w:t xml:space="preserve">Another submission suggested linking inflationary indexation to the most appropriate industry rather than the general economy. </w:t>
      </w:r>
    </w:p>
    <w:p w:rsidR="00C63652" w:rsidRPr="00CA1271" w:rsidRDefault="00C63652" w:rsidP="00C63652">
      <w:r w:rsidRPr="00CA1271">
        <w:t xml:space="preserve">Several respondents requested that providers of Capacity Building Increased Community Participation Supports should be able to claim for non-face-to-face time and report writing, with the former claimable for similar supports under core (although comparable core </w:t>
      </w:r>
      <w:r w:rsidR="00E45265" w:rsidRPr="00CA1271">
        <w:t xml:space="preserve">group </w:t>
      </w:r>
      <w:r w:rsidRPr="00CA1271">
        <w:t>supports currently have non-face-to-face time inclusive in the price limit).</w:t>
      </w:r>
    </w:p>
    <w:p w:rsidR="00840177" w:rsidRPr="00CA1271" w:rsidRDefault="00840177" w:rsidP="00840177">
      <w:r w:rsidRPr="00CA1271">
        <w:t>Exercise and Sports Science Australia raised two issues with the current price control arrangements for exercise physiology:</w:t>
      </w:r>
    </w:p>
    <w:p w:rsidR="00840177" w:rsidRPr="00CA1271" w:rsidRDefault="00A75E1F" w:rsidP="00840177">
      <w:pPr>
        <w:pStyle w:val="DotPoint"/>
      </w:pPr>
      <w:r w:rsidRPr="00CA1271">
        <w:t>t</w:t>
      </w:r>
      <w:r w:rsidR="00840177" w:rsidRPr="00CA1271">
        <w:t>he hourly price limit for exercise physiology in the NDIS ($166.99 between</w:t>
      </w:r>
      <w:r w:rsidR="00CE1B43" w:rsidRPr="00CA1271">
        <w:t xml:space="preserve"> </w:t>
      </w:r>
      <w:r w:rsidR="00840177" w:rsidRPr="00CA1271">
        <w:t>1 July 2019 and 24 March 2020) is lower than the price limit for other therapy services in the NDIS (from $193.99 for Other Therapy Services to $243.83 for psychological services); and</w:t>
      </w:r>
    </w:p>
    <w:p w:rsidR="00840177" w:rsidRPr="00CA1271" w:rsidRDefault="00840177" w:rsidP="00C63652">
      <w:pPr>
        <w:pStyle w:val="DotPoint"/>
      </w:pPr>
      <w:r w:rsidRPr="00CA1271">
        <w:t xml:space="preserve">unlike other therapies funded by the NDIS, exercise physiology is not, in general GST-free, as it is not one of the listed ‘other health services’ that can be GST-free in its own right under section 38-10 of the </w:t>
      </w:r>
      <w:r w:rsidRPr="00CA1271">
        <w:rPr>
          <w:i/>
        </w:rPr>
        <w:t>A New Tax System (Goods and Services Tax) Act 1999</w:t>
      </w:r>
      <w:r w:rsidRPr="00CA1271">
        <w:t>.</w:t>
      </w:r>
      <w:r w:rsidR="004B7C78" w:rsidRPr="00CA1271">
        <w:t xml:space="preserve"> </w:t>
      </w:r>
    </w:p>
    <w:p w:rsidR="00C63652" w:rsidRPr="00CA1271" w:rsidRDefault="00C63652" w:rsidP="00C63652">
      <w:pPr>
        <w:pStyle w:val="Heading2"/>
      </w:pPr>
      <w:bookmarkStart w:id="74" w:name="_Toc42014737"/>
      <w:r w:rsidRPr="00CA1271">
        <w:t>Research</w:t>
      </w:r>
      <w:bookmarkEnd w:id="74"/>
    </w:p>
    <w:p w:rsidR="00C63652" w:rsidRPr="00CA1271" w:rsidRDefault="00C63652" w:rsidP="00C63652">
      <w:pPr>
        <w:pStyle w:val="Heading3"/>
      </w:pPr>
      <w:r w:rsidRPr="00CA1271">
        <w:t>Capacity Build</w:t>
      </w:r>
      <w:r w:rsidR="00E45265" w:rsidRPr="00CA1271">
        <w:t>ing</w:t>
      </w:r>
      <w:r w:rsidRPr="00CA1271">
        <w:t xml:space="preserve"> Supports Delivered by Disability Support Workers</w:t>
      </w:r>
    </w:p>
    <w:p w:rsidR="00C63652" w:rsidRPr="00CA1271" w:rsidRDefault="00C63652" w:rsidP="00C63652">
      <w:r w:rsidRPr="00CA1271">
        <w:t xml:space="preserve">The Table below identifies the </w:t>
      </w:r>
      <w:r w:rsidR="00E529D5">
        <w:t>15</w:t>
      </w:r>
      <w:r w:rsidRPr="00CA1271">
        <w:t xml:space="preserve"> Capacity Building supports that the Review has identified as likely to be delivered by </w:t>
      </w:r>
      <w:r w:rsidR="00DF703D" w:rsidRPr="00CA1271">
        <w:t>Disability Support Workers</w:t>
      </w:r>
      <w:r w:rsidRPr="00CA1271">
        <w:t xml:space="preserve"> employed under the SC</w:t>
      </w:r>
      <w:r w:rsidR="00E45265" w:rsidRPr="00CA1271">
        <w:t>HA</w:t>
      </w:r>
      <w:r w:rsidRPr="00CA1271">
        <w:t>DS Award or a similar industrial agreement.</w:t>
      </w:r>
    </w:p>
    <w:p w:rsidR="00E45265" w:rsidRPr="00CA1271" w:rsidRDefault="00E45265" w:rsidP="00F0327C">
      <w:pPr>
        <w:pStyle w:val="Caption"/>
      </w:pPr>
      <w:bookmarkStart w:id="75" w:name="_Toc42014786"/>
      <w:r w:rsidRPr="00CA1271">
        <w:t xml:space="preserve">Table </w:t>
      </w:r>
      <w:r w:rsidRPr="00CA1271">
        <w:fldChar w:fldCharType="begin"/>
      </w:r>
      <w:r w:rsidRPr="00CA1271">
        <w:instrText xml:space="preserve"> SEQ Table \* ARABIC </w:instrText>
      </w:r>
      <w:r w:rsidRPr="00CA1271">
        <w:fldChar w:fldCharType="separate"/>
      </w:r>
      <w:r w:rsidR="00B621CC">
        <w:rPr>
          <w:noProof/>
        </w:rPr>
        <w:t>7</w:t>
      </w:r>
      <w:r w:rsidRPr="00CA1271">
        <w:fldChar w:fldCharType="end"/>
      </w:r>
      <w:r w:rsidR="00DF703D" w:rsidRPr="00CA1271">
        <w:t xml:space="preserve"> - </w:t>
      </w:r>
      <w:r w:rsidRPr="00CA1271">
        <w:t>Capacit</w:t>
      </w:r>
      <w:r w:rsidR="00DF703D" w:rsidRPr="00CA1271">
        <w:t>y Building Supports That May Be Delivered B</w:t>
      </w:r>
      <w:r w:rsidRPr="00CA1271">
        <w:t xml:space="preserve">y </w:t>
      </w:r>
      <w:r w:rsidR="00DF703D" w:rsidRPr="00CA1271">
        <w:t>Disability Support Workers</w:t>
      </w:r>
      <w:bookmarkEnd w:id="75"/>
    </w:p>
    <w:tbl>
      <w:tblPr>
        <w:tblStyle w:val="GridTable4-Accent4"/>
        <w:tblW w:w="9209" w:type="dxa"/>
        <w:tblLook w:val="0420" w:firstRow="1" w:lastRow="0" w:firstColumn="0" w:lastColumn="0" w:noHBand="0" w:noVBand="1"/>
        <w:tblCaption w:val="Table 7 - Capacity Building Supports That May Be Delivered By Disability Support Workers"/>
      </w:tblPr>
      <w:tblGrid>
        <w:gridCol w:w="1841"/>
        <w:gridCol w:w="2972"/>
        <w:gridCol w:w="4386"/>
        <w:gridCol w:w="10"/>
      </w:tblGrid>
      <w:tr w:rsidR="00C63652" w:rsidRPr="00CA1271" w:rsidTr="00C63652">
        <w:trPr>
          <w:gridAfter w:val="1"/>
          <w:cnfStyle w:val="100000000000" w:firstRow="1" w:lastRow="0" w:firstColumn="0" w:lastColumn="0" w:oddVBand="0" w:evenVBand="0" w:oddHBand="0" w:evenHBand="0" w:firstRowFirstColumn="0" w:firstRowLastColumn="0" w:lastRowFirstColumn="0" w:lastRowLastColumn="0"/>
          <w:wAfter w:w="10" w:type="dxa"/>
          <w:tblHeader/>
        </w:trPr>
        <w:tc>
          <w:tcPr>
            <w:tcW w:w="1841" w:type="dxa"/>
          </w:tcPr>
          <w:p w:rsidR="00C63652" w:rsidRPr="00CA1271" w:rsidRDefault="00C63652" w:rsidP="007051A7">
            <w:pPr>
              <w:rPr>
                <w:rFonts w:cstheme="minorHAnsi"/>
                <w:color w:val="000000"/>
                <w:szCs w:val="18"/>
                <w:lang w:eastAsia="en-AU"/>
              </w:rPr>
            </w:pPr>
            <w:r w:rsidRPr="00CA1271">
              <w:rPr>
                <w:rFonts w:cstheme="minorHAnsi"/>
                <w:szCs w:val="18"/>
              </w:rPr>
              <w:t>Support Item Number</w:t>
            </w:r>
          </w:p>
        </w:tc>
        <w:tc>
          <w:tcPr>
            <w:tcW w:w="2972" w:type="dxa"/>
          </w:tcPr>
          <w:p w:rsidR="00C63652" w:rsidRPr="00CA1271" w:rsidRDefault="00C63652" w:rsidP="007051A7">
            <w:pPr>
              <w:rPr>
                <w:rFonts w:cstheme="minorHAnsi"/>
                <w:color w:val="000000"/>
                <w:szCs w:val="18"/>
                <w:lang w:eastAsia="en-AU"/>
              </w:rPr>
            </w:pPr>
            <w:r w:rsidRPr="00CA1271">
              <w:rPr>
                <w:rFonts w:cstheme="minorHAnsi"/>
                <w:szCs w:val="18"/>
              </w:rPr>
              <w:t>Support Item Name</w:t>
            </w:r>
          </w:p>
        </w:tc>
        <w:tc>
          <w:tcPr>
            <w:tcW w:w="4386" w:type="dxa"/>
          </w:tcPr>
          <w:p w:rsidR="00C63652" w:rsidRPr="00CA1271" w:rsidRDefault="00C63652" w:rsidP="007051A7">
            <w:pPr>
              <w:rPr>
                <w:rFonts w:cstheme="minorHAnsi"/>
                <w:color w:val="000000"/>
                <w:szCs w:val="18"/>
                <w:lang w:eastAsia="en-AU"/>
              </w:rPr>
            </w:pPr>
            <w:r w:rsidRPr="00CA1271">
              <w:rPr>
                <w:rFonts w:cstheme="minorHAnsi"/>
                <w:szCs w:val="18"/>
              </w:rPr>
              <w:t>Support Item Description</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Pr>
        <w:tc>
          <w:tcPr>
            <w:tcW w:w="1841"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07_001_0106_8_3</w:t>
            </w:r>
          </w:p>
        </w:tc>
        <w:tc>
          <w:tcPr>
            <w:tcW w:w="2972"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Level 1: Support Connection</w:t>
            </w:r>
          </w:p>
        </w:tc>
        <w:tc>
          <w:tcPr>
            <w:tcW w:w="4396" w:type="dxa"/>
            <w:gridSpan w:val="2"/>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Assistance for participants to implement their plan by strengthening the ability to connect with the broader systems of supports and understand the purpose of the funded supports and participate in the community. Support Connection will assist a participant to understand the aspects of the plan, assisting in ongoing management of supports, and answer questions as they arise.</w:t>
            </w:r>
          </w:p>
        </w:tc>
      </w:tr>
      <w:tr w:rsidR="00C63652" w:rsidRPr="00CA1271" w:rsidTr="00C63652">
        <w:tc>
          <w:tcPr>
            <w:tcW w:w="1841"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07_002_0106_8_3</w:t>
            </w:r>
          </w:p>
        </w:tc>
        <w:tc>
          <w:tcPr>
            <w:tcW w:w="2972"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Level 2: Coordination Of Supports</w:t>
            </w:r>
          </w:p>
        </w:tc>
        <w:tc>
          <w:tcPr>
            <w:tcW w:w="4396" w:type="dxa"/>
            <w:gridSpan w:val="2"/>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Further qualifications/experience required to strengthen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may include resolving points of crisis, and developing resilience in the participant's network.</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Pr>
        <w:tc>
          <w:tcPr>
            <w:tcW w:w="1841"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07_003_0117_8_3</w:t>
            </w:r>
          </w:p>
        </w:tc>
        <w:tc>
          <w:tcPr>
            <w:tcW w:w="2972"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Capacity Building and Training in Plan and Financial Management by a Support Coordinator</w:t>
            </w:r>
          </w:p>
        </w:tc>
        <w:tc>
          <w:tcPr>
            <w:tcW w:w="4396" w:type="dxa"/>
            <w:gridSpan w:val="2"/>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Capacity building and training in plan administration and management with a participant to strengthen their ability to undertake tasks associated with the management of their supports. Providers of this support are to assist the participant to build capacity to undertake all aspects of plan administration and management, including: engaging providers; developing service agreements; maintaining records; claiming payments from the NDIA; and paying providers.</w:t>
            </w:r>
          </w:p>
        </w:tc>
      </w:tr>
      <w:tr w:rsidR="00C63652" w:rsidRPr="00CA1271" w:rsidTr="00C63652">
        <w:tc>
          <w:tcPr>
            <w:tcW w:w="1841"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08_005_0106_2_3</w:t>
            </w:r>
          </w:p>
        </w:tc>
        <w:tc>
          <w:tcPr>
            <w:tcW w:w="2972"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Assistance With Accommodation And Tenancy Obligations</w:t>
            </w:r>
          </w:p>
        </w:tc>
        <w:tc>
          <w:tcPr>
            <w:tcW w:w="4396" w:type="dxa"/>
            <w:gridSpan w:val="2"/>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Support is provided to guide, prompt or undertake activities to ensure the participant obtains and/or retains appropriate accommodation. May include assisting to apply for a rental tenancy or to undertake tenancy obligations.</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Pr>
        <w:tc>
          <w:tcPr>
            <w:tcW w:w="1841"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09_006_0106_6_3</w:t>
            </w:r>
          </w:p>
        </w:tc>
        <w:tc>
          <w:tcPr>
            <w:tcW w:w="2972"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Life Transition Planning Incl. Mentoring, Peer-Support And Individual Skill Develop</w:t>
            </w:r>
          </w:p>
        </w:tc>
        <w:tc>
          <w:tcPr>
            <w:tcW w:w="4396" w:type="dxa"/>
            <w:gridSpan w:val="2"/>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Establishing volunteer assistance within the participant’s home or community to develop skills. For instance, assistance in attending appointments, shopping, bill paying, taking part in social activities and maintaining contact with others.</w:t>
            </w:r>
          </w:p>
        </w:tc>
      </w:tr>
      <w:tr w:rsidR="00E45265" w:rsidRPr="00CA1271" w:rsidTr="00554B9C">
        <w:trPr>
          <w:gridAfter w:val="1"/>
          <w:wAfter w:w="10" w:type="dxa"/>
        </w:trPr>
        <w:tc>
          <w:tcPr>
            <w:tcW w:w="1841" w:type="dxa"/>
          </w:tcPr>
          <w:p w:rsidR="00E45265" w:rsidRPr="00CA1271" w:rsidRDefault="00E45265" w:rsidP="007051A7">
            <w:pPr>
              <w:rPr>
                <w:rFonts w:cstheme="minorHAnsi"/>
                <w:color w:val="000000"/>
                <w:szCs w:val="18"/>
                <w:lang w:eastAsia="en-AU"/>
              </w:rPr>
            </w:pPr>
            <w:r w:rsidRPr="00CA1271">
              <w:rPr>
                <w:rFonts w:cstheme="minorHAnsi"/>
                <w:color w:val="000000"/>
                <w:szCs w:val="18"/>
                <w:lang w:eastAsia="en-AU"/>
              </w:rPr>
              <w:t>09_007_0117_6_3</w:t>
            </w:r>
          </w:p>
        </w:tc>
        <w:tc>
          <w:tcPr>
            <w:tcW w:w="2972" w:type="dxa"/>
          </w:tcPr>
          <w:p w:rsidR="00E45265" w:rsidRPr="00CA1271" w:rsidRDefault="00E45265" w:rsidP="007051A7">
            <w:pPr>
              <w:rPr>
                <w:rFonts w:cstheme="minorHAnsi"/>
                <w:color w:val="000000"/>
                <w:szCs w:val="18"/>
                <w:lang w:eastAsia="en-AU"/>
              </w:rPr>
            </w:pPr>
            <w:r w:rsidRPr="00CA1271">
              <w:rPr>
                <w:rFonts w:cstheme="minorHAnsi"/>
                <w:color w:val="000000"/>
                <w:szCs w:val="18"/>
                <w:lang w:eastAsia="en-AU"/>
              </w:rPr>
              <w:t>Skills Development In A Group</w:t>
            </w:r>
          </w:p>
        </w:tc>
        <w:tc>
          <w:tcPr>
            <w:tcW w:w="4386" w:type="dxa"/>
          </w:tcPr>
          <w:p w:rsidR="00E45265" w:rsidRPr="00CA1271" w:rsidRDefault="00E45265" w:rsidP="007051A7">
            <w:pPr>
              <w:rPr>
                <w:rFonts w:cstheme="minorHAnsi"/>
                <w:color w:val="000000"/>
                <w:szCs w:val="18"/>
                <w:lang w:eastAsia="en-AU"/>
              </w:rPr>
            </w:pPr>
            <w:r w:rsidRPr="00CA1271">
              <w:rPr>
                <w:rFonts w:cstheme="minorHAnsi"/>
                <w:color w:val="000000"/>
                <w:szCs w:val="18"/>
                <w:lang w:eastAsia="en-AU"/>
              </w:rPr>
              <w:t>Training for the participant in a group of 2 or more to increase their independence in daily personal activities.</w:t>
            </w:r>
          </w:p>
        </w:tc>
      </w:tr>
      <w:tr w:rsidR="00E45265" w:rsidRPr="00CA1271" w:rsidTr="00554B9C">
        <w:trPr>
          <w:gridAfter w:val="1"/>
          <w:cnfStyle w:val="000000100000" w:firstRow="0" w:lastRow="0" w:firstColumn="0" w:lastColumn="0" w:oddVBand="0" w:evenVBand="0" w:oddHBand="1" w:evenHBand="0" w:firstRowFirstColumn="0" w:firstRowLastColumn="0" w:lastRowFirstColumn="0" w:lastRowLastColumn="0"/>
          <w:wAfter w:w="10" w:type="dxa"/>
        </w:trPr>
        <w:tc>
          <w:tcPr>
            <w:tcW w:w="1841" w:type="dxa"/>
          </w:tcPr>
          <w:p w:rsidR="00E45265" w:rsidRPr="00CA1271" w:rsidRDefault="00E45265" w:rsidP="007051A7">
            <w:pPr>
              <w:rPr>
                <w:rFonts w:cstheme="minorHAnsi"/>
                <w:color w:val="000000"/>
                <w:szCs w:val="18"/>
                <w:lang w:eastAsia="en-AU"/>
              </w:rPr>
            </w:pPr>
            <w:r w:rsidRPr="00CA1271">
              <w:rPr>
                <w:rFonts w:cstheme="minorHAnsi"/>
                <w:color w:val="000000"/>
                <w:szCs w:val="18"/>
                <w:lang w:eastAsia="en-AU"/>
              </w:rPr>
              <w:t>09_009_0117_6_3</w:t>
            </w:r>
          </w:p>
        </w:tc>
        <w:tc>
          <w:tcPr>
            <w:tcW w:w="2972" w:type="dxa"/>
          </w:tcPr>
          <w:p w:rsidR="00E45265" w:rsidRPr="00CA1271" w:rsidRDefault="00E45265" w:rsidP="007051A7">
            <w:pPr>
              <w:rPr>
                <w:rFonts w:cstheme="minorHAnsi"/>
                <w:color w:val="000000"/>
                <w:szCs w:val="18"/>
                <w:lang w:eastAsia="en-AU"/>
              </w:rPr>
            </w:pPr>
            <w:r w:rsidRPr="00CA1271">
              <w:rPr>
                <w:rFonts w:cstheme="minorHAnsi"/>
                <w:color w:val="000000"/>
                <w:szCs w:val="18"/>
                <w:lang w:eastAsia="en-AU"/>
              </w:rPr>
              <w:t>Individual Skills Development And Training</w:t>
            </w:r>
          </w:p>
        </w:tc>
        <w:tc>
          <w:tcPr>
            <w:tcW w:w="4386" w:type="dxa"/>
          </w:tcPr>
          <w:p w:rsidR="00E45265" w:rsidRPr="00CA1271" w:rsidRDefault="00E45265" w:rsidP="007051A7">
            <w:pPr>
              <w:rPr>
                <w:rFonts w:cstheme="minorHAnsi"/>
                <w:color w:val="000000"/>
                <w:szCs w:val="18"/>
                <w:lang w:eastAsia="en-AU"/>
              </w:rPr>
            </w:pPr>
            <w:r w:rsidRPr="00CA1271">
              <w:rPr>
                <w:rFonts w:cstheme="minorHAnsi"/>
                <w:color w:val="000000"/>
                <w:szCs w:val="18"/>
                <w:lang w:eastAsia="en-AU"/>
              </w:rPr>
              <w:t xml:space="preserve">Individual life skills development and training including public transport training and support, developing skills for community, social and recreational participation. </w:t>
            </w:r>
          </w:p>
        </w:tc>
      </w:tr>
      <w:tr w:rsidR="00C63652" w:rsidRPr="00CA1271" w:rsidTr="00C63652">
        <w:tc>
          <w:tcPr>
            <w:tcW w:w="1841" w:type="dxa"/>
          </w:tcPr>
          <w:p w:rsidR="00C63652" w:rsidRPr="00CA1271" w:rsidRDefault="00C63652" w:rsidP="007051A7">
            <w:pPr>
              <w:keepNext/>
              <w:rPr>
                <w:rFonts w:cstheme="minorHAnsi"/>
                <w:color w:val="000000"/>
                <w:szCs w:val="18"/>
                <w:lang w:eastAsia="en-AU"/>
              </w:rPr>
            </w:pPr>
            <w:r w:rsidRPr="00CA1271">
              <w:rPr>
                <w:rFonts w:cstheme="minorHAnsi"/>
                <w:color w:val="000000"/>
                <w:szCs w:val="18"/>
                <w:lang w:eastAsia="en-AU"/>
              </w:rPr>
              <w:t>10_016_0102_5_3</w:t>
            </w:r>
          </w:p>
        </w:tc>
        <w:tc>
          <w:tcPr>
            <w:tcW w:w="2972" w:type="dxa"/>
          </w:tcPr>
          <w:p w:rsidR="00C63652" w:rsidRPr="00CA1271" w:rsidRDefault="00C63652" w:rsidP="007051A7">
            <w:pPr>
              <w:keepNext/>
              <w:rPr>
                <w:rFonts w:cstheme="minorHAnsi"/>
                <w:color w:val="000000"/>
                <w:szCs w:val="18"/>
                <w:lang w:eastAsia="en-AU"/>
              </w:rPr>
            </w:pPr>
            <w:r w:rsidRPr="00CA1271">
              <w:rPr>
                <w:rFonts w:cstheme="minorHAnsi"/>
                <w:color w:val="000000"/>
                <w:szCs w:val="18"/>
                <w:lang w:eastAsia="en-AU"/>
              </w:rPr>
              <w:t>Individual Employment Support</w:t>
            </w:r>
          </w:p>
        </w:tc>
        <w:tc>
          <w:tcPr>
            <w:tcW w:w="4396" w:type="dxa"/>
            <w:gridSpan w:val="2"/>
            <w:vMerge w:val="restart"/>
          </w:tcPr>
          <w:p w:rsidR="00C63652" w:rsidRPr="00CA1271" w:rsidRDefault="00C63652" w:rsidP="007051A7">
            <w:pPr>
              <w:keepNext/>
              <w:rPr>
                <w:rFonts w:cstheme="minorHAnsi"/>
                <w:color w:val="000000"/>
                <w:szCs w:val="18"/>
                <w:lang w:eastAsia="en-AU"/>
              </w:rPr>
            </w:pPr>
            <w:r w:rsidRPr="00CA1271">
              <w:rPr>
                <w:rFonts w:cstheme="minorHAnsi"/>
                <w:color w:val="000000"/>
                <w:szCs w:val="18"/>
                <w:lang w:eastAsia="en-AU"/>
              </w:rPr>
              <w:t xml:space="preserve">This support can be applied to any working age participant (including students reaching working age) with an employment goal. This may include supports to: </w:t>
            </w:r>
            <w:r w:rsidRPr="00CA1271">
              <w:rPr>
                <w:rFonts w:cstheme="minorHAnsi"/>
                <w:color w:val="000000"/>
                <w:szCs w:val="18"/>
                <w:lang w:eastAsia="en-AU"/>
              </w:rPr>
              <w:br/>
              <w:t>• explore what work would mean for them (discovery</w:t>
            </w:r>
            <w:proofErr w:type="gramStart"/>
            <w:r w:rsidRPr="00CA1271">
              <w:rPr>
                <w:rFonts w:cstheme="minorHAnsi"/>
                <w:color w:val="000000"/>
                <w:szCs w:val="18"/>
                <w:lang w:eastAsia="en-AU"/>
              </w:rPr>
              <w:t>)</w:t>
            </w:r>
            <w:proofErr w:type="gramEnd"/>
            <w:r w:rsidRPr="00CA1271">
              <w:rPr>
                <w:rFonts w:cstheme="minorHAnsi"/>
                <w:color w:val="000000"/>
                <w:szCs w:val="18"/>
                <w:lang w:eastAsia="en-AU"/>
              </w:rPr>
              <w:br/>
              <w:t>• build essential foundation skills for work</w:t>
            </w:r>
            <w:r w:rsidRPr="00CA1271">
              <w:rPr>
                <w:rFonts w:cstheme="minorHAnsi"/>
                <w:color w:val="000000"/>
                <w:szCs w:val="18"/>
                <w:lang w:eastAsia="en-AU"/>
              </w:rPr>
              <w:br/>
              <w:t>• managing complex barriers to obtaining and sustaining employment</w:t>
            </w:r>
            <w:r w:rsidRPr="00CA1271">
              <w:rPr>
                <w:rFonts w:cstheme="minorHAnsi"/>
                <w:color w:val="000000"/>
                <w:szCs w:val="18"/>
                <w:lang w:eastAsia="en-AU"/>
              </w:rPr>
              <w:br/>
              <w:t>• specialised job customisation</w:t>
            </w:r>
            <w:r w:rsidRPr="00CA1271">
              <w:rPr>
                <w:rFonts w:cstheme="minorHAnsi"/>
                <w:color w:val="000000"/>
                <w:szCs w:val="18"/>
                <w:lang w:eastAsia="en-AU"/>
              </w:rPr>
              <w:br/>
              <w:t>• supports to transition from an ADE to open employment.</w:t>
            </w:r>
            <w:r w:rsidRPr="00CA1271">
              <w:rPr>
                <w:rFonts w:cstheme="minorHAnsi"/>
                <w:color w:val="000000"/>
                <w:szCs w:val="18"/>
                <w:lang w:eastAsia="en-AU"/>
              </w:rPr>
              <w:br/>
              <w:t>• develop a career plan</w:t>
            </w:r>
            <w:r w:rsidRPr="00CA1271">
              <w:rPr>
                <w:rFonts w:cstheme="minorHAnsi"/>
                <w:color w:val="000000"/>
                <w:szCs w:val="18"/>
                <w:lang w:eastAsia="en-AU"/>
              </w:rPr>
              <w:br/>
              <w:t xml:space="preserve">• other capacity building supports which are likely to lead to successful engagement in a DES. </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Pr>
        <w:tc>
          <w:tcPr>
            <w:tcW w:w="1841"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10_017_0102_5_3</w:t>
            </w:r>
          </w:p>
        </w:tc>
        <w:tc>
          <w:tcPr>
            <w:tcW w:w="2972"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Employment Preparation And Support In A Group - Group Of 3</w:t>
            </w:r>
          </w:p>
        </w:tc>
        <w:tc>
          <w:tcPr>
            <w:tcW w:w="4396" w:type="dxa"/>
            <w:gridSpan w:val="2"/>
            <w:vMerge/>
          </w:tcPr>
          <w:p w:rsidR="00C63652" w:rsidRPr="00CA1271" w:rsidRDefault="00C63652" w:rsidP="007051A7">
            <w:pPr>
              <w:rPr>
                <w:rFonts w:cstheme="minorHAnsi"/>
                <w:color w:val="000000"/>
                <w:szCs w:val="18"/>
                <w:lang w:eastAsia="en-AU"/>
              </w:rPr>
            </w:pPr>
          </w:p>
        </w:tc>
      </w:tr>
      <w:tr w:rsidR="002D1BA7" w:rsidRPr="00CA1271" w:rsidTr="00554B9C">
        <w:trPr>
          <w:gridAfter w:val="1"/>
          <w:wAfter w:w="10" w:type="dxa"/>
        </w:trPr>
        <w:tc>
          <w:tcPr>
            <w:tcW w:w="1841" w:type="dxa"/>
          </w:tcPr>
          <w:p w:rsidR="002D1BA7" w:rsidRPr="00CA1271" w:rsidRDefault="002D1BA7" w:rsidP="007051A7">
            <w:pPr>
              <w:rPr>
                <w:rFonts w:cstheme="minorHAnsi"/>
                <w:color w:val="000000"/>
                <w:szCs w:val="18"/>
                <w:lang w:eastAsia="en-AU"/>
              </w:rPr>
            </w:pPr>
            <w:r w:rsidRPr="00CA1271">
              <w:rPr>
                <w:rFonts w:cstheme="minorHAnsi"/>
                <w:color w:val="000000"/>
                <w:szCs w:val="18"/>
                <w:lang w:eastAsia="en-AU"/>
              </w:rPr>
              <w:t>11_024_0117_7_3</w:t>
            </w:r>
          </w:p>
        </w:tc>
        <w:tc>
          <w:tcPr>
            <w:tcW w:w="2972" w:type="dxa"/>
          </w:tcPr>
          <w:p w:rsidR="002D1BA7" w:rsidRPr="00CA1271" w:rsidRDefault="002D1BA7" w:rsidP="007051A7">
            <w:pPr>
              <w:rPr>
                <w:rFonts w:cstheme="minorHAnsi"/>
                <w:color w:val="000000"/>
                <w:szCs w:val="18"/>
                <w:lang w:eastAsia="en-AU"/>
              </w:rPr>
            </w:pPr>
            <w:r w:rsidRPr="00CA1271">
              <w:rPr>
                <w:rFonts w:cstheme="minorHAnsi"/>
                <w:color w:val="000000"/>
                <w:szCs w:val="18"/>
                <w:lang w:eastAsia="en-AU"/>
              </w:rPr>
              <w:t>Individual Social Skills Development</w:t>
            </w:r>
          </w:p>
        </w:tc>
        <w:tc>
          <w:tcPr>
            <w:tcW w:w="4386" w:type="dxa"/>
          </w:tcPr>
          <w:p w:rsidR="002D1BA7" w:rsidRPr="00CA1271" w:rsidRDefault="002D1BA7" w:rsidP="007051A7">
            <w:pPr>
              <w:rPr>
                <w:rFonts w:cstheme="minorHAnsi"/>
                <w:color w:val="000000"/>
                <w:szCs w:val="18"/>
                <w:lang w:eastAsia="en-AU"/>
              </w:rPr>
            </w:pPr>
            <w:r w:rsidRPr="00CA1271">
              <w:rPr>
                <w:rFonts w:cstheme="minorHAnsi"/>
                <w:color w:val="000000"/>
                <w:szCs w:val="18"/>
                <w:lang w:eastAsia="en-AU"/>
              </w:rPr>
              <w:t>Social skills development with an individual, for participation in community and social activities.</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Pr>
        <w:tc>
          <w:tcPr>
            <w:tcW w:w="1841"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13_030_0102_4_3</w:t>
            </w:r>
          </w:p>
        </w:tc>
        <w:tc>
          <w:tcPr>
            <w:tcW w:w="2972"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Transition Through School And To Further Education</w:t>
            </w:r>
          </w:p>
        </w:tc>
        <w:tc>
          <w:tcPr>
            <w:tcW w:w="4396" w:type="dxa"/>
            <w:gridSpan w:val="2"/>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Provision of skills training, advice, assistance with arrangements and orientation to assist a person with disability moving from school to further education.</w:t>
            </w:r>
          </w:p>
        </w:tc>
      </w:tr>
      <w:tr w:rsidR="00C63652" w:rsidRPr="00CA1271" w:rsidTr="00C63652">
        <w:tc>
          <w:tcPr>
            <w:tcW w:w="1841"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14_031_0127_8_3</w:t>
            </w:r>
          </w:p>
        </w:tc>
        <w:tc>
          <w:tcPr>
            <w:tcW w:w="2972"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Capacity Building and Training in Plan and Financial Management by a Plan Manager</w:t>
            </w:r>
          </w:p>
        </w:tc>
        <w:tc>
          <w:tcPr>
            <w:tcW w:w="4396" w:type="dxa"/>
            <w:gridSpan w:val="2"/>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Capacity building and training in plan administration and management with a participant to strengthen their ability to undertake tasks associated with the management of their supports. Providers of this support are to assist the participant to build capacity to undertake all aspects of plan administration and management, including: engaging providers; developing service agreements; maintaining records; claiming payments from the NDIA; and paying providers.</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Pr>
        <w:tc>
          <w:tcPr>
            <w:tcW w:w="1841"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15_035_0106_1_3</w:t>
            </w:r>
          </w:p>
        </w:tc>
        <w:tc>
          <w:tcPr>
            <w:tcW w:w="2972" w:type="dxa"/>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Assistance With Decision Making, Daily Planning and Budgeting</w:t>
            </w:r>
          </w:p>
        </w:tc>
        <w:tc>
          <w:tcPr>
            <w:tcW w:w="4396" w:type="dxa"/>
            <w:gridSpan w:val="2"/>
          </w:tcPr>
          <w:p w:rsidR="00C63652" w:rsidRPr="00CA1271" w:rsidRDefault="00C63652" w:rsidP="007051A7">
            <w:pPr>
              <w:rPr>
                <w:rFonts w:cstheme="minorHAnsi"/>
                <w:color w:val="000000"/>
                <w:szCs w:val="18"/>
                <w:lang w:eastAsia="en-AU"/>
              </w:rPr>
            </w:pPr>
            <w:r w:rsidRPr="00CA1271">
              <w:rPr>
                <w:rFonts w:cstheme="minorHAnsi"/>
                <w:color w:val="000000"/>
                <w:szCs w:val="18"/>
                <w:lang w:eastAsia="en-AU"/>
              </w:rPr>
              <w:t>Provision of time limited support to assist a person to develop and maintain daily budget, including assisting in planning purchases (including COVID19 loading).</w:t>
            </w:r>
          </w:p>
        </w:tc>
      </w:tr>
      <w:tr w:rsidR="00B616FE" w:rsidRPr="00CA1271" w:rsidTr="00554B9C">
        <w:trPr>
          <w:gridAfter w:val="1"/>
          <w:wAfter w:w="10" w:type="dxa"/>
        </w:trPr>
        <w:tc>
          <w:tcPr>
            <w:tcW w:w="1841" w:type="dxa"/>
          </w:tcPr>
          <w:p w:rsidR="00B616FE" w:rsidRPr="00CA1271" w:rsidRDefault="00B616FE" w:rsidP="007051A7">
            <w:pPr>
              <w:rPr>
                <w:rFonts w:cstheme="minorHAnsi"/>
                <w:color w:val="000000"/>
                <w:szCs w:val="18"/>
                <w:lang w:eastAsia="en-AU"/>
              </w:rPr>
            </w:pPr>
            <w:r w:rsidRPr="00CA1271">
              <w:rPr>
                <w:rFonts w:cstheme="minorHAnsi"/>
                <w:color w:val="000000"/>
                <w:szCs w:val="18"/>
                <w:lang w:eastAsia="en-AU"/>
              </w:rPr>
              <w:t>15_037_0117_1_3</w:t>
            </w:r>
          </w:p>
        </w:tc>
        <w:tc>
          <w:tcPr>
            <w:tcW w:w="2972" w:type="dxa"/>
          </w:tcPr>
          <w:p w:rsidR="00B616FE" w:rsidRPr="00CA1271" w:rsidRDefault="00B616FE" w:rsidP="007051A7">
            <w:pPr>
              <w:rPr>
                <w:rFonts w:cstheme="minorHAnsi"/>
                <w:color w:val="000000"/>
                <w:szCs w:val="18"/>
                <w:lang w:eastAsia="en-AU"/>
              </w:rPr>
            </w:pPr>
            <w:r w:rsidRPr="00CA1271">
              <w:rPr>
                <w:rFonts w:cstheme="minorHAnsi"/>
                <w:color w:val="000000"/>
                <w:szCs w:val="18"/>
                <w:lang w:eastAsia="en-AU"/>
              </w:rPr>
              <w:t>Individual Skill Development And Training Including Public Transport Training</w:t>
            </w:r>
          </w:p>
        </w:tc>
        <w:tc>
          <w:tcPr>
            <w:tcW w:w="4386" w:type="dxa"/>
          </w:tcPr>
          <w:p w:rsidR="00B616FE" w:rsidRPr="00CA1271" w:rsidRDefault="00B616FE" w:rsidP="007051A7">
            <w:pPr>
              <w:rPr>
                <w:rFonts w:cstheme="minorHAnsi"/>
                <w:color w:val="000000"/>
                <w:szCs w:val="18"/>
                <w:lang w:eastAsia="en-AU"/>
              </w:rPr>
            </w:pPr>
            <w:r w:rsidRPr="00CA1271">
              <w:rPr>
                <w:rFonts w:cstheme="minorHAnsi"/>
                <w:color w:val="000000"/>
                <w:szCs w:val="18"/>
                <w:lang w:eastAsia="en-AU"/>
              </w:rPr>
              <w:t>Individual training provided in the home for general life skills to increase independence.</w:t>
            </w:r>
          </w:p>
        </w:tc>
      </w:tr>
      <w:tr w:rsidR="00B616FE" w:rsidRPr="00CA1271" w:rsidTr="00554B9C">
        <w:trPr>
          <w:gridAfter w:val="1"/>
          <w:cnfStyle w:val="000000100000" w:firstRow="0" w:lastRow="0" w:firstColumn="0" w:lastColumn="0" w:oddVBand="0" w:evenVBand="0" w:oddHBand="1" w:evenHBand="0" w:firstRowFirstColumn="0" w:firstRowLastColumn="0" w:lastRowFirstColumn="0" w:lastRowLastColumn="0"/>
          <w:wAfter w:w="10" w:type="dxa"/>
        </w:trPr>
        <w:tc>
          <w:tcPr>
            <w:tcW w:w="1841" w:type="dxa"/>
          </w:tcPr>
          <w:p w:rsidR="00B616FE" w:rsidRPr="00CA1271" w:rsidRDefault="00B616FE" w:rsidP="007051A7">
            <w:pPr>
              <w:rPr>
                <w:rFonts w:cstheme="minorHAnsi"/>
                <w:color w:val="000000"/>
                <w:szCs w:val="18"/>
                <w:lang w:eastAsia="en-AU"/>
              </w:rPr>
            </w:pPr>
            <w:r w:rsidRPr="00CA1271">
              <w:rPr>
                <w:rFonts w:cstheme="minorHAnsi"/>
                <w:color w:val="000000"/>
                <w:szCs w:val="18"/>
                <w:lang w:eastAsia="en-AU"/>
              </w:rPr>
              <w:t>15_038_0117_1_3</w:t>
            </w:r>
          </w:p>
        </w:tc>
        <w:tc>
          <w:tcPr>
            <w:tcW w:w="2972" w:type="dxa"/>
          </w:tcPr>
          <w:p w:rsidR="00B616FE" w:rsidRPr="00CA1271" w:rsidRDefault="00B616FE" w:rsidP="007051A7">
            <w:pPr>
              <w:rPr>
                <w:rFonts w:cstheme="minorHAnsi"/>
                <w:color w:val="000000"/>
                <w:szCs w:val="18"/>
                <w:lang w:eastAsia="en-AU"/>
              </w:rPr>
            </w:pPr>
            <w:r w:rsidRPr="00CA1271">
              <w:rPr>
                <w:rFonts w:cstheme="minorHAnsi"/>
                <w:color w:val="000000"/>
                <w:szCs w:val="18"/>
                <w:lang w:eastAsia="en-AU"/>
              </w:rPr>
              <w:t>Training For Carers/Parents</w:t>
            </w:r>
          </w:p>
        </w:tc>
        <w:tc>
          <w:tcPr>
            <w:tcW w:w="4386" w:type="dxa"/>
          </w:tcPr>
          <w:p w:rsidR="00B616FE" w:rsidRPr="00CA1271" w:rsidRDefault="00B616FE" w:rsidP="007051A7">
            <w:pPr>
              <w:rPr>
                <w:rFonts w:cstheme="minorHAnsi"/>
                <w:color w:val="000000"/>
                <w:szCs w:val="18"/>
                <w:lang w:eastAsia="en-AU"/>
              </w:rPr>
            </w:pPr>
            <w:r w:rsidRPr="00CA1271">
              <w:rPr>
                <w:rFonts w:cstheme="minorHAnsi"/>
                <w:color w:val="000000"/>
                <w:szCs w:val="18"/>
                <w:lang w:eastAsia="en-AU"/>
              </w:rPr>
              <w:t>Training for carers in matters related to caring for a person with disability.</w:t>
            </w:r>
          </w:p>
        </w:tc>
      </w:tr>
    </w:tbl>
    <w:p w:rsidR="00C63652" w:rsidRPr="00CA1271" w:rsidRDefault="00C63652" w:rsidP="00C63652">
      <w:pPr>
        <w:pStyle w:val="Heading3"/>
      </w:pPr>
      <w:r w:rsidRPr="00CA1271">
        <w:t>Consumables</w:t>
      </w:r>
    </w:p>
    <w:p w:rsidR="00C63652" w:rsidRPr="00CA1271" w:rsidRDefault="00C63652" w:rsidP="00C63652">
      <w:r w:rsidRPr="00CA1271">
        <w:t>Some comparable schemes allow therapists to claim for the costs of consumables in some cases. Others do not. For example, Worksafe Victoria and the Transport Accident Commission Victoria consider that the hourly rate of Community Nursing includes travel and consumables. WorkSafe Victoria for example says that:</w:t>
      </w:r>
    </w:p>
    <w:p w:rsidR="00C63652" w:rsidRPr="00CA1271" w:rsidRDefault="00C63652" w:rsidP="00C63652">
      <w:pPr>
        <w:pStyle w:val="Quote1"/>
      </w:pPr>
      <w:r w:rsidRPr="00CA1271">
        <w:t>The Agent expects that health professionals will not invoice for consumables (i</w:t>
      </w:r>
      <w:r w:rsidR="00647B74" w:rsidRPr="00CA1271">
        <w:t>.</w:t>
      </w:r>
      <w:r w:rsidRPr="00CA1271">
        <w:t>e. tape, ultrasound gel, dry needles, wax therapy) used as a part of in-rooms treatment - the approved items are intended to be supplied for the worker to take home to assist with the management of their work-related injury or illness.</w:t>
      </w:r>
      <w:r w:rsidRPr="00CA1271">
        <w:rPr>
          <w:rStyle w:val="FootnoteReference"/>
        </w:rPr>
        <w:footnoteReference w:id="38"/>
      </w:r>
    </w:p>
    <w:p w:rsidR="00C63652" w:rsidRPr="00CA1271" w:rsidRDefault="00C63652" w:rsidP="00C63652">
      <w:r w:rsidRPr="00CA1271">
        <w:t xml:space="preserve">Conversely, </w:t>
      </w:r>
      <w:proofErr w:type="spellStart"/>
      <w:r w:rsidRPr="00CA1271">
        <w:t>Workcover</w:t>
      </w:r>
      <w:proofErr w:type="spellEnd"/>
      <w:r w:rsidRPr="00CA1271">
        <w:t xml:space="preserve"> Queensland permits allied health professionals to claim the following expenses</w:t>
      </w:r>
      <w:r w:rsidR="00B616FE" w:rsidRPr="00CA1271">
        <w:t xml:space="preserve">, </w:t>
      </w:r>
      <w:r w:rsidRPr="00CA1271">
        <w:t>on top of the fee for service</w:t>
      </w:r>
      <w:r w:rsidR="00B616FE" w:rsidRPr="00CA1271">
        <w:t>:</w:t>
      </w:r>
      <w:r w:rsidRPr="00CA1271">
        <w:t xml:space="preserve"> reasonable charges for incidental items the worker takes with them up to $57 per claim without prior approval; reasonable charges for supportive devices up to $199 per claim without prior approval; and </w:t>
      </w:r>
      <w:r w:rsidR="00B616FE" w:rsidRPr="00CA1271">
        <w:t>h</w:t>
      </w:r>
      <w:r w:rsidRPr="00CA1271">
        <w:t>ire equipment to be negotiated prior.</w:t>
      </w:r>
      <w:r w:rsidRPr="00CA1271">
        <w:rPr>
          <w:rStyle w:val="FootnoteReference"/>
        </w:rPr>
        <w:footnoteReference w:id="39"/>
      </w:r>
    </w:p>
    <w:p w:rsidR="00C63652" w:rsidRPr="00CA1271" w:rsidRDefault="00C63652" w:rsidP="00C63652">
      <w:pPr>
        <w:pStyle w:val="DotPoint"/>
      </w:pPr>
      <w:r w:rsidRPr="00CA1271">
        <w:t xml:space="preserve">Items that considered to be reasonable incidental expenses by </w:t>
      </w:r>
      <w:proofErr w:type="spellStart"/>
      <w:r w:rsidRPr="00CA1271">
        <w:t>Workcover</w:t>
      </w:r>
      <w:proofErr w:type="spellEnd"/>
      <w:r w:rsidRPr="00CA1271">
        <w:t xml:space="preserve"> Queensland are those that the worker actually takes with them – including bandages, elastic stockings, tape, crutches, </w:t>
      </w:r>
      <w:proofErr w:type="spellStart"/>
      <w:r w:rsidRPr="00CA1271">
        <w:t>theraputty</w:t>
      </w:r>
      <w:proofErr w:type="spellEnd"/>
      <w:r w:rsidRPr="00CA1271">
        <w:t xml:space="preserve">, </w:t>
      </w:r>
      <w:proofErr w:type="spellStart"/>
      <w:r w:rsidRPr="00CA1271">
        <w:t>theraband</w:t>
      </w:r>
      <w:proofErr w:type="spellEnd"/>
      <w:r w:rsidRPr="00CA1271">
        <w:t>, grippers, hand weights, audio tapes/CD, education booklets, and disposable wound management kits</w:t>
      </w:r>
      <w:r w:rsidR="00B616FE" w:rsidRPr="00CA1271">
        <w:t xml:space="preserve">. </w:t>
      </w:r>
      <w:r w:rsidRPr="00CA1271">
        <w:t xml:space="preserve">Tape may only be charged where a significant quantity is used. Items considered reasonable supportive device expenses must be shown to be necessary items for successful treatment of the compensable injury. </w:t>
      </w:r>
    </w:p>
    <w:p w:rsidR="00C63652" w:rsidRPr="00CA1271" w:rsidRDefault="00C63652" w:rsidP="00C63652">
      <w:pPr>
        <w:pStyle w:val="DotPoint"/>
      </w:pPr>
      <w:proofErr w:type="spellStart"/>
      <w:r w:rsidRPr="00CA1271">
        <w:t>Workco</w:t>
      </w:r>
      <w:r w:rsidR="007051A7" w:rsidRPr="00CA1271">
        <w:t>ver</w:t>
      </w:r>
      <w:proofErr w:type="spellEnd"/>
      <w:r w:rsidR="007051A7" w:rsidRPr="00CA1271">
        <w:t xml:space="preserve"> Queensland will not pay for:</w:t>
      </w:r>
      <w:r w:rsidRPr="00CA1271">
        <w:t xml:space="preserve"> items regarded as consumables used during the course of treatment – including towels, pillowcases, antiseptics, gels, tissues, disposable electrodes, </w:t>
      </w:r>
      <w:proofErr w:type="spellStart"/>
      <w:r w:rsidRPr="00CA1271">
        <w:t>bradflex</w:t>
      </w:r>
      <w:proofErr w:type="spellEnd"/>
      <w:r w:rsidRPr="00CA1271">
        <w:t xml:space="preserve"> tub</w:t>
      </w:r>
      <w:r w:rsidR="007051A7" w:rsidRPr="00CA1271">
        <w:t>ing, and small non-slip matting; and for</w:t>
      </w:r>
      <w:r w:rsidRPr="00CA1271">
        <w:t xml:space="preserve"> items/procedures that are undertaken in the course of normally doing business – including autoclaving/sterilisation of equipment, and laundry.</w:t>
      </w:r>
    </w:p>
    <w:p w:rsidR="00C63652" w:rsidRPr="00CA1271" w:rsidRDefault="00C63652" w:rsidP="00C63652">
      <w:pPr>
        <w:pStyle w:val="Heading2"/>
      </w:pPr>
      <w:bookmarkStart w:id="76" w:name="_Toc42014738"/>
      <w:r w:rsidRPr="00CA1271">
        <w:t>Discussion</w:t>
      </w:r>
      <w:bookmarkEnd w:id="76"/>
    </w:p>
    <w:p w:rsidR="00C63652" w:rsidRPr="00CA1271" w:rsidRDefault="00C63652" w:rsidP="00C63652">
      <w:pPr>
        <w:pStyle w:val="Heading3"/>
      </w:pPr>
      <w:r w:rsidRPr="00CA1271">
        <w:t>Price regulation</w:t>
      </w:r>
    </w:p>
    <w:p w:rsidR="00DF11BD" w:rsidRPr="00CA1271" w:rsidRDefault="00C63652" w:rsidP="00C63652">
      <w:r w:rsidRPr="00CA1271">
        <w:t xml:space="preserve">The </w:t>
      </w:r>
      <w:r w:rsidRPr="00CA1271">
        <w:rPr>
          <w:i/>
        </w:rPr>
        <w:t>Review of NDIS Therapy Pricing Arrangements</w:t>
      </w:r>
      <w:r w:rsidR="007051A7" w:rsidRPr="00CA1271">
        <w:t xml:space="preserve"> (the Therapy Review)</w:t>
      </w:r>
      <w:r w:rsidRPr="00CA1271">
        <w:t>, which reported in 2019, found that the NDIS accounts for an estimated 2.4</w:t>
      </w:r>
      <w:r w:rsidR="00E80A7C" w:rsidRPr="00CA1271">
        <w:t>%</w:t>
      </w:r>
      <w:r w:rsidRPr="00CA1271">
        <w:t xml:space="preserve"> of Australia’s established national therapy market, suggesting that it has limited capacity to influence market prices for therapy services and is instead a “price taker”. The Therapy Review </w:t>
      </w:r>
      <w:r w:rsidR="00BE523F" w:rsidRPr="00CA1271">
        <w:t xml:space="preserve">also </w:t>
      </w:r>
      <w:r w:rsidRPr="00CA1271">
        <w:t>found that while there are early signs of some competition in the NDIS market for therapy services, around 70</w:t>
      </w:r>
      <w:r w:rsidR="00E80A7C" w:rsidRPr="00CA1271">
        <w:t>%</w:t>
      </w:r>
      <w:r w:rsidRPr="00CA1271">
        <w:t xml:space="preserve"> of claims continued to be made at the price cap. It found that the distribution of claims also remains significantly different from the private market distribution</w:t>
      </w:r>
      <w:r w:rsidR="00BE523F" w:rsidRPr="00CA1271">
        <w:t xml:space="preserve">. On the basis of the evidence on market conditions and the sector consultations and benchmarking analysis outlined above, and in line with the principles of the </w:t>
      </w:r>
      <w:r w:rsidR="00BE523F" w:rsidRPr="00CA1271">
        <w:rPr>
          <w:i/>
        </w:rPr>
        <w:t>National Disability Insurance Scheme Act 2013</w:t>
      </w:r>
      <w:r w:rsidR="00BE523F" w:rsidRPr="00CA1271">
        <w:t>, including that a funded support must represent “value for money in that the costs of the support are reasonable, relative to both the benefits achieved and the cost of alternative support”, the Therapy Review recommended that the NDIA should maintain price caps on therapy services at least until the transition to the NDIS is complete and there is evidence that the distribution of NDIS payment claims is broadly in line with the distribution of prices observed in the private billing market.</w:t>
      </w:r>
      <w:r w:rsidRPr="00CA1271">
        <w:t xml:space="preserve"> The current </w:t>
      </w:r>
      <w:r w:rsidR="00B616FE" w:rsidRPr="00CA1271">
        <w:t xml:space="preserve">Annual Pricing </w:t>
      </w:r>
      <w:r w:rsidRPr="00CA1271">
        <w:t>Review agrees with the conclusion</w:t>
      </w:r>
      <w:r w:rsidR="00DF11BD" w:rsidRPr="00CA1271">
        <w:t xml:space="preserve">s of the Therapy Review. </w:t>
      </w:r>
    </w:p>
    <w:p w:rsidR="00DF11BD" w:rsidRPr="00CA1271" w:rsidRDefault="00DF11BD" w:rsidP="0026454C">
      <w:r w:rsidRPr="00CA1271">
        <w:t xml:space="preserve">The current Annual Pricing Review </w:t>
      </w:r>
      <w:r w:rsidR="00C63652" w:rsidRPr="00CA1271">
        <w:t xml:space="preserve">is </w:t>
      </w:r>
      <w:r w:rsidR="007051A7" w:rsidRPr="00CA1271">
        <w:t>however</w:t>
      </w:r>
      <w:r w:rsidR="00F53DCD" w:rsidRPr="00CA1271">
        <w:t xml:space="preserve"> </w:t>
      </w:r>
      <w:r w:rsidR="00C63652" w:rsidRPr="00CA1271">
        <w:t>concerned that there is some evidence that the NDIS price limits for therapy service may be distorting the market for therapy services.</w:t>
      </w:r>
      <w:r w:rsidR="00AF237F" w:rsidRPr="00CA1271">
        <w:t xml:space="preserve"> </w:t>
      </w:r>
      <w:r w:rsidRPr="00CA1271">
        <w:fldChar w:fldCharType="begin"/>
      </w:r>
      <w:r w:rsidRPr="00CA1271">
        <w:instrText xml:space="preserve"> REF _Ref37883576 \h  \* MERGEFORMAT </w:instrText>
      </w:r>
      <w:r w:rsidRPr="00CA1271">
        <w:fldChar w:fldCharType="separate"/>
      </w:r>
      <w:r w:rsidR="00B621CC" w:rsidRPr="00CA1271">
        <w:t>Table </w:t>
      </w:r>
      <w:r w:rsidR="00B621CC">
        <w:t>8</w:t>
      </w:r>
      <w:r w:rsidRPr="00CA1271">
        <w:fldChar w:fldCharType="end"/>
      </w:r>
      <w:r w:rsidRPr="00CA1271">
        <w:t xml:space="preserve"> compares the NDIS price limits with the fees paid by comparable schemes for occupational therapy, physiotherapy, psychology, speech pathology and exercise physiology.</w:t>
      </w:r>
    </w:p>
    <w:p w:rsidR="00DF11BD" w:rsidRPr="00CA1271" w:rsidRDefault="00DF11BD" w:rsidP="0026454C">
      <w:pPr>
        <w:pStyle w:val="Caption"/>
      </w:pPr>
      <w:bookmarkStart w:id="77" w:name="_Ref37883576"/>
      <w:bookmarkStart w:id="78" w:name="_Toc42014787"/>
      <w:r w:rsidRPr="00CA1271">
        <w:t>Table </w:t>
      </w:r>
      <w:r w:rsidRPr="00CA1271">
        <w:fldChar w:fldCharType="begin"/>
      </w:r>
      <w:r w:rsidRPr="00CA1271">
        <w:instrText xml:space="preserve"> SEQ Table \* ARABIC </w:instrText>
      </w:r>
      <w:r w:rsidRPr="00CA1271">
        <w:fldChar w:fldCharType="separate"/>
      </w:r>
      <w:r w:rsidR="00B621CC">
        <w:rPr>
          <w:noProof/>
        </w:rPr>
        <w:t>8</w:t>
      </w:r>
      <w:r w:rsidRPr="00CA1271">
        <w:fldChar w:fldCharType="end"/>
      </w:r>
      <w:bookmarkEnd w:id="77"/>
      <w:r w:rsidRPr="00CA1271">
        <w:t xml:space="preserve"> - NDIS </w:t>
      </w:r>
      <w:r w:rsidR="008E6A7F">
        <w:t>T</w:t>
      </w:r>
      <w:r w:rsidRPr="00CA1271">
        <w:t xml:space="preserve">herapy </w:t>
      </w:r>
      <w:r w:rsidR="008E6A7F">
        <w:t>P</w:t>
      </w:r>
      <w:r w:rsidRPr="00CA1271">
        <w:t xml:space="preserve">rice </w:t>
      </w:r>
      <w:r w:rsidR="008E6A7F">
        <w:t>Limit C</w:t>
      </w:r>
      <w:r w:rsidRPr="00CA1271">
        <w:t xml:space="preserve">omparison with </w:t>
      </w:r>
      <w:r w:rsidR="008E6A7F">
        <w:t>Other Schemes, Hourly R</w:t>
      </w:r>
      <w:r w:rsidRPr="00CA1271">
        <w:t>ates</w:t>
      </w:r>
      <w:bookmarkEnd w:id="78"/>
    </w:p>
    <w:tbl>
      <w:tblPr>
        <w:tblStyle w:val="GridTable4-Accent4"/>
        <w:tblW w:w="5000" w:type="pct"/>
        <w:tblLayout w:type="fixed"/>
        <w:tblLook w:val="0420" w:firstRow="1" w:lastRow="0" w:firstColumn="0" w:lastColumn="0" w:noHBand="0" w:noVBand="1"/>
        <w:tblCaption w:val="Table 8 - NDIS Therapy Price Limit Comparison with Other Schemes, Hourly Rates"/>
      </w:tblPr>
      <w:tblGrid>
        <w:gridCol w:w="661"/>
        <w:gridCol w:w="2625"/>
        <w:gridCol w:w="1155"/>
        <w:gridCol w:w="1154"/>
        <w:gridCol w:w="1156"/>
        <w:gridCol w:w="1154"/>
        <w:gridCol w:w="1156"/>
      </w:tblGrid>
      <w:tr w:rsidR="004B7C78" w:rsidRPr="00CA1271" w:rsidTr="00593582">
        <w:trPr>
          <w:cnfStyle w:val="100000000000" w:firstRow="1" w:lastRow="0" w:firstColumn="0" w:lastColumn="0" w:oddVBand="0" w:evenVBand="0" w:oddHBand="0" w:evenHBand="0" w:firstRowFirstColumn="0" w:firstRowLastColumn="0" w:lastRowFirstColumn="0" w:lastRowLastColumn="0"/>
          <w:tblHeader/>
        </w:trPr>
        <w:tc>
          <w:tcPr>
            <w:tcW w:w="364" w:type="pct"/>
          </w:tcPr>
          <w:p w:rsidR="004B7C78" w:rsidRPr="00CA1271" w:rsidRDefault="004B7C78" w:rsidP="0026454C">
            <w:pPr>
              <w:rPr>
                <w:rFonts w:cstheme="minorHAnsi"/>
                <w:sz w:val="16"/>
                <w:szCs w:val="16"/>
              </w:rPr>
            </w:pPr>
          </w:p>
        </w:tc>
        <w:tc>
          <w:tcPr>
            <w:tcW w:w="1448" w:type="pct"/>
            <w:vAlign w:val="center"/>
          </w:tcPr>
          <w:p w:rsidR="004B7C78" w:rsidRPr="00CA1271" w:rsidRDefault="004B7C78" w:rsidP="0026454C">
            <w:pPr>
              <w:rPr>
                <w:rFonts w:cstheme="minorHAnsi"/>
                <w:sz w:val="16"/>
                <w:szCs w:val="16"/>
              </w:rPr>
            </w:pP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Occupational Therapy</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Physio-therapy</w:t>
            </w:r>
          </w:p>
        </w:tc>
        <w:tc>
          <w:tcPr>
            <w:tcW w:w="638" w:type="pct"/>
            <w:vAlign w:val="center"/>
          </w:tcPr>
          <w:p w:rsidR="004B7C78" w:rsidRPr="00CA1271" w:rsidRDefault="004B7C78" w:rsidP="0026454C">
            <w:pPr>
              <w:jc w:val="center"/>
              <w:rPr>
                <w:rFonts w:cstheme="minorHAnsi"/>
                <w:sz w:val="16"/>
                <w:szCs w:val="16"/>
              </w:rPr>
            </w:pPr>
            <w:r w:rsidRPr="00CA1271">
              <w:rPr>
                <w:rFonts w:cstheme="minorHAnsi"/>
                <w:sz w:val="16"/>
                <w:szCs w:val="16"/>
              </w:rPr>
              <w:t>Psychology</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Speech Pathology</w:t>
            </w:r>
          </w:p>
        </w:tc>
        <w:tc>
          <w:tcPr>
            <w:tcW w:w="638" w:type="pct"/>
          </w:tcPr>
          <w:p w:rsidR="004B7C78" w:rsidRPr="00CA1271" w:rsidRDefault="004B7C78" w:rsidP="0026454C">
            <w:pPr>
              <w:jc w:val="center"/>
              <w:rPr>
                <w:rFonts w:cstheme="minorHAnsi"/>
                <w:sz w:val="16"/>
                <w:szCs w:val="16"/>
              </w:rPr>
            </w:pPr>
            <w:r w:rsidRPr="00CA1271">
              <w:rPr>
                <w:rFonts w:cstheme="minorHAnsi"/>
                <w:sz w:val="16"/>
                <w:szCs w:val="16"/>
              </w:rPr>
              <w:t>Exercise Physiology**</w:t>
            </w:r>
          </w:p>
        </w:tc>
      </w:tr>
      <w:tr w:rsidR="004B7C78" w:rsidRPr="00CA1271" w:rsidTr="004B7C78">
        <w:trPr>
          <w:cnfStyle w:val="000000100000" w:firstRow="0" w:lastRow="0" w:firstColumn="0" w:lastColumn="0" w:oddVBand="0" w:evenVBand="0" w:oddHBand="1" w:evenHBand="0" w:firstRowFirstColumn="0" w:firstRowLastColumn="0" w:lastRowFirstColumn="0" w:lastRowLastColumn="0"/>
        </w:trPr>
        <w:tc>
          <w:tcPr>
            <w:tcW w:w="364" w:type="pct"/>
          </w:tcPr>
          <w:p w:rsidR="004B7C78" w:rsidRPr="00CA1271" w:rsidRDefault="004B7C78" w:rsidP="0026454C">
            <w:pPr>
              <w:rPr>
                <w:rFonts w:cstheme="minorHAnsi"/>
                <w:b/>
                <w:sz w:val="16"/>
                <w:szCs w:val="16"/>
              </w:rPr>
            </w:pPr>
          </w:p>
        </w:tc>
        <w:tc>
          <w:tcPr>
            <w:tcW w:w="1448" w:type="pct"/>
            <w:vAlign w:val="center"/>
          </w:tcPr>
          <w:p w:rsidR="004B7C78" w:rsidRPr="00CA1271" w:rsidRDefault="004B7C78" w:rsidP="0026454C">
            <w:pPr>
              <w:rPr>
                <w:rFonts w:cstheme="minorHAnsi"/>
                <w:b/>
                <w:sz w:val="16"/>
                <w:szCs w:val="16"/>
              </w:rPr>
            </w:pPr>
            <w:r w:rsidRPr="00CA1271">
              <w:rPr>
                <w:rFonts w:cstheme="minorHAnsi"/>
                <w:b/>
                <w:sz w:val="16"/>
                <w:szCs w:val="16"/>
              </w:rPr>
              <w:t>NDIS (ACT/NSW/QLD/VIC)</w:t>
            </w:r>
          </w:p>
        </w:tc>
        <w:tc>
          <w:tcPr>
            <w:tcW w:w="637" w:type="pct"/>
            <w:vAlign w:val="center"/>
          </w:tcPr>
          <w:p w:rsidR="004B7C78" w:rsidRPr="00CA1271" w:rsidRDefault="004B7C78" w:rsidP="0026454C">
            <w:pPr>
              <w:jc w:val="center"/>
              <w:rPr>
                <w:rFonts w:cstheme="minorHAnsi"/>
                <w:b/>
                <w:sz w:val="16"/>
                <w:szCs w:val="16"/>
              </w:rPr>
            </w:pPr>
            <w:r w:rsidRPr="00CA1271">
              <w:rPr>
                <w:rFonts w:cstheme="minorHAnsi"/>
                <w:b/>
                <w:sz w:val="16"/>
                <w:szCs w:val="16"/>
              </w:rPr>
              <w:t>$193.99</w:t>
            </w:r>
          </w:p>
        </w:tc>
        <w:tc>
          <w:tcPr>
            <w:tcW w:w="637" w:type="pct"/>
            <w:vAlign w:val="center"/>
          </w:tcPr>
          <w:p w:rsidR="004B7C78" w:rsidRPr="00CA1271" w:rsidRDefault="004B7C78" w:rsidP="0026454C">
            <w:pPr>
              <w:jc w:val="center"/>
              <w:rPr>
                <w:rFonts w:cstheme="minorHAnsi"/>
                <w:b/>
                <w:sz w:val="16"/>
                <w:szCs w:val="16"/>
              </w:rPr>
            </w:pPr>
            <w:r w:rsidRPr="00CA1271">
              <w:rPr>
                <w:rFonts w:cstheme="minorHAnsi"/>
                <w:b/>
                <w:sz w:val="16"/>
                <w:szCs w:val="16"/>
              </w:rPr>
              <w:t>$193.99</w:t>
            </w:r>
          </w:p>
        </w:tc>
        <w:tc>
          <w:tcPr>
            <w:tcW w:w="638" w:type="pct"/>
            <w:vAlign w:val="center"/>
          </w:tcPr>
          <w:p w:rsidR="004B7C78" w:rsidRPr="00CA1271" w:rsidRDefault="004B7C78" w:rsidP="0026454C">
            <w:pPr>
              <w:jc w:val="center"/>
              <w:rPr>
                <w:rFonts w:cstheme="minorHAnsi"/>
                <w:b/>
                <w:sz w:val="16"/>
                <w:szCs w:val="16"/>
              </w:rPr>
            </w:pPr>
            <w:r w:rsidRPr="00CA1271">
              <w:rPr>
                <w:rFonts w:cstheme="minorHAnsi"/>
                <w:b/>
                <w:sz w:val="16"/>
                <w:szCs w:val="16"/>
              </w:rPr>
              <w:t>$214.41</w:t>
            </w:r>
          </w:p>
        </w:tc>
        <w:tc>
          <w:tcPr>
            <w:tcW w:w="637" w:type="pct"/>
            <w:vAlign w:val="center"/>
          </w:tcPr>
          <w:p w:rsidR="004B7C78" w:rsidRPr="00CA1271" w:rsidRDefault="004B7C78" w:rsidP="0026454C">
            <w:pPr>
              <w:jc w:val="center"/>
              <w:rPr>
                <w:rFonts w:cstheme="minorHAnsi"/>
                <w:b/>
                <w:sz w:val="16"/>
                <w:szCs w:val="16"/>
              </w:rPr>
            </w:pPr>
            <w:r w:rsidRPr="00CA1271">
              <w:rPr>
                <w:rFonts w:cstheme="minorHAnsi"/>
                <w:b/>
                <w:sz w:val="16"/>
                <w:szCs w:val="16"/>
              </w:rPr>
              <w:t>$193.99</w:t>
            </w:r>
          </w:p>
        </w:tc>
        <w:tc>
          <w:tcPr>
            <w:tcW w:w="638" w:type="pct"/>
          </w:tcPr>
          <w:p w:rsidR="004B7C78" w:rsidRPr="00CA1271" w:rsidRDefault="004B7C78" w:rsidP="0026454C">
            <w:pPr>
              <w:jc w:val="center"/>
              <w:rPr>
                <w:rFonts w:cstheme="minorHAnsi"/>
                <w:b/>
                <w:sz w:val="16"/>
                <w:szCs w:val="16"/>
              </w:rPr>
            </w:pPr>
            <w:r w:rsidRPr="00CA1271">
              <w:rPr>
                <w:rFonts w:cstheme="minorHAnsi"/>
                <w:b/>
                <w:sz w:val="16"/>
                <w:szCs w:val="16"/>
              </w:rPr>
              <w:t>$166.99</w:t>
            </w:r>
          </w:p>
        </w:tc>
      </w:tr>
      <w:tr w:rsidR="004B7C78" w:rsidRPr="00CA1271" w:rsidTr="004B7C78">
        <w:tc>
          <w:tcPr>
            <w:tcW w:w="364" w:type="pct"/>
          </w:tcPr>
          <w:p w:rsidR="004B7C78" w:rsidRPr="00CA1271" w:rsidRDefault="004B7C78" w:rsidP="0026454C">
            <w:pPr>
              <w:rPr>
                <w:rFonts w:cstheme="minorHAnsi"/>
                <w:b/>
                <w:sz w:val="16"/>
                <w:szCs w:val="16"/>
              </w:rPr>
            </w:pPr>
          </w:p>
        </w:tc>
        <w:tc>
          <w:tcPr>
            <w:tcW w:w="1448" w:type="pct"/>
            <w:vAlign w:val="center"/>
          </w:tcPr>
          <w:p w:rsidR="004B7C78" w:rsidRPr="00CA1271" w:rsidRDefault="004B7C78" w:rsidP="0026454C">
            <w:pPr>
              <w:rPr>
                <w:rFonts w:cstheme="minorHAnsi"/>
                <w:b/>
                <w:sz w:val="16"/>
                <w:szCs w:val="16"/>
              </w:rPr>
            </w:pPr>
            <w:r w:rsidRPr="00CA1271">
              <w:rPr>
                <w:rFonts w:cstheme="minorHAnsi"/>
                <w:b/>
                <w:sz w:val="16"/>
                <w:szCs w:val="16"/>
              </w:rPr>
              <w:t>NDIS (NT/SA/TAS/WA)</w:t>
            </w:r>
          </w:p>
        </w:tc>
        <w:tc>
          <w:tcPr>
            <w:tcW w:w="637" w:type="pct"/>
            <w:vAlign w:val="center"/>
          </w:tcPr>
          <w:p w:rsidR="004B7C78" w:rsidRPr="00CA1271" w:rsidRDefault="004B7C78" w:rsidP="0026454C">
            <w:pPr>
              <w:jc w:val="center"/>
              <w:rPr>
                <w:rFonts w:cstheme="minorHAnsi"/>
                <w:b/>
                <w:sz w:val="16"/>
                <w:szCs w:val="16"/>
              </w:rPr>
            </w:pPr>
            <w:r w:rsidRPr="00CA1271">
              <w:rPr>
                <w:rFonts w:cstheme="minorHAnsi"/>
                <w:b/>
                <w:sz w:val="16"/>
                <w:szCs w:val="16"/>
              </w:rPr>
              <w:t>$193.99</w:t>
            </w:r>
          </w:p>
        </w:tc>
        <w:tc>
          <w:tcPr>
            <w:tcW w:w="637" w:type="pct"/>
            <w:vAlign w:val="center"/>
          </w:tcPr>
          <w:p w:rsidR="004B7C78" w:rsidRPr="00CA1271" w:rsidRDefault="004B7C78" w:rsidP="0026454C">
            <w:pPr>
              <w:jc w:val="center"/>
              <w:rPr>
                <w:rFonts w:cstheme="minorHAnsi"/>
                <w:b/>
                <w:sz w:val="16"/>
                <w:szCs w:val="16"/>
              </w:rPr>
            </w:pPr>
            <w:r w:rsidRPr="00CA1271">
              <w:rPr>
                <w:rFonts w:cstheme="minorHAnsi"/>
                <w:b/>
                <w:sz w:val="16"/>
                <w:szCs w:val="16"/>
              </w:rPr>
              <w:t>$224.62</w:t>
            </w:r>
          </w:p>
        </w:tc>
        <w:tc>
          <w:tcPr>
            <w:tcW w:w="638" w:type="pct"/>
            <w:vAlign w:val="center"/>
          </w:tcPr>
          <w:p w:rsidR="004B7C78" w:rsidRPr="00CA1271" w:rsidRDefault="004B7C78" w:rsidP="0026454C">
            <w:pPr>
              <w:jc w:val="center"/>
              <w:rPr>
                <w:rFonts w:cstheme="minorHAnsi"/>
                <w:b/>
                <w:sz w:val="16"/>
                <w:szCs w:val="16"/>
              </w:rPr>
            </w:pPr>
            <w:r w:rsidRPr="00CA1271">
              <w:rPr>
                <w:rFonts w:cstheme="minorHAnsi"/>
                <w:b/>
                <w:sz w:val="16"/>
                <w:szCs w:val="16"/>
              </w:rPr>
              <w:t>$234.83</w:t>
            </w:r>
          </w:p>
        </w:tc>
        <w:tc>
          <w:tcPr>
            <w:tcW w:w="637" w:type="pct"/>
            <w:vAlign w:val="center"/>
          </w:tcPr>
          <w:p w:rsidR="004B7C78" w:rsidRPr="00CA1271" w:rsidRDefault="004B7C78" w:rsidP="0026454C">
            <w:pPr>
              <w:jc w:val="center"/>
              <w:rPr>
                <w:rFonts w:cstheme="minorHAnsi"/>
                <w:b/>
                <w:sz w:val="16"/>
                <w:szCs w:val="16"/>
              </w:rPr>
            </w:pPr>
            <w:r w:rsidRPr="00CA1271">
              <w:rPr>
                <w:rFonts w:cstheme="minorHAnsi"/>
                <w:b/>
                <w:sz w:val="16"/>
                <w:szCs w:val="16"/>
              </w:rPr>
              <w:t>$193.99</w:t>
            </w:r>
          </w:p>
        </w:tc>
        <w:tc>
          <w:tcPr>
            <w:tcW w:w="638" w:type="pct"/>
          </w:tcPr>
          <w:p w:rsidR="004B7C78" w:rsidRPr="00CA1271" w:rsidRDefault="004B7C78" w:rsidP="0026454C">
            <w:pPr>
              <w:jc w:val="center"/>
              <w:rPr>
                <w:rFonts w:cstheme="minorHAnsi"/>
                <w:b/>
                <w:sz w:val="16"/>
                <w:szCs w:val="16"/>
              </w:rPr>
            </w:pPr>
            <w:r w:rsidRPr="00CA1271">
              <w:rPr>
                <w:rFonts w:cstheme="minorHAnsi"/>
                <w:b/>
                <w:sz w:val="16"/>
                <w:szCs w:val="16"/>
              </w:rPr>
              <w:t>$166.99</w:t>
            </w:r>
          </w:p>
        </w:tc>
      </w:tr>
      <w:tr w:rsidR="004B7C78" w:rsidRPr="00CA1271" w:rsidTr="004B7C78">
        <w:trPr>
          <w:cnfStyle w:val="000000100000" w:firstRow="0" w:lastRow="0" w:firstColumn="0" w:lastColumn="0" w:oddVBand="0" w:evenVBand="0" w:oddHBand="1" w:evenHBand="0" w:firstRowFirstColumn="0" w:firstRowLastColumn="0" w:lastRowFirstColumn="0" w:lastRowLastColumn="0"/>
        </w:trPr>
        <w:tc>
          <w:tcPr>
            <w:tcW w:w="364" w:type="pct"/>
          </w:tcPr>
          <w:p w:rsidR="004B7C78" w:rsidRPr="00CA1271" w:rsidRDefault="004B7C78" w:rsidP="0026454C">
            <w:pPr>
              <w:rPr>
                <w:rFonts w:cstheme="minorHAnsi"/>
                <w:sz w:val="16"/>
                <w:szCs w:val="16"/>
              </w:rPr>
            </w:pPr>
            <w:r w:rsidRPr="00CA1271">
              <w:rPr>
                <w:rFonts w:cstheme="minorHAnsi"/>
                <w:sz w:val="16"/>
                <w:szCs w:val="16"/>
              </w:rPr>
              <w:t>NSW</w:t>
            </w:r>
          </w:p>
        </w:tc>
        <w:tc>
          <w:tcPr>
            <w:tcW w:w="1448" w:type="pct"/>
            <w:vAlign w:val="center"/>
          </w:tcPr>
          <w:p w:rsidR="004B7C78" w:rsidRPr="00CA1271" w:rsidRDefault="004B7C78" w:rsidP="0026454C">
            <w:pPr>
              <w:rPr>
                <w:rFonts w:cstheme="minorHAnsi"/>
                <w:sz w:val="16"/>
                <w:szCs w:val="16"/>
              </w:rPr>
            </w:pPr>
            <w:r w:rsidRPr="00CA1271">
              <w:rPr>
                <w:rFonts w:cstheme="minorHAnsi"/>
                <w:sz w:val="16"/>
                <w:szCs w:val="16"/>
              </w:rPr>
              <w:t>State Insurance Regulatory Authority</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$196.80</w:t>
            </w:r>
          </w:p>
        </w:tc>
        <w:tc>
          <w:tcPr>
            <w:tcW w:w="638" w:type="pct"/>
            <w:vAlign w:val="center"/>
          </w:tcPr>
          <w:p w:rsidR="004B7C78" w:rsidRPr="00CA1271" w:rsidRDefault="004B7C78" w:rsidP="0026454C">
            <w:pPr>
              <w:jc w:val="center"/>
              <w:rPr>
                <w:rFonts w:cstheme="minorHAnsi"/>
                <w:sz w:val="16"/>
                <w:szCs w:val="16"/>
              </w:rPr>
            </w:pPr>
            <w:r w:rsidRPr="00CA1271">
              <w:rPr>
                <w:rFonts w:cstheme="minorHAnsi"/>
                <w:sz w:val="16"/>
                <w:szCs w:val="16"/>
              </w:rPr>
              <w:t>$195.60</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w:t>
            </w:r>
          </w:p>
        </w:tc>
        <w:tc>
          <w:tcPr>
            <w:tcW w:w="638" w:type="pct"/>
          </w:tcPr>
          <w:p w:rsidR="004B7C78" w:rsidRPr="00CA1271" w:rsidRDefault="004B7C78" w:rsidP="0026454C">
            <w:pPr>
              <w:jc w:val="center"/>
              <w:rPr>
                <w:rFonts w:cstheme="minorHAnsi"/>
                <w:sz w:val="16"/>
                <w:szCs w:val="16"/>
              </w:rPr>
            </w:pPr>
            <w:r w:rsidRPr="00CA1271">
              <w:rPr>
                <w:rFonts w:cstheme="minorHAnsi"/>
                <w:sz w:val="16"/>
                <w:szCs w:val="16"/>
              </w:rPr>
              <w:t>$157.20</w:t>
            </w:r>
          </w:p>
        </w:tc>
      </w:tr>
      <w:tr w:rsidR="004B7C78" w:rsidRPr="00CA1271" w:rsidTr="004B7C78">
        <w:tc>
          <w:tcPr>
            <w:tcW w:w="364" w:type="pct"/>
          </w:tcPr>
          <w:p w:rsidR="004B7C78" w:rsidRPr="00CA1271" w:rsidRDefault="004B7C78" w:rsidP="0026454C">
            <w:pPr>
              <w:rPr>
                <w:rFonts w:cstheme="minorHAnsi"/>
                <w:sz w:val="16"/>
                <w:szCs w:val="16"/>
              </w:rPr>
            </w:pPr>
            <w:r w:rsidRPr="00CA1271">
              <w:rPr>
                <w:rFonts w:cstheme="minorHAnsi"/>
                <w:sz w:val="16"/>
                <w:szCs w:val="16"/>
              </w:rPr>
              <w:t>VIC</w:t>
            </w:r>
          </w:p>
        </w:tc>
        <w:tc>
          <w:tcPr>
            <w:tcW w:w="1448" w:type="pct"/>
            <w:vAlign w:val="center"/>
          </w:tcPr>
          <w:p w:rsidR="004B7C78" w:rsidRPr="00CA1271" w:rsidRDefault="004B7C78" w:rsidP="0026454C">
            <w:pPr>
              <w:rPr>
                <w:rFonts w:cstheme="minorHAnsi"/>
                <w:sz w:val="16"/>
                <w:szCs w:val="16"/>
              </w:rPr>
            </w:pPr>
            <w:r w:rsidRPr="00CA1271">
              <w:rPr>
                <w:rFonts w:cstheme="minorHAnsi"/>
                <w:sz w:val="16"/>
                <w:szCs w:val="16"/>
              </w:rPr>
              <w:t>Transport Accident Commission</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$106.47</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$122.29</w:t>
            </w:r>
          </w:p>
        </w:tc>
        <w:tc>
          <w:tcPr>
            <w:tcW w:w="638" w:type="pct"/>
            <w:vAlign w:val="center"/>
          </w:tcPr>
          <w:p w:rsidR="004B7C78" w:rsidRPr="00CA1271" w:rsidRDefault="004B7C78" w:rsidP="0026454C">
            <w:pPr>
              <w:jc w:val="center"/>
              <w:rPr>
                <w:rFonts w:cstheme="minorHAnsi"/>
                <w:sz w:val="16"/>
                <w:szCs w:val="16"/>
              </w:rPr>
            </w:pPr>
            <w:r w:rsidRPr="00CA1271">
              <w:rPr>
                <w:rFonts w:cstheme="minorHAnsi"/>
                <w:sz w:val="16"/>
                <w:szCs w:val="16"/>
              </w:rPr>
              <w:t>$166.12</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$96.90</w:t>
            </w:r>
          </w:p>
        </w:tc>
        <w:tc>
          <w:tcPr>
            <w:tcW w:w="638" w:type="pct"/>
          </w:tcPr>
          <w:p w:rsidR="004B7C78" w:rsidRPr="00CA1271" w:rsidRDefault="004B7C78" w:rsidP="0026454C">
            <w:pPr>
              <w:jc w:val="center"/>
              <w:rPr>
                <w:rFonts w:cstheme="minorHAnsi"/>
                <w:sz w:val="16"/>
                <w:szCs w:val="16"/>
              </w:rPr>
            </w:pPr>
            <w:r w:rsidRPr="00CA1271">
              <w:rPr>
                <w:rFonts w:cstheme="minorHAnsi"/>
                <w:sz w:val="16"/>
                <w:szCs w:val="16"/>
              </w:rPr>
              <w:t>$97.37</w:t>
            </w:r>
          </w:p>
        </w:tc>
      </w:tr>
      <w:tr w:rsidR="004B7C78" w:rsidRPr="00CA1271" w:rsidTr="004B7C78">
        <w:trPr>
          <w:cnfStyle w:val="000000100000" w:firstRow="0" w:lastRow="0" w:firstColumn="0" w:lastColumn="0" w:oddVBand="0" w:evenVBand="0" w:oddHBand="1" w:evenHBand="0" w:firstRowFirstColumn="0" w:firstRowLastColumn="0" w:lastRowFirstColumn="0" w:lastRowLastColumn="0"/>
        </w:trPr>
        <w:tc>
          <w:tcPr>
            <w:tcW w:w="364" w:type="pct"/>
          </w:tcPr>
          <w:p w:rsidR="004B7C78" w:rsidRPr="00CA1271" w:rsidRDefault="004B7C78" w:rsidP="0026454C">
            <w:pPr>
              <w:rPr>
                <w:rFonts w:cstheme="minorHAnsi"/>
                <w:sz w:val="16"/>
                <w:szCs w:val="16"/>
              </w:rPr>
            </w:pPr>
            <w:r w:rsidRPr="00CA1271">
              <w:rPr>
                <w:rFonts w:cstheme="minorHAnsi"/>
                <w:sz w:val="16"/>
                <w:szCs w:val="16"/>
              </w:rPr>
              <w:t>VIC</w:t>
            </w:r>
          </w:p>
        </w:tc>
        <w:tc>
          <w:tcPr>
            <w:tcW w:w="1448" w:type="pct"/>
            <w:vAlign w:val="center"/>
          </w:tcPr>
          <w:p w:rsidR="004B7C78" w:rsidRPr="00CA1271" w:rsidRDefault="004B7C78" w:rsidP="0026454C">
            <w:pPr>
              <w:rPr>
                <w:rFonts w:cstheme="minorHAnsi"/>
                <w:sz w:val="16"/>
                <w:szCs w:val="16"/>
              </w:rPr>
            </w:pPr>
            <w:r w:rsidRPr="00CA1271">
              <w:rPr>
                <w:rFonts w:cstheme="minorHAnsi"/>
                <w:sz w:val="16"/>
                <w:szCs w:val="16"/>
              </w:rPr>
              <w:t>Worksafe Victoria</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*$107.25</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*$128.29</w:t>
            </w:r>
          </w:p>
        </w:tc>
        <w:tc>
          <w:tcPr>
            <w:tcW w:w="638" w:type="pct"/>
            <w:vAlign w:val="center"/>
          </w:tcPr>
          <w:p w:rsidR="004B7C78" w:rsidRPr="00CA1271" w:rsidRDefault="004B7C78" w:rsidP="0026454C">
            <w:pPr>
              <w:jc w:val="center"/>
              <w:rPr>
                <w:rFonts w:cstheme="minorHAnsi"/>
                <w:sz w:val="16"/>
                <w:szCs w:val="16"/>
              </w:rPr>
            </w:pPr>
            <w:r w:rsidRPr="00CA1271">
              <w:rPr>
                <w:rFonts w:cstheme="minorHAnsi"/>
                <w:sz w:val="16"/>
                <w:szCs w:val="16"/>
              </w:rPr>
              <w:t>$170.76</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$97.07</w:t>
            </w:r>
          </w:p>
        </w:tc>
        <w:tc>
          <w:tcPr>
            <w:tcW w:w="638" w:type="pct"/>
          </w:tcPr>
          <w:p w:rsidR="004B7C78" w:rsidRPr="00CA1271" w:rsidRDefault="004B7C78" w:rsidP="0026454C">
            <w:pPr>
              <w:jc w:val="center"/>
              <w:rPr>
                <w:rFonts w:cstheme="minorHAnsi"/>
                <w:sz w:val="16"/>
                <w:szCs w:val="16"/>
              </w:rPr>
            </w:pPr>
            <w:r w:rsidRPr="00CA1271">
              <w:rPr>
                <w:rFonts w:cstheme="minorHAnsi"/>
                <w:sz w:val="16"/>
                <w:szCs w:val="16"/>
              </w:rPr>
              <w:t>$110.23</w:t>
            </w:r>
          </w:p>
        </w:tc>
      </w:tr>
      <w:tr w:rsidR="004B7C78" w:rsidRPr="00CA1271" w:rsidTr="004B7C78">
        <w:tc>
          <w:tcPr>
            <w:tcW w:w="364" w:type="pct"/>
          </w:tcPr>
          <w:p w:rsidR="004B7C78" w:rsidRPr="00CA1271" w:rsidRDefault="004B7C78" w:rsidP="0026454C">
            <w:pPr>
              <w:rPr>
                <w:rFonts w:cstheme="minorHAnsi"/>
                <w:sz w:val="16"/>
                <w:szCs w:val="16"/>
              </w:rPr>
            </w:pPr>
            <w:r w:rsidRPr="00CA1271">
              <w:rPr>
                <w:rFonts w:cstheme="minorHAnsi"/>
                <w:sz w:val="16"/>
                <w:szCs w:val="16"/>
              </w:rPr>
              <w:t>QLD</w:t>
            </w:r>
          </w:p>
        </w:tc>
        <w:tc>
          <w:tcPr>
            <w:tcW w:w="1448" w:type="pct"/>
            <w:vAlign w:val="center"/>
          </w:tcPr>
          <w:p w:rsidR="004B7C78" w:rsidRPr="00CA1271" w:rsidRDefault="004C0DEF" w:rsidP="0026454C">
            <w:pPr>
              <w:rPr>
                <w:rFonts w:cstheme="minorHAnsi"/>
                <w:sz w:val="16"/>
                <w:szCs w:val="16"/>
              </w:rPr>
            </w:pPr>
            <w:r w:rsidRPr="00CA1271">
              <w:rPr>
                <w:rFonts w:cstheme="minorHAnsi"/>
                <w:sz w:val="16"/>
                <w:szCs w:val="16"/>
              </w:rPr>
              <w:t>WorkC</w:t>
            </w:r>
            <w:r w:rsidR="004B7C78" w:rsidRPr="00CA1271">
              <w:rPr>
                <w:rFonts w:cstheme="minorHAnsi"/>
                <w:sz w:val="16"/>
                <w:szCs w:val="16"/>
              </w:rPr>
              <w:t>over Queensland</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$183.00</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$183.00</w:t>
            </w:r>
          </w:p>
        </w:tc>
        <w:tc>
          <w:tcPr>
            <w:tcW w:w="638" w:type="pct"/>
            <w:vAlign w:val="center"/>
          </w:tcPr>
          <w:p w:rsidR="004B7C78" w:rsidRPr="00CA1271" w:rsidRDefault="004B7C78" w:rsidP="0026454C">
            <w:pPr>
              <w:jc w:val="center"/>
              <w:rPr>
                <w:rFonts w:cstheme="minorHAnsi"/>
                <w:sz w:val="16"/>
                <w:szCs w:val="16"/>
              </w:rPr>
            </w:pPr>
            <w:r w:rsidRPr="00CA1271">
              <w:rPr>
                <w:rFonts w:cstheme="minorHAnsi"/>
                <w:sz w:val="16"/>
                <w:szCs w:val="16"/>
              </w:rPr>
              <w:t>$183.00</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$183.00</w:t>
            </w:r>
          </w:p>
        </w:tc>
        <w:tc>
          <w:tcPr>
            <w:tcW w:w="638" w:type="pct"/>
          </w:tcPr>
          <w:p w:rsidR="004B7C78" w:rsidRPr="00CA1271" w:rsidRDefault="004B7C78" w:rsidP="0026454C">
            <w:pPr>
              <w:jc w:val="center"/>
              <w:rPr>
                <w:rFonts w:cstheme="minorHAnsi"/>
                <w:sz w:val="16"/>
                <w:szCs w:val="16"/>
              </w:rPr>
            </w:pPr>
            <w:r w:rsidRPr="00CA1271">
              <w:rPr>
                <w:rFonts w:cstheme="minorHAnsi"/>
                <w:sz w:val="16"/>
                <w:szCs w:val="16"/>
              </w:rPr>
              <w:t>$183.00</w:t>
            </w:r>
          </w:p>
        </w:tc>
      </w:tr>
      <w:tr w:rsidR="004B7C78" w:rsidRPr="00CA1271" w:rsidTr="004B7C78">
        <w:trPr>
          <w:cnfStyle w:val="000000100000" w:firstRow="0" w:lastRow="0" w:firstColumn="0" w:lastColumn="0" w:oddVBand="0" w:evenVBand="0" w:oddHBand="1" w:evenHBand="0" w:firstRowFirstColumn="0" w:firstRowLastColumn="0" w:lastRowFirstColumn="0" w:lastRowLastColumn="0"/>
        </w:trPr>
        <w:tc>
          <w:tcPr>
            <w:tcW w:w="364" w:type="pct"/>
          </w:tcPr>
          <w:p w:rsidR="004B7C78" w:rsidRPr="00CA1271" w:rsidRDefault="004B7C78" w:rsidP="0026454C">
            <w:pPr>
              <w:rPr>
                <w:rFonts w:cstheme="minorHAnsi"/>
                <w:sz w:val="16"/>
                <w:szCs w:val="16"/>
              </w:rPr>
            </w:pPr>
            <w:r w:rsidRPr="00CA1271">
              <w:rPr>
                <w:rFonts w:cstheme="minorHAnsi"/>
                <w:sz w:val="16"/>
                <w:szCs w:val="16"/>
              </w:rPr>
              <w:t>SA</w:t>
            </w:r>
          </w:p>
        </w:tc>
        <w:tc>
          <w:tcPr>
            <w:tcW w:w="1448" w:type="pct"/>
            <w:vAlign w:val="center"/>
          </w:tcPr>
          <w:p w:rsidR="004B7C78" w:rsidRPr="00CA1271" w:rsidRDefault="004B7C78" w:rsidP="0026454C">
            <w:pPr>
              <w:rPr>
                <w:rFonts w:cstheme="minorHAnsi"/>
                <w:sz w:val="16"/>
                <w:szCs w:val="16"/>
              </w:rPr>
            </w:pPr>
            <w:r w:rsidRPr="00CA1271">
              <w:rPr>
                <w:rFonts w:cstheme="minorHAnsi"/>
                <w:sz w:val="16"/>
                <w:szCs w:val="16"/>
              </w:rPr>
              <w:t>Return to Work South Australia</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$185.40</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$185.40</w:t>
            </w:r>
          </w:p>
        </w:tc>
        <w:tc>
          <w:tcPr>
            <w:tcW w:w="638" w:type="pct"/>
            <w:vAlign w:val="center"/>
          </w:tcPr>
          <w:p w:rsidR="004B7C78" w:rsidRPr="00CA1271" w:rsidRDefault="004B7C78" w:rsidP="0026454C">
            <w:pPr>
              <w:jc w:val="center"/>
              <w:rPr>
                <w:rFonts w:cstheme="minorHAnsi"/>
                <w:sz w:val="16"/>
                <w:szCs w:val="16"/>
              </w:rPr>
            </w:pPr>
            <w:r w:rsidRPr="00CA1271">
              <w:rPr>
                <w:rFonts w:cstheme="minorHAnsi"/>
                <w:sz w:val="16"/>
                <w:szCs w:val="16"/>
              </w:rPr>
              <w:t>$185.40</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$185.40</w:t>
            </w:r>
          </w:p>
        </w:tc>
        <w:tc>
          <w:tcPr>
            <w:tcW w:w="638" w:type="pct"/>
          </w:tcPr>
          <w:p w:rsidR="004B7C78" w:rsidRPr="00CA1271" w:rsidRDefault="004B7C78" w:rsidP="0026454C">
            <w:pPr>
              <w:jc w:val="center"/>
              <w:rPr>
                <w:rFonts w:cstheme="minorHAnsi"/>
                <w:sz w:val="16"/>
                <w:szCs w:val="16"/>
              </w:rPr>
            </w:pPr>
            <w:r w:rsidRPr="00CA1271">
              <w:rPr>
                <w:rFonts w:cstheme="minorHAnsi"/>
                <w:sz w:val="16"/>
                <w:szCs w:val="16"/>
              </w:rPr>
              <w:t>$147.00</w:t>
            </w:r>
          </w:p>
        </w:tc>
      </w:tr>
      <w:tr w:rsidR="004B7C78" w:rsidRPr="00CA1271" w:rsidTr="004B7C78">
        <w:tc>
          <w:tcPr>
            <w:tcW w:w="364" w:type="pct"/>
          </w:tcPr>
          <w:p w:rsidR="004B7C78" w:rsidRPr="00CA1271" w:rsidRDefault="004B7C78" w:rsidP="0026454C">
            <w:pPr>
              <w:rPr>
                <w:rFonts w:cstheme="minorHAnsi"/>
                <w:sz w:val="16"/>
                <w:szCs w:val="16"/>
              </w:rPr>
            </w:pPr>
            <w:r w:rsidRPr="00CA1271">
              <w:rPr>
                <w:rFonts w:cstheme="minorHAnsi"/>
                <w:sz w:val="16"/>
                <w:szCs w:val="16"/>
              </w:rPr>
              <w:t>WA</w:t>
            </w:r>
          </w:p>
        </w:tc>
        <w:tc>
          <w:tcPr>
            <w:tcW w:w="1448" w:type="pct"/>
            <w:vAlign w:val="center"/>
          </w:tcPr>
          <w:p w:rsidR="004B7C78" w:rsidRPr="00CA1271" w:rsidRDefault="004C0DEF" w:rsidP="0026454C">
            <w:pPr>
              <w:rPr>
                <w:rFonts w:cstheme="minorHAnsi"/>
                <w:sz w:val="16"/>
                <w:szCs w:val="16"/>
              </w:rPr>
            </w:pPr>
            <w:r w:rsidRPr="00CA1271">
              <w:rPr>
                <w:rFonts w:cstheme="minorHAnsi"/>
                <w:sz w:val="16"/>
                <w:szCs w:val="16"/>
              </w:rPr>
              <w:t>WorkC</w:t>
            </w:r>
            <w:r w:rsidR="004B7C78" w:rsidRPr="00CA1271">
              <w:rPr>
                <w:rFonts w:cstheme="minorHAnsi"/>
                <w:sz w:val="16"/>
                <w:szCs w:val="16"/>
              </w:rPr>
              <w:t>over Western Australia</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$198.20</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$200.25</w:t>
            </w:r>
          </w:p>
        </w:tc>
        <w:tc>
          <w:tcPr>
            <w:tcW w:w="638" w:type="pct"/>
            <w:vAlign w:val="center"/>
          </w:tcPr>
          <w:p w:rsidR="004B7C78" w:rsidRPr="00CA1271" w:rsidRDefault="004B7C78" w:rsidP="0026454C">
            <w:pPr>
              <w:jc w:val="center"/>
              <w:rPr>
                <w:rFonts w:cstheme="minorHAnsi"/>
                <w:sz w:val="16"/>
                <w:szCs w:val="16"/>
              </w:rPr>
            </w:pPr>
            <w:r w:rsidRPr="00CA1271">
              <w:rPr>
                <w:rFonts w:cstheme="minorHAnsi"/>
                <w:sz w:val="16"/>
                <w:szCs w:val="16"/>
              </w:rPr>
              <w:t>$253.70</w:t>
            </w:r>
          </w:p>
        </w:tc>
        <w:tc>
          <w:tcPr>
            <w:tcW w:w="637" w:type="pct"/>
            <w:vAlign w:val="center"/>
          </w:tcPr>
          <w:p w:rsidR="004B7C78" w:rsidRPr="00CA1271" w:rsidRDefault="00197D33" w:rsidP="00197D33">
            <w:pPr>
              <w:jc w:val="center"/>
              <w:rPr>
                <w:rFonts w:cstheme="minorHAnsi"/>
                <w:sz w:val="16"/>
                <w:szCs w:val="16"/>
              </w:rPr>
            </w:pPr>
            <w:r w:rsidRPr="00CA1271">
              <w:rPr>
                <w:rFonts w:cstheme="minorHAnsi"/>
                <w:sz w:val="16"/>
                <w:szCs w:val="16"/>
              </w:rPr>
              <w:t>*</w:t>
            </w:r>
            <w:r w:rsidR="004B7C78" w:rsidRPr="00CA1271">
              <w:rPr>
                <w:rFonts w:cstheme="minorHAnsi"/>
                <w:sz w:val="16"/>
                <w:szCs w:val="16"/>
              </w:rPr>
              <w:t>$</w:t>
            </w:r>
            <w:r w:rsidRPr="00CA1271">
              <w:rPr>
                <w:rFonts w:cstheme="minorHAnsi"/>
                <w:sz w:val="16"/>
                <w:szCs w:val="16"/>
              </w:rPr>
              <w:t>139.35</w:t>
            </w:r>
          </w:p>
        </w:tc>
        <w:tc>
          <w:tcPr>
            <w:tcW w:w="638" w:type="pct"/>
          </w:tcPr>
          <w:p w:rsidR="004B7C78" w:rsidRPr="00CA1271" w:rsidRDefault="004B7C78" w:rsidP="0026454C">
            <w:pPr>
              <w:jc w:val="center"/>
              <w:rPr>
                <w:rFonts w:cstheme="minorHAnsi"/>
                <w:sz w:val="16"/>
                <w:szCs w:val="16"/>
              </w:rPr>
            </w:pPr>
            <w:r w:rsidRPr="00CA1271">
              <w:rPr>
                <w:rFonts w:cstheme="minorHAnsi"/>
                <w:sz w:val="16"/>
                <w:szCs w:val="16"/>
              </w:rPr>
              <w:t>$200.25</w:t>
            </w:r>
          </w:p>
        </w:tc>
      </w:tr>
      <w:tr w:rsidR="004B7C78" w:rsidRPr="00CA1271" w:rsidTr="004B7C78">
        <w:trPr>
          <w:cnfStyle w:val="000000100000" w:firstRow="0" w:lastRow="0" w:firstColumn="0" w:lastColumn="0" w:oddVBand="0" w:evenVBand="0" w:oddHBand="1" w:evenHBand="0" w:firstRowFirstColumn="0" w:firstRowLastColumn="0" w:lastRowFirstColumn="0" w:lastRowLastColumn="0"/>
        </w:trPr>
        <w:tc>
          <w:tcPr>
            <w:tcW w:w="364" w:type="pct"/>
          </w:tcPr>
          <w:p w:rsidR="004B7C78" w:rsidRPr="00CA1271" w:rsidRDefault="004B7C78" w:rsidP="0026454C">
            <w:pPr>
              <w:rPr>
                <w:rFonts w:cstheme="minorHAnsi"/>
                <w:sz w:val="16"/>
                <w:szCs w:val="16"/>
              </w:rPr>
            </w:pPr>
            <w:r w:rsidRPr="00CA1271">
              <w:rPr>
                <w:rFonts w:cstheme="minorHAnsi"/>
                <w:sz w:val="16"/>
                <w:szCs w:val="16"/>
              </w:rPr>
              <w:t>TAS</w:t>
            </w:r>
          </w:p>
        </w:tc>
        <w:tc>
          <w:tcPr>
            <w:tcW w:w="1448" w:type="pct"/>
            <w:vAlign w:val="center"/>
          </w:tcPr>
          <w:p w:rsidR="004B7C78" w:rsidRPr="00CA1271" w:rsidRDefault="004B7C78" w:rsidP="0026454C">
            <w:pPr>
              <w:rPr>
                <w:rFonts w:cstheme="minorHAnsi"/>
                <w:sz w:val="16"/>
                <w:szCs w:val="16"/>
              </w:rPr>
            </w:pPr>
            <w:proofErr w:type="spellStart"/>
            <w:r w:rsidRPr="00CA1271">
              <w:rPr>
                <w:rFonts w:cstheme="minorHAnsi"/>
                <w:sz w:val="16"/>
                <w:szCs w:val="16"/>
              </w:rPr>
              <w:t>Comcare</w:t>
            </w:r>
            <w:proofErr w:type="spellEnd"/>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*$205.80</w:t>
            </w:r>
          </w:p>
        </w:tc>
        <w:tc>
          <w:tcPr>
            <w:tcW w:w="638" w:type="pct"/>
            <w:vAlign w:val="center"/>
          </w:tcPr>
          <w:p w:rsidR="004B7C78" w:rsidRPr="00CA1271" w:rsidRDefault="004B7C78" w:rsidP="0026454C">
            <w:pPr>
              <w:jc w:val="center"/>
              <w:rPr>
                <w:rFonts w:cstheme="minorHAnsi"/>
                <w:sz w:val="16"/>
                <w:szCs w:val="16"/>
              </w:rPr>
            </w:pPr>
            <w:r w:rsidRPr="00CA1271">
              <w:rPr>
                <w:rFonts w:cstheme="minorHAnsi"/>
                <w:sz w:val="16"/>
                <w:szCs w:val="16"/>
              </w:rPr>
              <w:t>*$242.50</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w:t>
            </w:r>
          </w:p>
        </w:tc>
        <w:tc>
          <w:tcPr>
            <w:tcW w:w="638" w:type="pct"/>
          </w:tcPr>
          <w:p w:rsidR="004B7C78" w:rsidRPr="00CA1271" w:rsidRDefault="004B7C78" w:rsidP="0026454C">
            <w:pPr>
              <w:jc w:val="center"/>
              <w:rPr>
                <w:rFonts w:cstheme="minorHAnsi"/>
                <w:sz w:val="16"/>
                <w:szCs w:val="16"/>
              </w:rPr>
            </w:pPr>
            <w:r w:rsidRPr="00CA1271">
              <w:rPr>
                <w:rFonts w:cstheme="minorHAnsi"/>
                <w:sz w:val="16"/>
                <w:szCs w:val="16"/>
              </w:rPr>
              <w:t>-</w:t>
            </w:r>
          </w:p>
        </w:tc>
      </w:tr>
      <w:tr w:rsidR="004B7C78" w:rsidRPr="00CA1271" w:rsidTr="004B7C78">
        <w:tc>
          <w:tcPr>
            <w:tcW w:w="364" w:type="pct"/>
          </w:tcPr>
          <w:p w:rsidR="004B7C78" w:rsidRPr="00CA1271" w:rsidRDefault="004B7C78" w:rsidP="0026454C">
            <w:pPr>
              <w:rPr>
                <w:rFonts w:cstheme="minorHAnsi"/>
                <w:sz w:val="16"/>
                <w:szCs w:val="16"/>
              </w:rPr>
            </w:pPr>
            <w:r w:rsidRPr="00CA1271">
              <w:rPr>
                <w:rFonts w:cstheme="minorHAnsi"/>
                <w:sz w:val="16"/>
                <w:szCs w:val="16"/>
              </w:rPr>
              <w:t>ACT</w:t>
            </w:r>
          </w:p>
        </w:tc>
        <w:tc>
          <w:tcPr>
            <w:tcW w:w="1448" w:type="pct"/>
            <w:vAlign w:val="center"/>
          </w:tcPr>
          <w:p w:rsidR="004B7C78" w:rsidRPr="00CA1271" w:rsidRDefault="004B7C78" w:rsidP="0026454C">
            <w:pPr>
              <w:rPr>
                <w:rFonts w:cstheme="minorHAnsi"/>
                <w:sz w:val="16"/>
                <w:szCs w:val="16"/>
              </w:rPr>
            </w:pPr>
            <w:proofErr w:type="spellStart"/>
            <w:r w:rsidRPr="00CA1271">
              <w:rPr>
                <w:rFonts w:cstheme="minorHAnsi"/>
                <w:sz w:val="16"/>
                <w:szCs w:val="16"/>
              </w:rPr>
              <w:t>Comcare</w:t>
            </w:r>
            <w:proofErr w:type="spellEnd"/>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*$191.12</w:t>
            </w:r>
          </w:p>
        </w:tc>
        <w:tc>
          <w:tcPr>
            <w:tcW w:w="638" w:type="pct"/>
            <w:vAlign w:val="center"/>
          </w:tcPr>
          <w:p w:rsidR="004B7C78" w:rsidRPr="00CA1271" w:rsidRDefault="004B7C78" w:rsidP="0026454C">
            <w:pPr>
              <w:jc w:val="center"/>
              <w:rPr>
                <w:rFonts w:cstheme="minorHAnsi"/>
                <w:sz w:val="16"/>
                <w:szCs w:val="16"/>
              </w:rPr>
            </w:pPr>
            <w:r w:rsidRPr="00CA1271">
              <w:rPr>
                <w:rFonts w:cstheme="minorHAnsi"/>
                <w:sz w:val="16"/>
                <w:szCs w:val="16"/>
              </w:rPr>
              <w:t>*$242.50</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w:t>
            </w:r>
          </w:p>
        </w:tc>
        <w:tc>
          <w:tcPr>
            <w:tcW w:w="638" w:type="pct"/>
          </w:tcPr>
          <w:p w:rsidR="004B7C78" w:rsidRPr="00CA1271" w:rsidRDefault="004B7C78" w:rsidP="0026454C">
            <w:pPr>
              <w:jc w:val="center"/>
              <w:rPr>
                <w:rFonts w:cstheme="minorHAnsi"/>
                <w:sz w:val="16"/>
                <w:szCs w:val="16"/>
              </w:rPr>
            </w:pPr>
            <w:r w:rsidRPr="00CA1271">
              <w:rPr>
                <w:rFonts w:cstheme="minorHAnsi"/>
                <w:sz w:val="16"/>
                <w:szCs w:val="16"/>
              </w:rPr>
              <w:t>-</w:t>
            </w:r>
          </w:p>
        </w:tc>
      </w:tr>
      <w:tr w:rsidR="004B7C78" w:rsidRPr="00CA1271" w:rsidTr="004B7C78">
        <w:trPr>
          <w:cnfStyle w:val="000000100000" w:firstRow="0" w:lastRow="0" w:firstColumn="0" w:lastColumn="0" w:oddVBand="0" w:evenVBand="0" w:oddHBand="1" w:evenHBand="0" w:firstRowFirstColumn="0" w:firstRowLastColumn="0" w:lastRowFirstColumn="0" w:lastRowLastColumn="0"/>
        </w:trPr>
        <w:tc>
          <w:tcPr>
            <w:tcW w:w="364" w:type="pct"/>
          </w:tcPr>
          <w:p w:rsidR="004B7C78" w:rsidRPr="00CA1271" w:rsidRDefault="004B7C78" w:rsidP="0026454C">
            <w:pPr>
              <w:rPr>
                <w:rFonts w:cstheme="minorHAnsi"/>
                <w:sz w:val="16"/>
                <w:szCs w:val="16"/>
              </w:rPr>
            </w:pPr>
            <w:r w:rsidRPr="00CA1271">
              <w:rPr>
                <w:rFonts w:cstheme="minorHAnsi"/>
                <w:sz w:val="16"/>
                <w:szCs w:val="16"/>
              </w:rPr>
              <w:t>NT</w:t>
            </w:r>
          </w:p>
        </w:tc>
        <w:tc>
          <w:tcPr>
            <w:tcW w:w="1448" w:type="pct"/>
            <w:vAlign w:val="center"/>
          </w:tcPr>
          <w:p w:rsidR="004B7C78" w:rsidRPr="00CA1271" w:rsidRDefault="004B7C78" w:rsidP="0026454C">
            <w:pPr>
              <w:rPr>
                <w:rFonts w:cstheme="minorHAnsi"/>
                <w:sz w:val="16"/>
                <w:szCs w:val="16"/>
              </w:rPr>
            </w:pPr>
            <w:proofErr w:type="spellStart"/>
            <w:r w:rsidRPr="00CA1271">
              <w:rPr>
                <w:rFonts w:cstheme="minorHAnsi"/>
                <w:sz w:val="16"/>
                <w:szCs w:val="16"/>
              </w:rPr>
              <w:t>Comcare</w:t>
            </w:r>
            <w:proofErr w:type="spellEnd"/>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$181.98</w:t>
            </w:r>
          </w:p>
        </w:tc>
        <w:tc>
          <w:tcPr>
            <w:tcW w:w="638" w:type="pct"/>
            <w:vAlign w:val="center"/>
          </w:tcPr>
          <w:p w:rsidR="004B7C78" w:rsidRPr="00CA1271" w:rsidRDefault="004B7C78" w:rsidP="0026454C">
            <w:pPr>
              <w:jc w:val="center"/>
              <w:rPr>
                <w:rFonts w:cstheme="minorHAnsi"/>
                <w:sz w:val="16"/>
                <w:szCs w:val="16"/>
              </w:rPr>
            </w:pPr>
            <w:r w:rsidRPr="00CA1271">
              <w:rPr>
                <w:rFonts w:cstheme="minorHAnsi"/>
                <w:sz w:val="16"/>
                <w:szCs w:val="16"/>
              </w:rPr>
              <w:t>*$242.50</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w:t>
            </w:r>
          </w:p>
        </w:tc>
        <w:tc>
          <w:tcPr>
            <w:tcW w:w="638" w:type="pct"/>
          </w:tcPr>
          <w:p w:rsidR="004B7C78" w:rsidRPr="00CA1271" w:rsidRDefault="004B7C78" w:rsidP="0026454C">
            <w:pPr>
              <w:jc w:val="center"/>
              <w:rPr>
                <w:rFonts w:cstheme="minorHAnsi"/>
                <w:sz w:val="16"/>
                <w:szCs w:val="16"/>
              </w:rPr>
            </w:pPr>
            <w:r w:rsidRPr="00CA1271">
              <w:rPr>
                <w:rFonts w:cstheme="minorHAnsi"/>
                <w:sz w:val="16"/>
                <w:szCs w:val="16"/>
              </w:rPr>
              <w:t>-</w:t>
            </w:r>
          </w:p>
        </w:tc>
      </w:tr>
      <w:tr w:rsidR="004B7C78" w:rsidRPr="00CA1271" w:rsidTr="004B7C78">
        <w:tc>
          <w:tcPr>
            <w:tcW w:w="364" w:type="pct"/>
          </w:tcPr>
          <w:p w:rsidR="004B7C78" w:rsidRPr="00CA1271" w:rsidRDefault="004B7C78" w:rsidP="0026454C">
            <w:pPr>
              <w:rPr>
                <w:rFonts w:cstheme="minorHAnsi"/>
                <w:sz w:val="16"/>
                <w:szCs w:val="16"/>
              </w:rPr>
            </w:pPr>
          </w:p>
        </w:tc>
        <w:tc>
          <w:tcPr>
            <w:tcW w:w="1448" w:type="pct"/>
            <w:vAlign w:val="center"/>
          </w:tcPr>
          <w:p w:rsidR="004B7C78" w:rsidRPr="00CA1271" w:rsidRDefault="004B7C78" w:rsidP="0026454C">
            <w:pPr>
              <w:rPr>
                <w:rFonts w:cstheme="minorHAnsi"/>
                <w:sz w:val="16"/>
                <w:szCs w:val="16"/>
              </w:rPr>
            </w:pPr>
            <w:r w:rsidRPr="00CA1271">
              <w:rPr>
                <w:rFonts w:cstheme="minorHAnsi"/>
                <w:sz w:val="16"/>
                <w:szCs w:val="16"/>
              </w:rPr>
              <w:t>Department of Veterans Affairs</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$89.70 per consultation</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$65.30 per consultation</w:t>
            </w:r>
          </w:p>
        </w:tc>
        <w:tc>
          <w:tcPr>
            <w:tcW w:w="638" w:type="pct"/>
            <w:vAlign w:val="center"/>
          </w:tcPr>
          <w:p w:rsidR="004B7C78" w:rsidRPr="00CA1271" w:rsidRDefault="004B7C78" w:rsidP="0026454C">
            <w:pPr>
              <w:jc w:val="center"/>
              <w:rPr>
                <w:rFonts w:cstheme="minorHAnsi"/>
                <w:sz w:val="16"/>
                <w:szCs w:val="16"/>
              </w:rPr>
            </w:pPr>
            <w:r w:rsidRPr="00CA1271">
              <w:rPr>
                <w:rFonts w:cstheme="minorHAnsi"/>
                <w:sz w:val="16"/>
                <w:szCs w:val="16"/>
              </w:rPr>
              <w:t>$104.60 per consultation</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$109.20</w:t>
            </w:r>
          </w:p>
        </w:tc>
        <w:tc>
          <w:tcPr>
            <w:tcW w:w="638" w:type="pct"/>
          </w:tcPr>
          <w:p w:rsidR="004B7C78" w:rsidRPr="00CA1271" w:rsidRDefault="004B7C78" w:rsidP="0026454C">
            <w:pPr>
              <w:jc w:val="center"/>
              <w:rPr>
                <w:rFonts w:cstheme="minorHAnsi"/>
                <w:sz w:val="16"/>
                <w:szCs w:val="16"/>
              </w:rPr>
            </w:pPr>
            <w:r w:rsidRPr="00CA1271">
              <w:rPr>
                <w:rFonts w:cstheme="minorHAnsi"/>
                <w:sz w:val="16"/>
                <w:szCs w:val="16"/>
              </w:rPr>
              <w:t>$65.30 per consultation</w:t>
            </w:r>
          </w:p>
        </w:tc>
      </w:tr>
      <w:tr w:rsidR="004B7C78" w:rsidRPr="00CA1271" w:rsidTr="004B7C78">
        <w:trPr>
          <w:cnfStyle w:val="000000100000" w:firstRow="0" w:lastRow="0" w:firstColumn="0" w:lastColumn="0" w:oddVBand="0" w:evenVBand="0" w:oddHBand="1" w:evenHBand="0" w:firstRowFirstColumn="0" w:firstRowLastColumn="0" w:lastRowFirstColumn="0" w:lastRowLastColumn="0"/>
        </w:trPr>
        <w:tc>
          <w:tcPr>
            <w:tcW w:w="364" w:type="pct"/>
          </w:tcPr>
          <w:p w:rsidR="004B7C78" w:rsidRPr="00CA1271" w:rsidRDefault="004B7C78" w:rsidP="0026454C">
            <w:pPr>
              <w:rPr>
                <w:rFonts w:cstheme="minorHAnsi"/>
                <w:sz w:val="16"/>
                <w:szCs w:val="16"/>
              </w:rPr>
            </w:pPr>
          </w:p>
        </w:tc>
        <w:tc>
          <w:tcPr>
            <w:tcW w:w="1448" w:type="pct"/>
            <w:vAlign w:val="center"/>
          </w:tcPr>
          <w:p w:rsidR="004B7C78" w:rsidRPr="00CA1271" w:rsidRDefault="004B7C78" w:rsidP="0026454C">
            <w:pPr>
              <w:rPr>
                <w:rFonts w:cstheme="minorHAnsi"/>
                <w:sz w:val="16"/>
                <w:szCs w:val="16"/>
              </w:rPr>
            </w:pPr>
            <w:r w:rsidRPr="00CA1271">
              <w:rPr>
                <w:rFonts w:cstheme="minorHAnsi"/>
                <w:sz w:val="16"/>
                <w:szCs w:val="16"/>
              </w:rPr>
              <w:t>Medicare Benefits Schedule***</w:t>
            </w:r>
          </w:p>
          <w:p w:rsidR="004B7C78" w:rsidRPr="00CA1271" w:rsidRDefault="004B7C78" w:rsidP="0026454C">
            <w:pPr>
              <w:rPr>
                <w:rFonts w:cstheme="minorHAnsi"/>
                <w:sz w:val="16"/>
                <w:szCs w:val="16"/>
              </w:rPr>
            </w:pPr>
            <w:r w:rsidRPr="00CA1271">
              <w:rPr>
                <w:rFonts w:cstheme="minorHAnsi"/>
                <w:sz w:val="16"/>
                <w:szCs w:val="16"/>
              </w:rPr>
              <w:t>(consultation &gt; 20 minutes)</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$63.25 per consultation</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$63.25 per consultation</w:t>
            </w:r>
          </w:p>
        </w:tc>
        <w:tc>
          <w:tcPr>
            <w:tcW w:w="638" w:type="pct"/>
            <w:vAlign w:val="center"/>
          </w:tcPr>
          <w:p w:rsidR="004B7C78" w:rsidRPr="00CA1271" w:rsidRDefault="004B7C78" w:rsidP="0026454C">
            <w:pPr>
              <w:jc w:val="center"/>
              <w:rPr>
                <w:rFonts w:cstheme="minorHAnsi"/>
                <w:sz w:val="16"/>
                <w:szCs w:val="16"/>
              </w:rPr>
            </w:pPr>
            <w:r w:rsidRPr="00CA1271">
              <w:rPr>
                <w:rFonts w:cstheme="minorHAnsi"/>
                <w:sz w:val="16"/>
                <w:szCs w:val="16"/>
              </w:rPr>
              <w:t>$63.25 per consultation</w:t>
            </w:r>
          </w:p>
        </w:tc>
        <w:tc>
          <w:tcPr>
            <w:tcW w:w="637" w:type="pct"/>
            <w:vAlign w:val="center"/>
          </w:tcPr>
          <w:p w:rsidR="004B7C78" w:rsidRPr="00CA1271" w:rsidRDefault="004B7C78" w:rsidP="0026454C">
            <w:pPr>
              <w:jc w:val="center"/>
              <w:rPr>
                <w:rFonts w:cstheme="minorHAnsi"/>
                <w:sz w:val="16"/>
                <w:szCs w:val="16"/>
              </w:rPr>
            </w:pPr>
            <w:r w:rsidRPr="00CA1271">
              <w:rPr>
                <w:rFonts w:cstheme="minorHAnsi"/>
                <w:sz w:val="16"/>
                <w:szCs w:val="16"/>
              </w:rPr>
              <w:t>$63.25 per consultation</w:t>
            </w:r>
          </w:p>
        </w:tc>
        <w:tc>
          <w:tcPr>
            <w:tcW w:w="638" w:type="pct"/>
          </w:tcPr>
          <w:p w:rsidR="004B7C78" w:rsidRPr="00CA1271" w:rsidRDefault="004B7C78" w:rsidP="0026454C">
            <w:pPr>
              <w:jc w:val="center"/>
              <w:rPr>
                <w:rFonts w:cstheme="minorHAnsi"/>
                <w:sz w:val="16"/>
                <w:szCs w:val="16"/>
              </w:rPr>
            </w:pPr>
            <w:r w:rsidRPr="00CA1271">
              <w:rPr>
                <w:rFonts w:cstheme="minorHAnsi"/>
                <w:sz w:val="16"/>
                <w:szCs w:val="16"/>
              </w:rPr>
              <w:t>$63.25 per consultation</w:t>
            </w:r>
          </w:p>
        </w:tc>
      </w:tr>
    </w:tbl>
    <w:p w:rsidR="00DF11BD" w:rsidRPr="00CA1271" w:rsidRDefault="00DF11BD" w:rsidP="0026454C">
      <w:pPr>
        <w:spacing w:before="0" w:after="0" w:line="240" w:lineRule="auto"/>
        <w:ind w:left="567" w:hanging="567"/>
        <w:rPr>
          <w:sz w:val="16"/>
          <w:szCs w:val="16"/>
        </w:rPr>
      </w:pPr>
      <w:r w:rsidRPr="00CA1271">
        <w:rPr>
          <w:sz w:val="16"/>
          <w:szCs w:val="16"/>
        </w:rPr>
        <w:t xml:space="preserve">NOTES: </w:t>
      </w:r>
      <w:r w:rsidRPr="00CA1271">
        <w:rPr>
          <w:sz w:val="16"/>
          <w:szCs w:val="16"/>
        </w:rPr>
        <w:tab/>
        <w:t xml:space="preserve">Current hourly maximum rates as published excluding temporary measures (NDIS – COVID 10% increase). </w:t>
      </w:r>
    </w:p>
    <w:p w:rsidR="00DF11BD" w:rsidRPr="00CA1271" w:rsidRDefault="00DF11BD" w:rsidP="0026454C">
      <w:pPr>
        <w:spacing w:before="0" w:after="0" w:line="240" w:lineRule="auto"/>
        <w:ind w:left="567"/>
        <w:rPr>
          <w:sz w:val="16"/>
          <w:szCs w:val="16"/>
        </w:rPr>
      </w:pPr>
      <w:r w:rsidRPr="00CA1271">
        <w:rPr>
          <w:sz w:val="16"/>
          <w:szCs w:val="16"/>
        </w:rPr>
        <w:t xml:space="preserve">* Hourly rates estimated where consultation rates stated in fee schedule. </w:t>
      </w:r>
    </w:p>
    <w:p w:rsidR="00DF11BD" w:rsidRPr="00CA1271" w:rsidRDefault="00DF11BD" w:rsidP="0026454C">
      <w:pPr>
        <w:spacing w:before="0" w:after="0" w:line="240" w:lineRule="auto"/>
        <w:ind w:left="567"/>
        <w:rPr>
          <w:sz w:val="16"/>
          <w:szCs w:val="16"/>
        </w:rPr>
      </w:pPr>
      <w:r w:rsidRPr="00CA1271">
        <w:rPr>
          <w:sz w:val="16"/>
          <w:szCs w:val="16"/>
        </w:rPr>
        <w:t>**Rates for other schemes are the GST exclusive rate; rates for the NDIS are the GST inclusive rate.</w:t>
      </w:r>
    </w:p>
    <w:p w:rsidR="00DE6833" w:rsidRPr="00CA1271" w:rsidRDefault="00DE6833" w:rsidP="0026454C">
      <w:pPr>
        <w:spacing w:before="0" w:line="240" w:lineRule="auto"/>
        <w:ind w:left="567"/>
        <w:rPr>
          <w:sz w:val="16"/>
          <w:szCs w:val="16"/>
        </w:rPr>
      </w:pPr>
      <w:r w:rsidRPr="00CA1271">
        <w:rPr>
          <w:sz w:val="16"/>
          <w:szCs w:val="16"/>
        </w:rPr>
        <w:t>*** Medicare Benefits Schedule</w:t>
      </w:r>
      <w:r w:rsidR="007A6D82" w:rsidRPr="00CA1271">
        <w:rPr>
          <w:sz w:val="16"/>
          <w:szCs w:val="16"/>
        </w:rPr>
        <w:t xml:space="preserve"> Fee </w:t>
      </w:r>
      <w:r w:rsidRPr="00CA1271">
        <w:rPr>
          <w:sz w:val="16"/>
          <w:szCs w:val="16"/>
        </w:rPr>
        <w:t xml:space="preserve">for </w:t>
      </w:r>
      <w:r w:rsidR="007A6D82" w:rsidRPr="00CA1271">
        <w:rPr>
          <w:sz w:val="16"/>
          <w:szCs w:val="16"/>
        </w:rPr>
        <w:t>Allied Health S</w:t>
      </w:r>
      <w:r w:rsidR="0064255F" w:rsidRPr="00CA1271">
        <w:rPr>
          <w:sz w:val="16"/>
          <w:szCs w:val="16"/>
        </w:rPr>
        <w:t>ervices for Chronic Disease Management</w:t>
      </w:r>
    </w:p>
    <w:p w:rsidR="004C0DEF" w:rsidRPr="00CA1271" w:rsidRDefault="004C0DEF" w:rsidP="0026454C">
      <w:r w:rsidRPr="00CA1271">
        <w:t>In brief:</w:t>
      </w:r>
    </w:p>
    <w:p w:rsidR="00F67209" w:rsidRPr="00CA1271" w:rsidRDefault="007051A7" w:rsidP="004C0DEF">
      <w:pPr>
        <w:pStyle w:val="DotPoint"/>
      </w:pPr>
      <w:r w:rsidRPr="00CA1271">
        <w:t xml:space="preserve">The </w:t>
      </w:r>
      <w:r w:rsidR="00DF11BD" w:rsidRPr="00CA1271">
        <w:t xml:space="preserve">NDIS price limits </w:t>
      </w:r>
      <w:r w:rsidRPr="00CA1271">
        <w:t xml:space="preserve">for New South Wales </w:t>
      </w:r>
      <w:r w:rsidR="00F67209" w:rsidRPr="00CA1271">
        <w:t xml:space="preserve">are on par with the fees published by the State Insurance Regulatory Authority for physiotherapy and exercise physiology (adjusting for GST) but are higher for psychology. </w:t>
      </w:r>
    </w:p>
    <w:p w:rsidR="00F67209" w:rsidRPr="00CA1271" w:rsidRDefault="00F67209" w:rsidP="004C0DEF">
      <w:pPr>
        <w:pStyle w:val="DotPoint"/>
      </w:pPr>
      <w:r w:rsidRPr="00CA1271">
        <w:t>The NDIS price limits for Victoria are much higher (62</w:t>
      </w:r>
      <w:r w:rsidR="004C0DEF" w:rsidRPr="00CA1271">
        <w:t>.0</w:t>
      </w:r>
      <w:r w:rsidRPr="00CA1271">
        <w:t>% on average) than those of the two Victoria schemes across all of the allied health disciplines.</w:t>
      </w:r>
    </w:p>
    <w:p w:rsidR="00F67209" w:rsidRPr="00CA1271" w:rsidRDefault="00F67209" w:rsidP="004C0DEF">
      <w:pPr>
        <w:pStyle w:val="DotPoint"/>
      </w:pPr>
      <w:r w:rsidRPr="00CA1271">
        <w:t xml:space="preserve">The NDIS price limits for Queensland are slightly higher (8.8% on average) than those of </w:t>
      </w:r>
      <w:r w:rsidR="004C0DEF" w:rsidRPr="00CA1271">
        <w:t>WorkC</w:t>
      </w:r>
      <w:r w:rsidRPr="00CA1271">
        <w:t>over Queensland across all of the allied health disciplines except</w:t>
      </w:r>
      <w:r w:rsidR="004C0DEF" w:rsidRPr="00CA1271">
        <w:t xml:space="preserve"> exercise physiolo</w:t>
      </w:r>
      <w:r w:rsidRPr="00CA1271">
        <w:t xml:space="preserve">gy, where the </w:t>
      </w:r>
      <w:r w:rsidR="004C0DEF" w:rsidRPr="00CA1271">
        <w:t>WorkC</w:t>
      </w:r>
      <w:r w:rsidRPr="00CA1271">
        <w:t xml:space="preserve">over Queensland rate is </w:t>
      </w:r>
      <w:r w:rsidR="004C0DEF" w:rsidRPr="00CA1271">
        <w:t>20.5% higher than the NDIS rate (adjusted for GST)</w:t>
      </w:r>
      <w:r w:rsidRPr="00CA1271">
        <w:t>.</w:t>
      </w:r>
    </w:p>
    <w:p w:rsidR="004C0DEF" w:rsidRPr="00CA1271" w:rsidRDefault="004C0DEF" w:rsidP="004C0DEF">
      <w:pPr>
        <w:pStyle w:val="DotPoint"/>
      </w:pPr>
      <w:r w:rsidRPr="00CA1271">
        <w:t>The NDIS price limits for South Australia are all higher (12.1% on average) than those of Return to Work South Australia across all of the allied health disciplines.</w:t>
      </w:r>
    </w:p>
    <w:p w:rsidR="004C0DEF" w:rsidRPr="00CA1271" w:rsidRDefault="004C0DEF" w:rsidP="004C0DEF">
      <w:pPr>
        <w:pStyle w:val="DotPoint"/>
      </w:pPr>
      <w:r w:rsidRPr="00CA1271">
        <w:t>The NDIS price limits for Western Australia are higher (25.7 % on average) than those for WorkCover Western Australia for physiotherapy and speech pathology; and lower (11.3% on average) for occupational therapy, psychology and exercise physiology (adjusted for GST).</w:t>
      </w:r>
    </w:p>
    <w:p w:rsidR="00AF237F" w:rsidRPr="00CA1271" w:rsidRDefault="004C0DEF" w:rsidP="00C63652">
      <w:r w:rsidRPr="00CA1271">
        <w:t>These differences</w:t>
      </w:r>
      <w:r w:rsidR="007051A7" w:rsidRPr="00CA1271">
        <w:t xml:space="preserve"> </w:t>
      </w:r>
      <w:r w:rsidRPr="00CA1271">
        <w:t xml:space="preserve">warrant </w:t>
      </w:r>
      <w:r w:rsidR="00DF11BD" w:rsidRPr="00CA1271">
        <w:t xml:space="preserve">further investigation. It can, however, be very difficult to compare NDIS price limits with the fees payable in other Schemes as those fees are not always expressed as hourly rates and there may be other payments also made to providers. </w:t>
      </w:r>
      <w:r w:rsidR="007051A7" w:rsidRPr="00CA1271">
        <w:t>The complexity of the different arrangements for</w:t>
      </w:r>
      <w:r w:rsidR="00AF237F" w:rsidRPr="00CA1271">
        <w:t xml:space="preserve"> physiotherapy, </w:t>
      </w:r>
      <w:r w:rsidR="007051A7" w:rsidRPr="00CA1271">
        <w:t>as an</w:t>
      </w:r>
      <w:r w:rsidR="00AF237F" w:rsidRPr="00CA1271">
        <w:t xml:space="preserve"> example</w:t>
      </w:r>
      <w:r w:rsidR="007051A7" w:rsidRPr="00CA1271">
        <w:t>, is as follows</w:t>
      </w:r>
      <w:r w:rsidR="00AF237F" w:rsidRPr="00CA1271">
        <w:t>:</w:t>
      </w:r>
    </w:p>
    <w:p w:rsidR="00AF237F" w:rsidRPr="00CA1271" w:rsidRDefault="00AF237F" w:rsidP="00AF237F">
      <w:pPr>
        <w:pStyle w:val="DotPoint"/>
      </w:pPr>
      <w:r w:rsidRPr="00CA1271">
        <w:t xml:space="preserve">NDIS – The hourly rate is $193.99 in ACT/NSW/QLD/VIC and </w:t>
      </w:r>
      <w:r w:rsidR="00F53DCD" w:rsidRPr="00CA1271">
        <w:t>$224.62 per hour in NT/SA/TAS/WA</w:t>
      </w:r>
      <w:r w:rsidRPr="00CA1271">
        <w:t xml:space="preserve">. </w:t>
      </w:r>
      <w:r w:rsidR="00F53DCD" w:rsidRPr="00CA1271">
        <w:t xml:space="preserve">Providers </w:t>
      </w:r>
      <w:r w:rsidRPr="00CA1271">
        <w:t>can also claim for the time that they spend travelling at the hourly rate, up to certain limits. They cannot, however, seek separate reimbursement of any non-labour costs associated with their travel.</w:t>
      </w:r>
    </w:p>
    <w:p w:rsidR="00F53DCD" w:rsidRPr="00CA1271" w:rsidRDefault="00F53DCD" w:rsidP="00EC7284">
      <w:pPr>
        <w:pStyle w:val="DotPoint"/>
      </w:pPr>
      <w:r w:rsidRPr="00CA1271">
        <w:t xml:space="preserve">State Insurance Regulatory Authority New South Wales – The </w:t>
      </w:r>
      <w:r w:rsidR="00D8516E" w:rsidRPr="00CA1271">
        <w:t xml:space="preserve">regulated </w:t>
      </w:r>
      <w:r w:rsidRPr="00CA1271">
        <w:t xml:space="preserve">fee is $83.30 for a standard consultation and treatment; $125.50 for a consultation and treatment of two distinct areas; and $166.30 for complex treatment. An hourly rate of $196.80 is also </w:t>
      </w:r>
      <w:r w:rsidR="00D8516E" w:rsidRPr="00CA1271">
        <w:t>published</w:t>
      </w:r>
      <w:r w:rsidRPr="00CA1271">
        <w:t>.</w:t>
      </w:r>
      <w:r w:rsidR="00D8516E" w:rsidRPr="00CA1271">
        <w:t xml:space="preserve"> A higher fee (19% higher on average) is claimable for each consultation performed out of rooms to cover travel costs. In addition, providers can claim $0.68 per kilometre for travel.</w:t>
      </w:r>
    </w:p>
    <w:p w:rsidR="00EC7284" w:rsidRPr="00CA1271" w:rsidRDefault="00AF237F" w:rsidP="00EC7284">
      <w:pPr>
        <w:pStyle w:val="DotPoint"/>
      </w:pPr>
      <w:r w:rsidRPr="00CA1271">
        <w:t xml:space="preserve">Victorian Transport Accident Commission – </w:t>
      </w:r>
      <w:r w:rsidR="00EC7284" w:rsidRPr="00CA1271">
        <w:t>The fees</w:t>
      </w:r>
      <w:r w:rsidR="00F53DCD" w:rsidRPr="00CA1271">
        <w:t xml:space="preserve"> payable</w:t>
      </w:r>
      <w:r w:rsidR="00EC7284" w:rsidRPr="00CA1271">
        <w:t xml:space="preserve"> </w:t>
      </w:r>
      <w:r w:rsidR="00D372F9" w:rsidRPr="00CA1271">
        <w:t xml:space="preserve">for consultations performed in the clinician’s rooms </w:t>
      </w:r>
      <w:r w:rsidR="00EC7284" w:rsidRPr="00CA1271">
        <w:t xml:space="preserve">are $55.63 for each standard consultation; $69.59 for extended consultations (between 31 and 40 minutes of direct patient contact time); and $111.16 for extended consultations (greater than 40 minutes of direct patient contact time). </w:t>
      </w:r>
      <w:r w:rsidR="009606DF" w:rsidRPr="00CA1271">
        <w:t>An</w:t>
      </w:r>
      <w:r w:rsidR="00EC7284" w:rsidRPr="00CA1271">
        <w:t xml:space="preserve"> hourly rate </w:t>
      </w:r>
      <w:r w:rsidR="009606DF" w:rsidRPr="00CA1271">
        <w:t>of</w:t>
      </w:r>
      <w:r w:rsidR="00EC7284" w:rsidRPr="00CA1271">
        <w:t xml:space="preserve"> $122.29</w:t>
      </w:r>
      <w:r w:rsidR="009606DF" w:rsidRPr="00CA1271">
        <w:t xml:space="preserve"> is also published</w:t>
      </w:r>
      <w:r w:rsidR="00EC7284" w:rsidRPr="00CA1271">
        <w:t>. A higher fee (50% higher) is claimable for consultation</w:t>
      </w:r>
      <w:r w:rsidR="007E0EDF" w:rsidRPr="00CA1271">
        <w:t>s</w:t>
      </w:r>
      <w:r w:rsidR="00EC7284" w:rsidRPr="00CA1271">
        <w:t xml:space="preserve"> performed out of rooms to cover travel costs.</w:t>
      </w:r>
    </w:p>
    <w:p w:rsidR="007E0EDF" w:rsidRPr="00CA1271" w:rsidRDefault="00F53DCD" w:rsidP="007E0EDF">
      <w:pPr>
        <w:pStyle w:val="DotPoint"/>
      </w:pPr>
      <w:r w:rsidRPr="00CA1271">
        <w:t>Worksafe Victoria – The fees payable are $58.</w:t>
      </w:r>
      <w:r w:rsidR="007E0EDF" w:rsidRPr="00CA1271">
        <w:t>33</w:t>
      </w:r>
      <w:r w:rsidRPr="00CA1271">
        <w:t xml:space="preserve"> for a </w:t>
      </w:r>
      <w:r w:rsidR="007E0EDF" w:rsidRPr="00CA1271">
        <w:t>Standard</w:t>
      </w:r>
      <w:r w:rsidRPr="00CA1271">
        <w:t xml:space="preserve"> Consultation;</w:t>
      </w:r>
      <w:r w:rsidR="007E0EDF" w:rsidRPr="00CA1271">
        <w:t xml:space="preserve"> and </w:t>
      </w:r>
      <w:r w:rsidRPr="00CA1271">
        <w:t>$</w:t>
      </w:r>
      <w:r w:rsidR="007E0EDF" w:rsidRPr="00CA1271">
        <w:t xml:space="preserve">116.67 </w:t>
      </w:r>
      <w:r w:rsidRPr="00CA1271">
        <w:t xml:space="preserve">for a </w:t>
      </w:r>
      <w:r w:rsidR="007E0EDF" w:rsidRPr="00CA1271">
        <w:t>Restricted Consultation (History, examination and complex treatment for workers with specific injuries based on prior approval). In addition, providers can claim $2.72 per kilometre for travel in Melbourne and $1.84 per kilometre for travel in regional and rural areas.</w:t>
      </w:r>
    </w:p>
    <w:p w:rsidR="00EC7284" w:rsidRPr="00CA1271" w:rsidRDefault="00D8516E" w:rsidP="00EC7284">
      <w:pPr>
        <w:pStyle w:val="DotPoint"/>
      </w:pPr>
      <w:proofErr w:type="spellStart"/>
      <w:r w:rsidRPr="00CA1271">
        <w:t>Workcover</w:t>
      </w:r>
      <w:proofErr w:type="spellEnd"/>
      <w:r w:rsidRPr="00CA1271">
        <w:t xml:space="preserve"> Queensland – </w:t>
      </w:r>
      <w:r w:rsidR="007E0EDF" w:rsidRPr="00CA1271">
        <w:t xml:space="preserve">The fees payable are $58.00 for a Level </w:t>
      </w:r>
      <w:proofErr w:type="gramStart"/>
      <w:r w:rsidR="007E0EDF" w:rsidRPr="00CA1271">
        <w:t>A</w:t>
      </w:r>
      <w:proofErr w:type="gramEnd"/>
      <w:r w:rsidR="007E0EDF" w:rsidRPr="00CA1271">
        <w:t xml:space="preserve"> Consultation; $77.00 for a Level B Consultation; $111.00 for a Level C Consultation; and $147.00 for a Level D Consultation. An hourly rate of $183.00 is also published. Time spent travelling can also be claimed at a lower rate of $134.00 per hour.</w:t>
      </w:r>
    </w:p>
    <w:p w:rsidR="0058636F" w:rsidRPr="00CA1271" w:rsidRDefault="0058636F" w:rsidP="00EC7284">
      <w:pPr>
        <w:pStyle w:val="DotPoint"/>
      </w:pPr>
      <w:proofErr w:type="spellStart"/>
      <w:r w:rsidRPr="00CA1271">
        <w:t>Workcover</w:t>
      </w:r>
      <w:proofErr w:type="spellEnd"/>
      <w:r w:rsidRPr="00CA1271">
        <w:t xml:space="preserve"> Western Australia – </w:t>
      </w:r>
      <w:r w:rsidR="00D372F9" w:rsidRPr="00CA1271">
        <w:t xml:space="preserve">The fees payable are $70.55 for a standard consultation and treatment; and $89.15 for </w:t>
      </w:r>
      <w:r w:rsidR="002D7E89" w:rsidRPr="00CA1271">
        <w:t xml:space="preserve">the </w:t>
      </w:r>
      <w:r w:rsidR="00D372F9" w:rsidRPr="00CA1271">
        <w:t>treatment of two distinct areas. An hourly rate of $200.25 is also published. Time spent travelling can also be claimed at a lower rate of $160.30</w:t>
      </w:r>
      <w:r w:rsidR="007E0EDF" w:rsidRPr="00CA1271">
        <w:t xml:space="preserve"> </w:t>
      </w:r>
      <w:r w:rsidR="00D372F9" w:rsidRPr="00CA1271">
        <w:t>per hour.</w:t>
      </w:r>
    </w:p>
    <w:p w:rsidR="00D8516E" w:rsidRPr="00CA1271" w:rsidRDefault="00D8516E" w:rsidP="00EC7284">
      <w:pPr>
        <w:pStyle w:val="DotPoint"/>
      </w:pPr>
      <w:r w:rsidRPr="00CA1271">
        <w:t>Return to Work South Australia –</w:t>
      </w:r>
      <w:r w:rsidR="007E0EDF" w:rsidRPr="00CA1271">
        <w:t xml:space="preserve"> The fees payable are $68.00 for a standard consultation and treatment; $92.90 for a long consultation; and $185.40 for a restricted consultation. An hourly rate of $185.40 is also published.</w:t>
      </w:r>
      <w:r w:rsidR="00270DF9" w:rsidRPr="00CA1271">
        <w:t xml:space="preserve"> Time spent travelling can also be claimed at a lower rate of $157.40 per hour.</w:t>
      </w:r>
    </w:p>
    <w:p w:rsidR="0058636F" w:rsidRPr="00CA1271" w:rsidRDefault="0058636F" w:rsidP="00EC7284">
      <w:pPr>
        <w:pStyle w:val="DotPoint"/>
      </w:pPr>
      <w:proofErr w:type="spellStart"/>
      <w:r w:rsidRPr="00CA1271">
        <w:t>Comcare</w:t>
      </w:r>
      <w:proofErr w:type="spellEnd"/>
      <w:r w:rsidRPr="00CA1271">
        <w:t xml:space="preserve"> </w:t>
      </w:r>
      <w:r w:rsidR="00D372F9" w:rsidRPr="00CA1271">
        <w:t xml:space="preserve">(Tasmania) </w:t>
      </w:r>
      <w:r w:rsidRPr="00CA1271">
        <w:t xml:space="preserve">– </w:t>
      </w:r>
      <w:r w:rsidR="00D372F9" w:rsidRPr="00CA1271">
        <w:t>The guidance on the upper limit of fees is $68.35 for a standard consultation and treatment</w:t>
      </w:r>
      <w:r w:rsidR="002D7E89" w:rsidRPr="00CA1271">
        <w:t xml:space="preserve">; $102.55 for the </w:t>
      </w:r>
      <w:r w:rsidR="00D372F9" w:rsidRPr="00CA1271">
        <w:t>treatment of two distinct areas; and $170.90 for complex treatment requiring more than 45 minutes direct contact.</w:t>
      </w:r>
    </w:p>
    <w:p w:rsidR="00D372F9" w:rsidRPr="00CA1271" w:rsidRDefault="00D372F9" w:rsidP="00D372F9">
      <w:pPr>
        <w:pStyle w:val="DotPoint"/>
      </w:pPr>
      <w:proofErr w:type="spellStart"/>
      <w:r w:rsidRPr="00CA1271">
        <w:t>Comcare</w:t>
      </w:r>
      <w:proofErr w:type="spellEnd"/>
      <w:r w:rsidRPr="00CA1271">
        <w:t xml:space="preserve"> (ACT) – The guidance on the upper limit of fees is $80.46 for a standard consultation and treatment; $120.24 for a consultation and treatment of two distinct areas; and $159.27 for complex treatment.</w:t>
      </w:r>
    </w:p>
    <w:p w:rsidR="00D372F9" w:rsidRPr="00CA1271" w:rsidRDefault="00D372F9" w:rsidP="00D372F9">
      <w:pPr>
        <w:pStyle w:val="DotPoint"/>
      </w:pPr>
      <w:proofErr w:type="spellStart"/>
      <w:r w:rsidRPr="00CA1271">
        <w:t>Comcare</w:t>
      </w:r>
      <w:proofErr w:type="spellEnd"/>
      <w:r w:rsidRPr="00CA1271">
        <w:t xml:space="preserve"> (Northern Territory) – The guidance on the upper limit of fees is $181.98 per hour for standard level 1 complex services and $227.49 per hour for standard level 2 complex services.</w:t>
      </w:r>
    </w:p>
    <w:p w:rsidR="00D8516E" w:rsidRPr="00CA1271" w:rsidRDefault="00D8516E" w:rsidP="00EC7284">
      <w:pPr>
        <w:pStyle w:val="DotPoint"/>
      </w:pPr>
      <w:r w:rsidRPr="00CA1271">
        <w:t xml:space="preserve">Department of Veterans Affairs – </w:t>
      </w:r>
      <w:r w:rsidR="007E0EDF" w:rsidRPr="00CA1271">
        <w:t>The fee payable is $65.30 per consultation.</w:t>
      </w:r>
    </w:p>
    <w:p w:rsidR="004B7C78" w:rsidRPr="00CA1271" w:rsidRDefault="004B7C78" w:rsidP="00EC7284">
      <w:pPr>
        <w:pStyle w:val="DotPoint"/>
      </w:pPr>
      <w:r w:rsidRPr="00CA1271">
        <w:t>Medicare Benefits Schedule – The Scheduled Fee is $63.25 per consultation.</w:t>
      </w:r>
    </w:p>
    <w:p w:rsidR="00C63652" w:rsidRPr="00CA1271" w:rsidRDefault="00C63652" w:rsidP="00C63652">
      <w:r w:rsidRPr="00CA1271">
        <w:t xml:space="preserve">The Review therefore considers that a comprehensive of therapy pricing should be undertaken as part of the </w:t>
      </w:r>
      <w:r w:rsidR="00AF45A5" w:rsidRPr="00CA1271">
        <w:t xml:space="preserve">2021-22 </w:t>
      </w:r>
      <w:r w:rsidRPr="00CA1271">
        <w:t>Annual Pricing Review and every two years thereafter. The proposed comprehensive review of therapy pricing should also give further consideration to the question of whether different support items (and price limits) need to be created to encourage the delivery of therapy supports outside of usual business hours, with a particular focus on the impacts that the current arrangements have on best practice delivery, especially for Early Childhood Early Intervention supports.</w:t>
      </w:r>
      <w:r w:rsidR="005B1178" w:rsidRPr="00CA1271">
        <w:t xml:space="preserve"> The current Review received mixed evidence on this issue and does not consider that it can be resolved in isolation from an analysis of the entire billing practices of other schemes. The Review notes, for example, that most other schemes do not include different payment rates for out of business hours consultations, but structure their billing </w:t>
      </w:r>
      <w:r w:rsidR="002240DC" w:rsidRPr="00CA1271">
        <w:t>arrangements</w:t>
      </w:r>
      <w:r w:rsidR="005B1178" w:rsidRPr="00CA1271">
        <w:t xml:space="preserve"> around the complexity of the consultation (say 30-60 minutes) rather than the precise duration.</w:t>
      </w:r>
      <w:r w:rsidR="00DF11BD" w:rsidRPr="00CA1271">
        <w:t xml:space="preserve"> The Review also notes that some other schemes pay a lower hourly rate for travel than they pay for direct service provision.</w:t>
      </w:r>
    </w:p>
    <w:p w:rsidR="00C63652" w:rsidRPr="00CA1271" w:rsidRDefault="00C63652" w:rsidP="00C63652">
      <w:r w:rsidRPr="00CA1271">
        <w:t>The Review also considers, given the disparity between NDIS price limits and the rates payable in other schemes, that therapy price limits should not be indexed this financial year, noting that they have been increased by the temporary 10</w:t>
      </w:r>
      <w:r w:rsidR="00E80A7C" w:rsidRPr="00CA1271">
        <w:t>%</w:t>
      </w:r>
      <w:r w:rsidRPr="00CA1271">
        <w:t xml:space="preserve"> COVID-19 Loading</w:t>
      </w:r>
      <w:r w:rsidR="002D7E89" w:rsidRPr="00CA1271">
        <w:t xml:space="preserve"> and that no evidence was submitted to the Review of supply shortages in therapy services.</w:t>
      </w:r>
    </w:p>
    <w:p w:rsidR="00C63652" w:rsidRPr="00CA1271" w:rsidRDefault="00C63652" w:rsidP="00C63652">
      <w:pPr>
        <w:pStyle w:val="Heading3"/>
      </w:pPr>
      <w:r w:rsidRPr="00CA1271">
        <w:t>Capacity Building Supports Delivered by Disability Support Workers</w:t>
      </w:r>
    </w:p>
    <w:p w:rsidR="00C63652" w:rsidRPr="00CA1271" w:rsidRDefault="00C63652" w:rsidP="00C63652">
      <w:r w:rsidRPr="00CA1271">
        <w:t>Currently</w:t>
      </w:r>
      <w:r w:rsidR="00B616FE" w:rsidRPr="00CA1271">
        <w:t>,</w:t>
      </w:r>
      <w:r w:rsidRPr="00CA1271">
        <w:t xml:space="preserve"> the price limits for capacity building supports are indexed on 1 July each year by </w:t>
      </w:r>
      <w:r w:rsidR="00F0327C" w:rsidRPr="00CA1271">
        <w:t xml:space="preserve">the 80/20 weighted average of the </w:t>
      </w:r>
      <w:r w:rsidRPr="00CA1271">
        <w:t xml:space="preserve">movements in </w:t>
      </w:r>
      <w:r w:rsidR="00FE19DD" w:rsidRPr="00CA1271">
        <w:t>t</w:t>
      </w:r>
      <w:r w:rsidR="00E0007F" w:rsidRPr="00CA1271">
        <w:t>he ABS Wage Price Index</w:t>
      </w:r>
      <w:r w:rsidRPr="00CA1271">
        <w:t xml:space="preserve"> </w:t>
      </w:r>
      <w:r w:rsidR="00F0327C" w:rsidRPr="00CA1271">
        <w:t xml:space="preserve">and the ABS Consumer Price Index </w:t>
      </w:r>
      <w:r w:rsidRPr="00CA1271">
        <w:t xml:space="preserve">over the 12 months to the March Quarter preceding the indexation date. However, as discussed above, </w:t>
      </w:r>
      <w:r w:rsidR="00E529D5">
        <w:t>15</w:t>
      </w:r>
      <w:r w:rsidRPr="00CA1271">
        <w:t xml:space="preserve"> Capacity Building supports are delivered by workers employed under the SC</w:t>
      </w:r>
      <w:r w:rsidR="00B616FE" w:rsidRPr="00CA1271">
        <w:t>HA</w:t>
      </w:r>
      <w:r w:rsidRPr="00CA1271">
        <w:t xml:space="preserve">DS Award or a similar industrial agreement. These workers are subject to the Fair Work Commission’s increase to minimum wage that occurs every year, which is included in the current methodology for applicable core supports. The Review considers that it would therefore be more appropriate for the price limits of these supports to be set by the </w:t>
      </w:r>
      <w:r w:rsidR="0000645A" w:rsidRPr="00CA1271">
        <w:t>Disability Support Worker Cost Model</w:t>
      </w:r>
      <w:r w:rsidRPr="00CA1271">
        <w:t>.</w:t>
      </w:r>
    </w:p>
    <w:p w:rsidR="00C63652" w:rsidRPr="00CA1271" w:rsidRDefault="00C63652" w:rsidP="00C63652">
      <w:pPr>
        <w:pStyle w:val="Heading3"/>
      </w:pPr>
      <w:r w:rsidRPr="00CA1271">
        <w:t>Consumables</w:t>
      </w:r>
    </w:p>
    <w:p w:rsidR="00C63652" w:rsidRPr="00CA1271" w:rsidRDefault="00C63652" w:rsidP="00C63652">
      <w:r w:rsidRPr="00CA1271">
        <w:t xml:space="preserve">In understanding the issue of consumables, the Review considers that it is important to distinguish between “tools of the trade” of the therapist and consumables used in the treatment of the specific participant. </w:t>
      </w:r>
      <w:r w:rsidR="00F0327C" w:rsidRPr="00CA1271">
        <w:t xml:space="preserve">The Review understands that consumables that are provided to the participant are, in general, claimable against the participant’s NDIS plan. </w:t>
      </w:r>
      <w:r w:rsidRPr="00CA1271">
        <w:t>The Review considers that tools of the trade are already accounted for within the price limits for therapy support items.</w:t>
      </w:r>
      <w:r w:rsidR="00026096" w:rsidRPr="00CA1271">
        <w:t xml:space="preserve"> The Review notes, for example, that the NDIS Nursing Cost Model inc</w:t>
      </w:r>
      <w:r w:rsidR="00971A04" w:rsidRPr="00CA1271">
        <w:t>l</w:t>
      </w:r>
      <w:r w:rsidR="00026096" w:rsidRPr="00CA1271">
        <w:t>udes an overheads provision of 20</w:t>
      </w:r>
      <w:r w:rsidR="00E80A7C" w:rsidRPr="00CA1271">
        <w:t>%</w:t>
      </w:r>
      <w:r w:rsidR="00026096" w:rsidRPr="00CA1271">
        <w:t>.</w:t>
      </w:r>
    </w:p>
    <w:p w:rsidR="00A75E1F" w:rsidRPr="00CA1271" w:rsidRDefault="00F247F2" w:rsidP="00F247F2">
      <w:pPr>
        <w:pStyle w:val="Heading3"/>
      </w:pPr>
      <w:r w:rsidRPr="00CA1271">
        <w:t>Exercise Physiology</w:t>
      </w:r>
    </w:p>
    <w:p w:rsidR="00F247F2" w:rsidRPr="00CA1271" w:rsidRDefault="00F247F2" w:rsidP="00C63652">
      <w:r w:rsidRPr="00CA1271">
        <w:t xml:space="preserve">The Review notes that the NDIS current price limit for Exercise Physiology is higher than the average current rate payable by </w:t>
      </w:r>
      <w:r w:rsidR="00971A04" w:rsidRPr="00CA1271">
        <w:t xml:space="preserve">most </w:t>
      </w:r>
      <w:r w:rsidR="007F25A4" w:rsidRPr="00CA1271">
        <w:t xml:space="preserve">comparable schemes (see </w:t>
      </w:r>
      <w:r w:rsidR="007F25A4" w:rsidRPr="00CA1271">
        <w:fldChar w:fldCharType="begin"/>
      </w:r>
      <w:r w:rsidR="007F25A4" w:rsidRPr="00CA1271">
        <w:instrText xml:space="preserve"> REF _Ref37883576 \h </w:instrText>
      </w:r>
      <w:r w:rsidR="006D7957" w:rsidRPr="00CA1271">
        <w:instrText xml:space="preserve"> \* MERGEFORMAT </w:instrText>
      </w:r>
      <w:r w:rsidR="007F25A4" w:rsidRPr="00CA1271">
        <w:fldChar w:fldCharType="separate"/>
      </w:r>
      <w:r w:rsidR="00B621CC" w:rsidRPr="00CA1271">
        <w:t>Table </w:t>
      </w:r>
      <w:r w:rsidR="00B621CC">
        <w:t>8</w:t>
      </w:r>
      <w:r w:rsidR="007F25A4" w:rsidRPr="00CA1271">
        <w:fldChar w:fldCharType="end"/>
      </w:r>
      <w:r w:rsidR="007F25A4" w:rsidRPr="00CA1271">
        <w:t xml:space="preserve"> above) even accounting for GST. The Review also notes that </w:t>
      </w:r>
      <w:r w:rsidR="005329AD" w:rsidRPr="00CA1271">
        <w:t>t</w:t>
      </w:r>
      <w:r w:rsidR="007F25A4" w:rsidRPr="00CA1271">
        <w:t>he price limit for Exercise Physiology was increased by 12.3% between 1 July 2018 and 1 July 2019 in recognition of the fact that Exercise Physiology was not, in general, GST free. The Review does not therefore consider that there is any need for a further increase in the price limit for Exercise Physiology at this time. Whether or not Exercise Physiology services supplied to NDIS part</w:t>
      </w:r>
      <w:r w:rsidR="00971A04" w:rsidRPr="00CA1271">
        <w:t>icipants should be GST</w:t>
      </w:r>
      <w:r w:rsidR="007F25A4" w:rsidRPr="00CA1271">
        <w:t>-free is a matter for Government and not within the scope of the Annual Pricing Review.</w:t>
      </w:r>
    </w:p>
    <w:p w:rsidR="00C63652" w:rsidRPr="00CA1271" w:rsidRDefault="00C63652" w:rsidP="00195E07">
      <w:pPr>
        <w:pStyle w:val="Heading2"/>
      </w:pPr>
      <w:bookmarkStart w:id="79" w:name="_Toc42014739"/>
      <w:r w:rsidRPr="00CA1271">
        <w:t>Recommendation</w:t>
      </w:r>
      <w:bookmarkEnd w:id="79"/>
    </w:p>
    <w:p w:rsidR="00C63652" w:rsidRPr="00CA1271" w:rsidRDefault="00C63652" w:rsidP="00195E07">
      <w:pPr>
        <w:pStyle w:val="REcommendation"/>
        <w:rPr>
          <w:b/>
        </w:rPr>
      </w:pPr>
      <w:r w:rsidRPr="00CA1271">
        <w:rPr>
          <w:b/>
        </w:rPr>
        <w:t>Capacity Building Supports</w:t>
      </w:r>
    </w:p>
    <w:p w:rsidR="00CF506C" w:rsidRPr="00CA1271" w:rsidRDefault="00CF506C" w:rsidP="00CF506C">
      <w:pPr>
        <w:pStyle w:val="REcommendation"/>
        <w:keepNext w:val="0"/>
        <w:numPr>
          <w:ilvl w:val="1"/>
          <w:numId w:val="11"/>
        </w:numPr>
      </w:pPr>
      <w:r w:rsidRPr="00CA1271">
        <w:t>The NDIA should undertake a comprehensive review of therapy pricing arrangements as a part of the Annual Pricing Review every two years, with the next comprehensive review to commence in July 2021. Pending the outcomes of that review:</w:t>
      </w:r>
    </w:p>
    <w:p w:rsidR="00CF506C" w:rsidRPr="00CA1271" w:rsidRDefault="00CF506C" w:rsidP="00CF506C">
      <w:pPr>
        <w:pStyle w:val="REcommendation"/>
        <w:keepNext w:val="0"/>
        <w:numPr>
          <w:ilvl w:val="2"/>
          <w:numId w:val="11"/>
        </w:numPr>
      </w:pPr>
      <w:r w:rsidRPr="00CA1271">
        <w:t>the NDIA should not index the price limits for therapy supports on 1 July 2020; and</w:t>
      </w:r>
    </w:p>
    <w:p w:rsidR="00CF506C" w:rsidRPr="00CA1271" w:rsidRDefault="00CF506C" w:rsidP="00CF506C">
      <w:pPr>
        <w:pStyle w:val="REcommendation"/>
        <w:keepNext w:val="0"/>
        <w:numPr>
          <w:ilvl w:val="2"/>
          <w:numId w:val="11"/>
        </w:numPr>
      </w:pPr>
      <w:proofErr w:type="gramStart"/>
      <w:r w:rsidRPr="00CA1271">
        <w:t>the</w:t>
      </w:r>
      <w:proofErr w:type="gramEnd"/>
      <w:r w:rsidRPr="00CA1271">
        <w:t xml:space="preserve"> NDIA should index the price limits for therapy supports on 1 July 2021 in accordance with the indexation methodology set out in Recommendation 2.1(iii).</w:t>
      </w:r>
    </w:p>
    <w:p w:rsidR="00C63652" w:rsidRPr="00CA1271" w:rsidRDefault="00327F61" w:rsidP="00C63652">
      <w:pPr>
        <w:pStyle w:val="REcommendation"/>
        <w:keepNext w:val="0"/>
        <w:numPr>
          <w:ilvl w:val="1"/>
          <w:numId w:val="11"/>
        </w:numPr>
      </w:pPr>
      <w:r w:rsidRPr="00CA1271">
        <w:t>The NDIA should index the price limits for capacity building supports that are delivered by Disability Support Workers by reference to the NDIS Disability Support Worker Cost Model.</w:t>
      </w:r>
    </w:p>
    <w:p w:rsidR="00C63652" w:rsidRPr="00CA1271" w:rsidRDefault="00C63652" w:rsidP="00C63652">
      <w:pPr>
        <w:pStyle w:val="Heading1"/>
        <w:ind w:left="567" w:hanging="567"/>
        <w:sectPr w:rsidR="00C63652" w:rsidRPr="00CA1271" w:rsidSect="00CA5B7E">
          <w:pgSz w:w="11907" w:h="16839" w:code="9"/>
          <w:pgMar w:top="1418" w:right="1418" w:bottom="1418" w:left="1418" w:header="709" w:footer="709" w:gutter="0"/>
          <w:cols w:space="708"/>
          <w:titlePg/>
          <w:docGrid w:linePitch="360"/>
        </w:sectPr>
      </w:pPr>
    </w:p>
    <w:p w:rsidR="00C63652" w:rsidRPr="00CA1271" w:rsidRDefault="00C63652" w:rsidP="00C63652">
      <w:pPr>
        <w:pStyle w:val="Heading1"/>
        <w:ind w:left="567" w:hanging="567"/>
      </w:pPr>
      <w:bookmarkStart w:id="80" w:name="_Toc42014740"/>
      <w:bookmarkStart w:id="81" w:name="_Ref42689434"/>
      <w:bookmarkStart w:id="82" w:name="_Ref42689449"/>
      <w:r w:rsidRPr="00CA1271">
        <w:t>Plan Management Supports</w:t>
      </w:r>
      <w:bookmarkEnd w:id="80"/>
      <w:bookmarkEnd w:id="81"/>
      <w:bookmarkEnd w:id="82"/>
    </w:p>
    <w:p w:rsidR="00C63652" w:rsidRPr="00CA1271" w:rsidRDefault="00C63652" w:rsidP="00C63652">
      <w:r w:rsidRPr="00CA1271">
        <w:t>The Review was required by its Terms of Reference to examine the price control framework for plan management supports.</w:t>
      </w:r>
    </w:p>
    <w:p w:rsidR="00C63652" w:rsidRPr="00CA1271" w:rsidRDefault="00C63652" w:rsidP="00C63652">
      <w:pPr>
        <w:pStyle w:val="Heading2"/>
      </w:pPr>
      <w:bookmarkStart w:id="83" w:name="_Toc42014741"/>
      <w:r w:rsidRPr="00CA1271">
        <w:t>Current Arrangements</w:t>
      </w:r>
      <w:bookmarkEnd w:id="83"/>
      <w:r w:rsidRPr="00CA1271">
        <w:t xml:space="preserve"> </w:t>
      </w:r>
    </w:p>
    <w:p w:rsidR="00C63652" w:rsidRPr="00CA1271" w:rsidRDefault="00C63652" w:rsidP="00C63652">
      <w:r w:rsidRPr="00CA1271">
        <w:t xml:space="preserve">NDIS participants can choose to have a registered Plan Management provider to manage their funding and budget for the supports in their plan. Plan Managers are bound to the </w:t>
      </w:r>
      <w:r w:rsidRPr="00CA1271">
        <w:rPr>
          <w:i/>
        </w:rPr>
        <w:t>NDIS Price Guide</w:t>
      </w:r>
      <w:r w:rsidRPr="00CA1271">
        <w:t xml:space="preserve"> and are able to connect participants with both NDIS registered providers and providers that are not registered with the NDIS. </w:t>
      </w:r>
    </w:p>
    <w:p w:rsidR="00C63652" w:rsidRPr="00CA1271" w:rsidRDefault="00C63652" w:rsidP="00C63652">
      <w:r w:rsidRPr="00CA1271">
        <w:t xml:space="preserve">The </w:t>
      </w:r>
      <w:r w:rsidRPr="00CA1271">
        <w:rPr>
          <w:i/>
        </w:rPr>
        <w:t>NDIS Price Guide</w:t>
      </w:r>
      <w:r w:rsidRPr="00CA1271">
        <w:t xml:space="preserve"> currently says that:</w:t>
      </w:r>
    </w:p>
    <w:p w:rsidR="00C63652" w:rsidRPr="00CA1271" w:rsidRDefault="00C63652" w:rsidP="00C63652">
      <w:pPr>
        <w:pStyle w:val="Quote1"/>
        <w:rPr>
          <w:b/>
        </w:rPr>
      </w:pPr>
      <w:bookmarkStart w:id="84" w:name="_Toc18605733"/>
      <w:bookmarkStart w:id="85" w:name="_Toc18605811"/>
      <w:bookmarkStart w:id="86" w:name="_Toc20081329"/>
      <w:bookmarkStart w:id="87" w:name="_Toc25241107"/>
      <w:r w:rsidRPr="00CA1271">
        <w:rPr>
          <w:b/>
        </w:rPr>
        <w:t>Plan Management – Financial Administration</w:t>
      </w:r>
      <w:bookmarkEnd w:id="84"/>
      <w:bookmarkEnd w:id="85"/>
      <w:bookmarkEnd w:id="86"/>
      <w:bookmarkEnd w:id="87"/>
    </w:p>
    <w:p w:rsidR="00C63652" w:rsidRPr="00CA1271" w:rsidRDefault="00C63652" w:rsidP="00C63652">
      <w:pPr>
        <w:pStyle w:val="Quote1"/>
      </w:pPr>
      <w:r w:rsidRPr="00CA1271">
        <w:t>Plan Management – Financial Administration funding applies to registered providers who undertake financial administration of a plan on behalf of a participant.</w:t>
      </w:r>
    </w:p>
    <w:p w:rsidR="00C63652" w:rsidRPr="00CA1271" w:rsidRDefault="00C63652" w:rsidP="00C63652">
      <w:pPr>
        <w:pStyle w:val="Quote1"/>
      </w:pPr>
      <w:r w:rsidRPr="00CA1271">
        <w:t xml:space="preserve">Plan Management – Financial Administration funding includes a setup fee to establish the payment arrangements with providers and a monthly processing fee. This support assists a participant by: </w:t>
      </w:r>
    </w:p>
    <w:p w:rsidR="00C63652" w:rsidRPr="00CA1271" w:rsidRDefault="00C63652" w:rsidP="007A045B">
      <w:pPr>
        <w:pStyle w:val="Quote1"/>
        <w:numPr>
          <w:ilvl w:val="1"/>
          <w:numId w:val="15"/>
        </w:numPr>
        <w:ind w:left="851"/>
      </w:pPr>
      <w:r w:rsidRPr="00CA1271">
        <w:t>Giving increased control over plan implementation and utilisation with plan financial assistance;</w:t>
      </w:r>
    </w:p>
    <w:p w:rsidR="00C63652" w:rsidRPr="00CA1271" w:rsidRDefault="00C63652" w:rsidP="007A045B">
      <w:pPr>
        <w:pStyle w:val="Quote1"/>
        <w:numPr>
          <w:ilvl w:val="1"/>
          <w:numId w:val="15"/>
        </w:numPr>
        <w:ind w:left="851"/>
      </w:pPr>
      <w:r w:rsidRPr="00CA1271">
        <w:t>Managing and monitoring budgets over the course of the plan;</w:t>
      </w:r>
    </w:p>
    <w:p w:rsidR="00C63652" w:rsidRPr="00CA1271" w:rsidRDefault="00C63652" w:rsidP="007A045B">
      <w:pPr>
        <w:pStyle w:val="Quote1"/>
        <w:numPr>
          <w:ilvl w:val="1"/>
          <w:numId w:val="15"/>
        </w:numPr>
        <w:ind w:left="851"/>
      </w:pPr>
      <w:r w:rsidRPr="00CA1271">
        <w:t>Managing NDIS claims and paying providers for delivered service;</w:t>
      </w:r>
    </w:p>
    <w:p w:rsidR="00C63652" w:rsidRPr="00CA1271" w:rsidRDefault="00C63652" w:rsidP="007A045B">
      <w:pPr>
        <w:pStyle w:val="Quote1"/>
        <w:numPr>
          <w:ilvl w:val="1"/>
          <w:numId w:val="15"/>
        </w:numPr>
        <w:ind w:left="851"/>
      </w:pPr>
      <w:r w:rsidRPr="00CA1271">
        <w:t>Maintaining records and producing regular (at least monthly) statements showing the financial position of the plan; and</w:t>
      </w:r>
    </w:p>
    <w:p w:rsidR="00C63652" w:rsidRPr="00CA1271" w:rsidRDefault="00C63652" w:rsidP="007A045B">
      <w:pPr>
        <w:pStyle w:val="Quote1"/>
        <w:numPr>
          <w:ilvl w:val="1"/>
          <w:numId w:val="15"/>
        </w:numPr>
        <w:ind w:left="851"/>
      </w:pPr>
      <w:r w:rsidRPr="00CA1271">
        <w:t>Providing access to a wider range of service providers, including non-registered providers whilst remaining in line with the price limits contained within this Guide.</w:t>
      </w:r>
    </w:p>
    <w:p w:rsidR="00C63652" w:rsidRPr="00CA1271" w:rsidRDefault="00C63652" w:rsidP="00C63652">
      <w:pPr>
        <w:pStyle w:val="Quote1"/>
      </w:pPr>
      <w:r w:rsidRPr="00CA1271">
        <w:t>A Plan Management – Financial Administration provider will possess bookkeeping / accounting skills and qualifications. They will have systems in place for efficiently processing payments on behalf of a participant.</w:t>
      </w:r>
    </w:p>
    <w:p w:rsidR="00C63652" w:rsidRPr="00CA1271" w:rsidRDefault="00C63652" w:rsidP="00C63652">
      <w:pPr>
        <w:pStyle w:val="Quote1"/>
        <w:rPr>
          <w:b/>
        </w:rPr>
      </w:pPr>
      <w:bookmarkStart w:id="88" w:name="_Toc18605734"/>
      <w:bookmarkStart w:id="89" w:name="_Toc18605812"/>
      <w:bookmarkStart w:id="90" w:name="_Toc20081330"/>
      <w:bookmarkStart w:id="91" w:name="_Toc25241108"/>
      <w:r w:rsidRPr="00CA1271">
        <w:rPr>
          <w:b/>
        </w:rPr>
        <w:t>Capacity Building and Training in Plan and Financial Management by a Plan Manager</w:t>
      </w:r>
      <w:bookmarkEnd w:id="88"/>
      <w:bookmarkEnd w:id="89"/>
      <w:bookmarkEnd w:id="90"/>
      <w:bookmarkEnd w:id="91"/>
    </w:p>
    <w:p w:rsidR="00C63652" w:rsidRPr="00CA1271" w:rsidRDefault="00C63652" w:rsidP="00C63652">
      <w:pPr>
        <w:pStyle w:val="Quote1"/>
      </w:pPr>
      <w:r w:rsidRPr="00CA1271">
        <w:t xml:space="preserve">This reasonable and necessary support focusses on strengthening the participant’s ability to undertake tasks associated with the management of their supports. This includes: </w:t>
      </w:r>
    </w:p>
    <w:p w:rsidR="00C63652" w:rsidRPr="00CA1271" w:rsidRDefault="00C63652" w:rsidP="007A045B">
      <w:pPr>
        <w:pStyle w:val="Quote1"/>
        <w:numPr>
          <w:ilvl w:val="1"/>
          <w:numId w:val="15"/>
        </w:numPr>
        <w:ind w:left="851"/>
      </w:pPr>
      <w:r w:rsidRPr="00CA1271">
        <w:t>Building financial skills</w:t>
      </w:r>
    </w:p>
    <w:p w:rsidR="00C63652" w:rsidRPr="00CA1271" w:rsidRDefault="00C63652" w:rsidP="007A045B">
      <w:pPr>
        <w:pStyle w:val="Quote1"/>
        <w:numPr>
          <w:ilvl w:val="1"/>
          <w:numId w:val="15"/>
        </w:numPr>
        <w:ind w:left="851"/>
      </w:pPr>
      <w:r w:rsidRPr="00CA1271">
        <w:t>Organisational skills</w:t>
      </w:r>
    </w:p>
    <w:p w:rsidR="00C63652" w:rsidRPr="00CA1271" w:rsidRDefault="00C63652" w:rsidP="007A045B">
      <w:pPr>
        <w:pStyle w:val="Quote1"/>
        <w:numPr>
          <w:ilvl w:val="1"/>
          <w:numId w:val="15"/>
        </w:numPr>
        <w:ind w:left="851"/>
      </w:pPr>
      <w:r w:rsidRPr="00CA1271">
        <w:t xml:space="preserve">Enhancing the participant’s ability to direct their supports </w:t>
      </w:r>
    </w:p>
    <w:p w:rsidR="00C63652" w:rsidRPr="00CA1271" w:rsidRDefault="00C63652" w:rsidP="007A045B">
      <w:pPr>
        <w:pStyle w:val="Quote1"/>
        <w:numPr>
          <w:ilvl w:val="1"/>
          <w:numId w:val="15"/>
        </w:numPr>
        <w:ind w:left="851"/>
      </w:pPr>
      <w:r w:rsidRPr="00CA1271">
        <w:t>Develop self-management capabilities</w:t>
      </w:r>
    </w:p>
    <w:p w:rsidR="00C63652" w:rsidRPr="00CA1271" w:rsidRDefault="00C63652" w:rsidP="00C63652">
      <w:pPr>
        <w:pStyle w:val="Quote1"/>
      </w:pPr>
      <w:r w:rsidRPr="00CA1271">
        <w:t>Plan and Financial Capacity Building providers are expected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from the NDIA and maintain records.</w:t>
      </w:r>
    </w:p>
    <w:p w:rsidR="00C63652" w:rsidRPr="00CA1271" w:rsidRDefault="00C63652" w:rsidP="00C63652">
      <w:r w:rsidRPr="00CA1271">
        <w:t>Plan managers are currently able to claim for three types of services. These are:</w:t>
      </w:r>
    </w:p>
    <w:p w:rsidR="00C63652" w:rsidRPr="00CA1271" w:rsidRDefault="00C63652" w:rsidP="00C63652">
      <w:pPr>
        <w:pStyle w:val="DotPoint"/>
      </w:pPr>
      <w:r w:rsidRPr="00CA1271">
        <w:t xml:space="preserve">A one-off (per plan) Establishment Fee for setting up of the financial management arrangements for managing of funding of supports – support item 14_033_0127_8_3, with a current price limit of $227.53; </w:t>
      </w:r>
    </w:p>
    <w:p w:rsidR="00C63652" w:rsidRPr="00CA1271" w:rsidRDefault="00C63652" w:rsidP="00C63652">
      <w:pPr>
        <w:pStyle w:val="DotPoint"/>
      </w:pPr>
      <w:r w:rsidRPr="00CA1271">
        <w:t xml:space="preserve">A monthly fee for the ongoing maintenance of the financial management arrangements for managing of funding of supports – support item 14_034_0127_8_3 with a current price limit of $102.28; and </w:t>
      </w:r>
    </w:p>
    <w:p w:rsidR="00C63652" w:rsidRPr="00CA1271" w:rsidRDefault="00C63652" w:rsidP="00C63652">
      <w:pPr>
        <w:pStyle w:val="DotPoint"/>
      </w:pPr>
      <w:r w:rsidRPr="00CA1271">
        <w:t xml:space="preserve">Capacity building and training in plan administration and management with a participant to strengthen their ability to undertake tasks associated with the management of their supports – support item 14_031_0127_8_3 with a current price limit of $60.16 per hour. </w:t>
      </w:r>
    </w:p>
    <w:p w:rsidR="00C63652" w:rsidRPr="00CA1271" w:rsidRDefault="00C63652" w:rsidP="00C63652">
      <w:r w:rsidRPr="00CA1271">
        <w:t>The price limits for capacity building supports are increased on 1 July each year in line the weighted increase over the previous twelve months in the A</w:t>
      </w:r>
      <w:r w:rsidR="00FE19DD" w:rsidRPr="00CA1271">
        <w:t xml:space="preserve">BS </w:t>
      </w:r>
      <w:r w:rsidRPr="00CA1271">
        <w:t xml:space="preserve">Wage Price Index and the </w:t>
      </w:r>
      <w:r w:rsidR="00FE19DD" w:rsidRPr="00CA1271">
        <w:t xml:space="preserve">ABS </w:t>
      </w:r>
      <w:r w:rsidRPr="00CA1271">
        <w:t>Consumer Price Index (with an 80/20 weighting).</w:t>
      </w:r>
    </w:p>
    <w:p w:rsidR="00C63652" w:rsidRPr="00CA1271" w:rsidRDefault="00C63652" w:rsidP="00C63652">
      <w:r w:rsidRPr="00CA1271">
        <w:t>With respect to the capacity building support item, plan managers are not permitted to claim for provider travel, non-face-to-face activities and NDIA reports. They are permitted to claim for short notice cancellations.</w:t>
      </w:r>
    </w:p>
    <w:p w:rsidR="00F52BC2" w:rsidRPr="00CA1271" w:rsidRDefault="00F52BC2" w:rsidP="00C63652">
      <w:pPr>
        <w:rPr>
          <w:noProof/>
          <w:lang w:eastAsia="en-AU"/>
        </w:rPr>
      </w:pPr>
      <w:r w:rsidRPr="00CA1271">
        <w:t>In 2018-19, claims for plan management supports totalled $86 million</w:t>
      </w:r>
      <w:r w:rsidRPr="00CA1271">
        <w:rPr>
          <w:noProof/>
          <w:lang w:eastAsia="en-AU"/>
        </w:rPr>
        <w:t xml:space="preserve">. There are </w:t>
      </w:r>
      <w:r w:rsidRPr="00CA1271">
        <w:t>currently 809 active registered providers offering plan management services – 7% percent of all NDIS registered providers. Some 33% of NDIS participants (101,119) have their funds managed by a plan manager, with total managed funds totalling approximately $5.5 billion.</w:t>
      </w:r>
    </w:p>
    <w:p w:rsidR="00C63652" w:rsidRPr="00CA1271" w:rsidRDefault="00C63652" w:rsidP="00C63652">
      <w:pPr>
        <w:pStyle w:val="Heading2"/>
      </w:pPr>
      <w:bookmarkStart w:id="92" w:name="_Toc42014742"/>
      <w:r w:rsidRPr="00CA1271">
        <w:t>Consultations</w:t>
      </w:r>
      <w:bookmarkEnd w:id="92"/>
    </w:p>
    <w:p w:rsidR="00C63652" w:rsidRPr="00CA1271" w:rsidRDefault="00CB4B0A" w:rsidP="00C63652">
      <w:pPr>
        <w:rPr>
          <w:rFonts w:cs="Arial"/>
        </w:rPr>
      </w:pPr>
      <w:r w:rsidRPr="00CA1271">
        <w:rPr>
          <w:rFonts w:cs="Arial"/>
        </w:rPr>
        <w:t xml:space="preserve">The </w:t>
      </w:r>
      <w:r w:rsidRPr="00CA1271">
        <w:rPr>
          <w:rFonts w:cs="Arial"/>
          <w:i/>
        </w:rPr>
        <w:t>Issues P</w:t>
      </w:r>
      <w:r w:rsidR="00C63652" w:rsidRPr="00CA1271">
        <w:rPr>
          <w:rFonts w:cs="Arial"/>
          <w:i/>
        </w:rPr>
        <w:t>aper</w:t>
      </w:r>
      <w:r w:rsidR="00C63652" w:rsidRPr="00CA1271">
        <w:rPr>
          <w:rFonts w:cs="Arial"/>
        </w:rPr>
        <w:t xml:space="preserve"> presented a number of issues with the current arrangements that had been raised by the sector, including:</w:t>
      </w:r>
    </w:p>
    <w:p w:rsidR="00C63652" w:rsidRPr="00CA1271" w:rsidRDefault="00C63652" w:rsidP="00C63652">
      <w:pPr>
        <w:pStyle w:val="DotPoint"/>
      </w:pPr>
      <w:r w:rsidRPr="00CA1271">
        <w:t>Whether the price limit for the Establishment Fee is reasonable, and whether more than one plan manager should be able to claim for an Establishment Fee if a participant changes plan managers?</w:t>
      </w:r>
    </w:p>
    <w:p w:rsidR="00C63652" w:rsidRPr="00CA1271" w:rsidRDefault="00C63652" w:rsidP="00C63652">
      <w:pPr>
        <w:pStyle w:val="DotPoint"/>
      </w:pPr>
      <w:r w:rsidRPr="00CA1271">
        <w:t>Whether the price limit for the monthly fee for the ongoing maintenance of the financial management arrangements is reasonable?</w:t>
      </w:r>
    </w:p>
    <w:p w:rsidR="00C63652" w:rsidRPr="00CA1271" w:rsidRDefault="00C63652" w:rsidP="00C63652">
      <w:pPr>
        <w:pStyle w:val="DotPoint"/>
      </w:pPr>
      <w:r w:rsidRPr="00CA1271">
        <w:t>Whether the hourly price limit for capacity building and training in plan administration and management is reasonable?</w:t>
      </w:r>
    </w:p>
    <w:p w:rsidR="00C63652" w:rsidRPr="00CA1271" w:rsidRDefault="00C63652" w:rsidP="00C63652">
      <w:pPr>
        <w:pStyle w:val="DotPoint"/>
      </w:pPr>
      <w:r w:rsidRPr="00CA1271">
        <w:t xml:space="preserve">Whether the current indexation arrangements for the price limits for plan management supports appropriately maintain their value? </w:t>
      </w:r>
    </w:p>
    <w:p w:rsidR="00C63652" w:rsidRPr="00CA1271" w:rsidRDefault="00C63652" w:rsidP="00C63652">
      <w:pPr>
        <w:pStyle w:val="DotPoint"/>
      </w:pPr>
      <w:r w:rsidRPr="00CA1271">
        <w:t xml:space="preserve">Whether plan managers should be able to claim for provider travel and non-face-to-face activities with respect to support item 14_031_0127_8_3, with the agreement of the participant? </w:t>
      </w:r>
    </w:p>
    <w:p w:rsidR="00C63652" w:rsidRPr="00CA1271" w:rsidRDefault="00C63652" w:rsidP="00C63652">
      <w:r w:rsidRPr="00CA1271">
        <w:t>In consultations and in the Working Group on Plan Management, providers stated that the role of plan managers had changed from simple bookkeeping to much more like support coordination. They said that a major reason for the rapid growth in plan management was that many participants do</w:t>
      </w:r>
      <w:r w:rsidR="00B616FE" w:rsidRPr="00CA1271">
        <w:t xml:space="preserve"> not</w:t>
      </w:r>
      <w:r w:rsidRPr="00CA1271">
        <w:t xml:space="preserve"> have support coordination and Plan Managers are filling this role – for much less money. Additionally, they stated that many Local Area Coordinators are</w:t>
      </w:r>
      <w:r w:rsidR="00B616FE" w:rsidRPr="00CA1271">
        <w:t xml:space="preserve"> not</w:t>
      </w:r>
      <w:r w:rsidRPr="00CA1271">
        <w:t xml:space="preserve"> providing the level of support required either, adding to demands on plan managers. </w:t>
      </w:r>
    </w:p>
    <w:p w:rsidR="00C63652" w:rsidRPr="00CA1271" w:rsidRDefault="00C63652" w:rsidP="00C63652">
      <w:r w:rsidRPr="00CA1271">
        <w:t>Some members of the Working Group on Plan Management felt that the ultimate goal of plan management should be to get as many participants self-managing as possible, agreeing with the Tune Review. Others however commented that many participants did not want to become self-managing – or could not – but were using plan managers for flexibility. All agreed that few of their clients had transitioned to self-management.</w:t>
      </w:r>
    </w:p>
    <w:p w:rsidR="00C63652" w:rsidRPr="00CA1271" w:rsidRDefault="00C63652" w:rsidP="00C63652">
      <w:pPr>
        <w:pStyle w:val="Heading3"/>
      </w:pPr>
      <w:r w:rsidRPr="00CA1271">
        <w:t>Establishment Fee</w:t>
      </w:r>
    </w:p>
    <w:p w:rsidR="00C63652" w:rsidRPr="00CA1271" w:rsidRDefault="00C63652" w:rsidP="00C63652">
      <w:r w:rsidRPr="00CA1271">
        <w:t>The majority of submissions commented that the plan management Establishment Fee arrangements appeared inadequate in some form, though suggested remedies varied. These included:</w:t>
      </w:r>
    </w:p>
    <w:p w:rsidR="00C63652" w:rsidRPr="00CA1271" w:rsidRDefault="00C63652" w:rsidP="00C63652">
      <w:pPr>
        <w:pStyle w:val="DotPoint"/>
      </w:pPr>
      <w:r w:rsidRPr="00CA1271">
        <w:t>A second Establishment Fee should be claimable if participants change plan managers, and this should be limited to two changes per year;</w:t>
      </w:r>
    </w:p>
    <w:p w:rsidR="00C63652" w:rsidRPr="00CA1271" w:rsidRDefault="00C63652" w:rsidP="00C63652">
      <w:pPr>
        <w:pStyle w:val="DotPoint"/>
      </w:pPr>
      <w:r w:rsidRPr="00CA1271">
        <w:t>Establishment fee costs could be inclusive in the monthly fee; and</w:t>
      </w:r>
    </w:p>
    <w:p w:rsidR="00C63652" w:rsidRPr="00CA1271" w:rsidRDefault="00C63652" w:rsidP="00C63652">
      <w:pPr>
        <w:pStyle w:val="DotPoint"/>
      </w:pPr>
      <w:r w:rsidRPr="00CA1271">
        <w:t>A suggested price limit increase to $350.</w:t>
      </w:r>
    </w:p>
    <w:p w:rsidR="00C63652" w:rsidRPr="00CA1271" w:rsidRDefault="00C63652" w:rsidP="00C63652">
      <w:r w:rsidRPr="00CA1271">
        <w:t xml:space="preserve">Some respondents suggested that current Establishment Fees were adequate for basic establishment such as the initial meeting and entering related participant information into databases. Many respondents suggested that the current fee doesn’t take into account other tasks required, including payroll services, sourcing information from planners and support coordinators, assisting participants understand their NDIS plans and plan management and setting up service agreements, service bookings and IT systems. </w:t>
      </w:r>
    </w:p>
    <w:p w:rsidR="00C63652" w:rsidRPr="00CA1271" w:rsidRDefault="00C63652" w:rsidP="00C63652">
      <w:r w:rsidRPr="00CA1271">
        <w:t xml:space="preserve">A few respondents suggested that the current Establishment Fee does not account for complex plans, longer duration plans or new participants, suggesting a tiered structure based on complexity and budget size. </w:t>
      </w:r>
    </w:p>
    <w:p w:rsidR="00C63652" w:rsidRPr="00CA1271" w:rsidRDefault="00C63652" w:rsidP="00C63652">
      <w:r w:rsidRPr="00CA1271">
        <w:t>Members of the Working Group on Plan Management argued that Establishment Fees should be higher for participants who do</w:t>
      </w:r>
      <w:r w:rsidR="000A3400" w:rsidRPr="00CA1271">
        <w:t xml:space="preserve"> not</w:t>
      </w:r>
      <w:r w:rsidRPr="00CA1271">
        <w:t xml:space="preserve"> have a support coordinator, or for where travel is required for a first face to face meeting. </w:t>
      </w:r>
    </w:p>
    <w:p w:rsidR="00C63652" w:rsidRPr="00CA1271" w:rsidRDefault="00C63652" w:rsidP="00C63652">
      <w:pPr>
        <w:pStyle w:val="Heading3"/>
      </w:pPr>
      <w:r w:rsidRPr="00CA1271">
        <w:t>Monthly fee</w:t>
      </w:r>
    </w:p>
    <w:p w:rsidR="00C63652" w:rsidRPr="00CA1271" w:rsidRDefault="00C63652" w:rsidP="00C63652">
      <w:r w:rsidRPr="00CA1271">
        <w:t>Respondents generally suggested that the current monthly fee was not sufficient, and claimed that they provided a range of services that cannot be recovered within the existing price limit. The main concern raised within submissions is that the time spent with participants seemed to be the largest contributor to costs, with one submission commenting that labour costs were 70</w:t>
      </w:r>
      <w:r w:rsidR="00E80A7C" w:rsidRPr="00CA1271">
        <w:t>%</w:t>
      </w:r>
      <w:r w:rsidRPr="00CA1271">
        <w:t xml:space="preserve"> of their total costs. </w:t>
      </w:r>
    </w:p>
    <w:p w:rsidR="00C63652" w:rsidRPr="00CA1271" w:rsidRDefault="00C63652" w:rsidP="00C63652">
      <w:r w:rsidRPr="00CA1271">
        <w:t>Services and costs mentioned by respondents included:</w:t>
      </w:r>
    </w:p>
    <w:p w:rsidR="00C63652" w:rsidRPr="00CA1271" w:rsidRDefault="00C63652" w:rsidP="00C63652">
      <w:pPr>
        <w:pStyle w:val="DotPoint"/>
      </w:pPr>
      <w:r w:rsidRPr="00CA1271">
        <w:t>updating service bookings;</w:t>
      </w:r>
    </w:p>
    <w:p w:rsidR="00C63652" w:rsidRPr="00CA1271" w:rsidRDefault="00C63652" w:rsidP="00C63652">
      <w:pPr>
        <w:pStyle w:val="DotPoint"/>
      </w:pPr>
      <w:r w:rsidRPr="00CA1271">
        <w:t>providing advice, guidance and consultation;</w:t>
      </w:r>
    </w:p>
    <w:p w:rsidR="00C63652" w:rsidRPr="00CA1271" w:rsidRDefault="00C63652" w:rsidP="00C63652">
      <w:pPr>
        <w:pStyle w:val="DotPoint"/>
      </w:pPr>
      <w:r w:rsidRPr="00CA1271">
        <w:t>providing participants with a summary of plan budgets;</w:t>
      </w:r>
    </w:p>
    <w:p w:rsidR="00C63652" w:rsidRPr="00CA1271" w:rsidRDefault="00C63652" w:rsidP="00C63652">
      <w:pPr>
        <w:pStyle w:val="DotPoint"/>
      </w:pPr>
      <w:r w:rsidRPr="00CA1271">
        <w:t>presenting invoices to NDIS systems;</w:t>
      </w:r>
    </w:p>
    <w:p w:rsidR="00C63652" w:rsidRPr="00CA1271" w:rsidRDefault="00C63652" w:rsidP="00C63652">
      <w:pPr>
        <w:pStyle w:val="DotPoint"/>
      </w:pPr>
      <w:r w:rsidRPr="00CA1271">
        <w:t>remitting payments to providers;</w:t>
      </w:r>
    </w:p>
    <w:p w:rsidR="00C63652" w:rsidRPr="00CA1271" w:rsidRDefault="00C63652" w:rsidP="00C63652">
      <w:pPr>
        <w:pStyle w:val="DotPoint"/>
      </w:pPr>
      <w:r w:rsidRPr="00CA1271">
        <w:t>reconciling payments monthly;</w:t>
      </w:r>
    </w:p>
    <w:p w:rsidR="00C63652" w:rsidRPr="00CA1271" w:rsidRDefault="00C63652" w:rsidP="00C63652">
      <w:pPr>
        <w:pStyle w:val="DotPoint"/>
      </w:pPr>
      <w:r w:rsidRPr="00CA1271">
        <w:t>providing participants with invoices;</w:t>
      </w:r>
    </w:p>
    <w:p w:rsidR="00C63652" w:rsidRPr="00CA1271" w:rsidRDefault="00C63652" w:rsidP="00C63652">
      <w:pPr>
        <w:pStyle w:val="DotPoint"/>
      </w:pPr>
      <w:r w:rsidRPr="00CA1271">
        <w:t>ongoing monthly IT system costs; and</w:t>
      </w:r>
    </w:p>
    <w:p w:rsidR="00C63652" w:rsidRPr="00CA1271" w:rsidRDefault="00C63652" w:rsidP="00C63652">
      <w:pPr>
        <w:pStyle w:val="DotPoint"/>
      </w:pPr>
      <w:proofErr w:type="gramStart"/>
      <w:r w:rsidRPr="00CA1271">
        <w:t>software</w:t>
      </w:r>
      <w:proofErr w:type="gramEnd"/>
      <w:r w:rsidRPr="00CA1271">
        <w:t xml:space="preserve"> updates.</w:t>
      </w:r>
    </w:p>
    <w:p w:rsidR="00C63652" w:rsidRPr="00CA1271" w:rsidRDefault="00C63652" w:rsidP="00C63652">
      <w:r w:rsidRPr="00CA1271">
        <w:t>Members of the Working Group on Plan Management argued that the current monthly fee was not adequate for the role that Plan Man</w:t>
      </w:r>
      <w:r w:rsidR="000A3400" w:rsidRPr="00CA1271">
        <w:t>a</w:t>
      </w:r>
      <w:r w:rsidRPr="00CA1271">
        <w:t xml:space="preserve">gers sometimes play, including; acting as lawyers to interpret the NDIA legislation, particularly section 34; correcting invoices; and teaching people how to read the </w:t>
      </w:r>
      <w:r w:rsidR="000A3400" w:rsidRPr="00CA1271">
        <w:rPr>
          <w:i/>
        </w:rPr>
        <w:t>NDIS P</w:t>
      </w:r>
      <w:r w:rsidRPr="00CA1271">
        <w:rPr>
          <w:i/>
        </w:rPr>
        <w:t xml:space="preserve">rice </w:t>
      </w:r>
      <w:r w:rsidR="000A3400" w:rsidRPr="00CA1271">
        <w:rPr>
          <w:i/>
        </w:rPr>
        <w:t>G</w:t>
      </w:r>
      <w:r w:rsidRPr="00CA1271">
        <w:rPr>
          <w:i/>
        </w:rPr>
        <w:t>uide</w:t>
      </w:r>
      <w:r w:rsidRPr="00CA1271">
        <w:t xml:space="preserve"> and create correct invoices.</w:t>
      </w:r>
    </w:p>
    <w:p w:rsidR="00C63652" w:rsidRPr="00CA1271" w:rsidRDefault="00C63652" w:rsidP="00C63652">
      <w:r w:rsidRPr="00CA1271">
        <w:t>Several submissions commented that time costs are relative to the number of invoices processed for any one participant, ranging from small numbers to up to 50 invoices for processing per month. One respondent suggested that, on average, updating service bookings alone represented a cost of $7.21 per month per participant to them. Another respondent suggested that 10 hours of work per month was required for participants with higher support needs.</w:t>
      </w:r>
    </w:p>
    <w:p w:rsidR="00C63652" w:rsidRPr="00CA1271" w:rsidRDefault="00C63652" w:rsidP="00C63652">
      <w:r w:rsidRPr="00CA1271">
        <w:t xml:space="preserve">Most submissions commented that a fee based on the number of transactions was a better pricing structure than the fixed monthly fee. Several submissions suggested that a tiered-fee structure based on the complexity of a participant’s support needs could be introduced – to be determined by the Agency so as to capture the majority of complex plans. </w:t>
      </w:r>
    </w:p>
    <w:p w:rsidR="00C63652" w:rsidRPr="00CA1271" w:rsidRDefault="00C63652" w:rsidP="00C63652">
      <w:r w:rsidRPr="00CA1271">
        <w:t>Some respondents preferred a transaction-based approach to a total plan value-based approach, with one submission suggesting a 20</w:t>
      </w:r>
      <w:r w:rsidR="00E80A7C" w:rsidRPr="00CA1271">
        <w:t>%</w:t>
      </w:r>
      <w:r w:rsidRPr="00CA1271">
        <w:t xml:space="preserve"> loading for plans over $100,000 and increasing by 20</w:t>
      </w:r>
      <w:r w:rsidR="00E80A7C" w:rsidRPr="00CA1271">
        <w:t>%</w:t>
      </w:r>
      <w:r w:rsidRPr="00CA1271">
        <w:t xml:space="preserve"> per $100,000 to a cap to reflect the potential complexity and transactions. </w:t>
      </w:r>
    </w:p>
    <w:p w:rsidR="00C63652" w:rsidRPr="00CA1271" w:rsidRDefault="00C63652" w:rsidP="00C63652">
      <w:r w:rsidRPr="00CA1271">
        <w:t>There was also a combined solution put forth for both a monthly fixed fee plus additional fees based on the value of the plan, number of transactions or number of providers.</w:t>
      </w:r>
    </w:p>
    <w:p w:rsidR="00C63652" w:rsidRPr="00CA1271" w:rsidRDefault="00C63652" w:rsidP="00C63652">
      <w:r w:rsidRPr="00CA1271">
        <w:t xml:space="preserve">Conversely, there was also opposition to the transaction-based approach with several submissions asking to keep the current fee structure in place. These submissions noted that changes may add further administration time and complexity to services; the costs of monitoring transactions need to be considered; and it may adversely affect participants. </w:t>
      </w:r>
    </w:p>
    <w:p w:rsidR="00C63652" w:rsidRPr="00CA1271" w:rsidRDefault="00C63652" w:rsidP="00C63652">
      <w:r w:rsidRPr="00CA1271">
        <w:t xml:space="preserve">Members of the Working Group on Plan Management also discussed whether a flat rate was the best approach for fees, or whether fees should be proportional to plan budgets or participant complexity. Some members argued fees should be proportional to plan budgets, as participants with big plans take more time to manage. Conversely, some argued that plans </w:t>
      </w:r>
      <w:r w:rsidR="000A3400" w:rsidRPr="00CA1271">
        <w:t xml:space="preserve">could </w:t>
      </w:r>
      <w:r w:rsidRPr="00CA1271">
        <w:t xml:space="preserve">be over a million dollars, but still very simple if </w:t>
      </w:r>
      <w:r w:rsidR="000A3400" w:rsidRPr="00CA1271">
        <w:t xml:space="preserve">it </w:t>
      </w:r>
      <w:r w:rsidRPr="00CA1271">
        <w:t xml:space="preserve">is mostly assistive technology. </w:t>
      </w:r>
    </w:p>
    <w:p w:rsidR="00C63652" w:rsidRPr="00CA1271" w:rsidRDefault="00C63652" w:rsidP="00C63652">
      <w:pPr>
        <w:pStyle w:val="Heading3"/>
      </w:pPr>
      <w:r w:rsidRPr="00CA1271">
        <w:t>Hourly Fee</w:t>
      </w:r>
    </w:p>
    <w:p w:rsidR="00C63652" w:rsidRPr="00CA1271" w:rsidRDefault="00C63652" w:rsidP="00C63652">
      <w:r w:rsidRPr="00CA1271">
        <w:t>The majority of respondents requested for a higher price limit for the capacity building and training in plan administration and management support item. Comments included that the current rate is only slightly higher than a Disability Support Worker hourly price limit, however the qualifications required for this support were considerably higher than for a Disability Support Worker. It was noted by one respondent that their average wage rate for a bookkeeper was $30 per hour. Their average service charge was approximately $70 per hour, with some services over $100 per hour.</w:t>
      </w:r>
    </w:p>
    <w:p w:rsidR="00C63652" w:rsidRPr="00CA1271" w:rsidRDefault="00C63652" w:rsidP="00C63652">
      <w:pPr>
        <w:pStyle w:val="Heading3"/>
      </w:pPr>
      <w:r w:rsidRPr="00CA1271">
        <w:t>Indexation</w:t>
      </w:r>
    </w:p>
    <w:p w:rsidR="00C63652" w:rsidRPr="00CA1271" w:rsidRDefault="00C63652" w:rsidP="00C63652">
      <w:r w:rsidRPr="00CA1271">
        <w:t>Many respondents commented that indexation for plan management supports was too low, despite having the same inflationary</w:t>
      </w:r>
      <w:r w:rsidR="00DE306E" w:rsidRPr="00CA1271">
        <w:t xml:space="preserve"> percent</w:t>
      </w:r>
      <w:r w:rsidRPr="00CA1271">
        <w:t>age adjustment as other capacity building supports. Some responses compared the dollar value changes to other capacity building and core supports. One submission suggested that the Fair Work Commission’s minimum wage decision adjustment be applied to plan management supports. Providers who attended the Working Group on Plan Management agreed that plan management fees should be indexed by CPI.</w:t>
      </w:r>
    </w:p>
    <w:p w:rsidR="00C63652" w:rsidRPr="00CA1271" w:rsidRDefault="00C63652" w:rsidP="00C63652">
      <w:pPr>
        <w:pStyle w:val="Heading3"/>
      </w:pPr>
      <w:r w:rsidRPr="00CA1271">
        <w:t>Non-face-to-face services</w:t>
      </w:r>
    </w:p>
    <w:p w:rsidR="007F25A4" w:rsidRPr="00CA1271" w:rsidRDefault="007F25A4" w:rsidP="007F25A4">
      <w:r w:rsidRPr="00CA1271">
        <w:t>The majority of submissions received suggested that plan management providers should be able to claim for provider travel. Several respondents commented that travel arrangements should be the same as support coordinators, noting that travel time is a cost to deliver support. It was also proposed by some submissions that this change would encourage plan managers to provide more face-to-face services to participants. It was also mentioned that participants might expect training to occur on their own computer, which may not be replicated in an office, and that plan managers should have the option to work alongside a participant.</w:t>
      </w:r>
    </w:p>
    <w:p w:rsidR="007F25A4" w:rsidRPr="00CA1271" w:rsidRDefault="007F25A4" w:rsidP="007F25A4">
      <w:r w:rsidRPr="00CA1271">
        <w:t>One submission commented that plan management providers should not be able to claim for provider travel as the majority of tasks do not require face-to-face interactions.</w:t>
      </w:r>
    </w:p>
    <w:p w:rsidR="00C63652" w:rsidRPr="00CA1271" w:rsidRDefault="00EB30F1" w:rsidP="007F25A4">
      <w:r w:rsidRPr="00CA1271">
        <w:t>Many</w:t>
      </w:r>
      <w:r w:rsidR="00C63652" w:rsidRPr="00CA1271">
        <w:t xml:space="preserve"> submissions</w:t>
      </w:r>
      <w:r w:rsidRPr="00CA1271">
        <w:t xml:space="preserve"> from plan management providers</w:t>
      </w:r>
      <w:r w:rsidR="00C63652" w:rsidRPr="00CA1271">
        <w:t xml:space="preserve"> suggested that</w:t>
      </w:r>
      <w:r w:rsidRPr="00CA1271">
        <w:t xml:space="preserve"> they</w:t>
      </w:r>
      <w:r w:rsidR="00C63652" w:rsidRPr="00CA1271">
        <w:t xml:space="preserve"> should be </w:t>
      </w:r>
      <w:r w:rsidRPr="00CA1271">
        <w:t>able</w:t>
      </w:r>
      <w:r w:rsidR="00C63652" w:rsidRPr="00CA1271">
        <w:t xml:space="preserve"> to </w:t>
      </w:r>
      <w:r w:rsidR="00C4242B" w:rsidRPr="00CA1271">
        <w:t>claim</w:t>
      </w:r>
      <w:r w:rsidR="00C63652" w:rsidRPr="00CA1271">
        <w:t xml:space="preserve"> for non-face-to-face </w:t>
      </w:r>
      <w:r w:rsidR="007F25A4" w:rsidRPr="00CA1271">
        <w:t>supports</w:t>
      </w:r>
      <w:r w:rsidR="00C63652" w:rsidRPr="00CA1271">
        <w:t xml:space="preserve"> when providing capacity building and training in plan administration and management supports</w:t>
      </w:r>
      <w:r w:rsidRPr="00CA1271">
        <w:t>, including for</w:t>
      </w:r>
      <w:r w:rsidR="00C63652" w:rsidRPr="00CA1271">
        <w:t>:</w:t>
      </w:r>
    </w:p>
    <w:p w:rsidR="00C63652" w:rsidRPr="00CA1271" w:rsidRDefault="00C63652" w:rsidP="00C63652">
      <w:pPr>
        <w:pStyle w:val="DotPoint"/>
      </w:pPr>
      <w:r w:rsidRPr="00CA1271">
        <w:t>the creation of personalised resources, templates and tools;</w:t>
      </w:r>
    </w:p>
    <w:p w:rsidR="00C63652" w:rsidRPr="00CA1271" w:rsidRDefault="00C63652" w:rsidP="00C63652">
      <w:pPr>
        <w:pStyle w:val="DotPoint"/>
      </w:pPr>
      <w:r w:rsidRPr="00CA1271">
        <w:t>developing budgets or forecasts;</w:t>
      </w:r>
    </w:p>
    <w:p w:rsidR="00C63652" w:rsidRPr="00CA1271" w:rsidRDefault="00C63652" w:rsidP="00C63652">
      <w:pPr>
        <w:pStyle w:val="DotPoint"/>
      </w:pPr>
      <w:r w:rsidRPr="00CA1271">
        <w:t xml:space="preserve">providing clarifications and explanation on budgets and spends over the phone; and </w:t>
      </w:r>
    </w:p>
    <w:p w:rsidR="00C63652" w:rsidRPr="00CA1271" w:rsidRDefault="00C63652" w:rsidP="00C63652">
      <w:pPr>
        <w:pStyle w:val="DotPoint"/>
      </w:pPr>
      <w:proofErr w:type="gramStart"/>
      <w:r w:rsidRPr="00CA1271">
        <w:t>creating</w:t>
      </w:r>
      <w:proofErr w:type="gramEnd"/>
      <w:r w:rsidRPr="00CA1271">
        <w:t xml:space="preserve"> training videos specific to the participants needs.</w:t>
      </w:r>
    </w:p>
    <w:p w:rsidR="007F25A4" w:rsidRPr="00CA1271" w:rsidRDefault="007F25A4" w:rsidP="007F25A4">
      <w:pPr>
        <w:pStyle w:val="Heading3"/>
      </w:pPr>
      <w:r w:rsidRPr="00CA1271">
        <w:t>Other issues</w:t>
      </w:r>
    </w:p>
    <w:p w:rsidR="00C63652" w:rsidRPr="00CA1271" w:rsidRDefault="00C63652" w:rsidP="00C63652">
      <w:r w:rsidRPr="00CA1271">
        <w:t>Other issues raised by respondents on plan management supports include</w:t>
      </w:r>
      <w:r w:rsidR="00242B16" w:rsidRPr="00CA1271">
        <w:t>d</w:t>
      </w:r>
      <w:r w:rsidRPr="00CA1271">
        <w:t>:</w:t>
      </w:r>
    </w:p>
    <w:p w:rsidR="00C63652" w:rsidRPr="00CA1271" w:rsidRDefault="00C63652" w:rsidP="00C63652">
      <w:pPr>
        <w:pStyle w:val="DotPoint"/>
      </w:pPr>
      <w:r w:rsidRPr="00CA1271">
        <w:t>Payment portal functionality;</w:t>
      </w:r>
    </w:p>
    <w:p w:rsidR="00C63652" w:rsidRPr="00CA1271" w:rsidRDefault="00C63652" w:rsidP="00C63652">
      <w:pPr>
        <w:pStyle w:val="DotPoint"/>
      </w:pPr>
      <w:r w:rsidRPr="00CA1271">
        <w:t>Difficulties updating service bookings when required;</w:t>
      </w:r>
    </w:p>
    <w:p w:rsidR="00C63652" w:rsidRPr="00CA1271" w:rsidRDefault="00C63652" w:rsidP="00C63652">
      <w:pPr>
        <w:pStyle w:val="DotPoint"/>
      </w:pPr>
      <w:r w:rsidRPr="00CA1271">
        <w:t>More clarification required on the role of the plan manager; and</w:t>
      </w:r>
    </w:p>
    <w:p w:rsidR="007F25A4" w:rsidRPr="00CA1271" w:rsidRDefault="00C63652" w:rsidP="007F25A4">
      <w:pPr>
        <w:pStyle w:val="DotPoint"/>
      </w:pPr>
      <w:r w:rsidRPr="00CA1271">
        <w:t>Guidelines for supports and what they encompass.</w:t>
      </w:r>
    </w:p>
    <w:p w:rsidR="00C63652" w:rsidRPr="00CA1271" w:rsidRDefault="00C63652" w:rsidP="00C63652">
      <w:pPr>
        <w:pStyle w:val="Heading2"/>
      </w:pPr>
      <w:bookmarkStart w:id="93" w:name="_Toc42014743"/>
      <w:r w:rsidRPr="00CA1271">
        <w:t>Discussion</w:t>
      </w:r>
      <w:bookmarkEnd w:id="93"/>
    </w:p>
    <w:p w:rsidR="00C63652" w:rsidRPr="00CA1271" w:rsidRDefault="00C63652" w:rsidP="00C63652">
      <w:r w:rsidRPr="00CA1271">
        <w:t>There is little evidence that current price limits for plan ma</w:t>
      </w:r>
      <w:r w:rsidR="00EB30F1" w:rsidRPr="00CA1271">
        <w:t>nagement are inadequate. T</w:t>
      </w:r>
      <w:r w:rsidRPr="00CA1271">
        <w:t>he number of NDIS registered providers offering plan management services increased from less than 50 to just over 800 between 2016 and 2019</w:t>
      </w:r>
      <w:r w:rsidR="00EB30F1" w:rsidRPr="00CA1271">
        <w:t xml:space="preserve"> (see </w:t>
      </w:r>
      <w:r w:rsidR="00EB30F1" w:rsidRPr="00CA1271">
        <w:fldChar w:fldCharType="begin"/>
      </w:r>
      <w:r w:rsidR="00EB30F1" w:rsidRPr="00CA1271">
        <w:instrText xml:space="preserve"> REF _Ref38224467 \h </w:instrText>
      </w:r>
      <w:r w:rsidR="006D7957" w:rsidRPr="00CA1271">
        <w:instrText xml:space="preserve"> \* MERGEFORMAT </w:instrText>
      </w:r>
      <w:r w:rsidR="00EB30F1" w:rsidRPr="00CA1271">
        <w:fldChar w:fldCharType="separate"/>
      </w:r>
      <w:r w:rsidR="00B621CC" w:rsidRPr="00CA1271">
        <w:t xml:space="preserve">Figure </w:t>
      </w:r>
      <w:r w:rsidR="00B621CC">
        <w:rPr>
          <w:noProof/>
        </w:rPr>
        <w:t>5</w:t>
      </w:r>
      <w:r w:rsidR="00EB30F1" w:rsidRPr="00CA1271">
        <w:fldChar w:fldCharType="end"/>
      </w:r>
      <w:r w:rsidR="00EB30F1" w:rsidRPr="00CA1271">
        <w:t>)</w:t>
      </w:r>
      <w:r w:rsidRPr="00CA1271">
        <w:t xml:space="preserve">. </w:t>
      </w:r>
      <w:r w:rsidR="00EB30F1" w:rsidRPr="00CA1271">
        <w:t>However, the number of providers offering capacity building supports has not grown significantly over that period.</w:t>
      </w:r>
    </w:p>
    <w:p w:rsidR="000A3400" w:rsidRPr="00CA1271" w:rsidRDefault="000A3400" w:rsidP="000A3400">
      <w:pPr>
        <w:pStyle w:val="Caption"/>
      </w:pPr>
      <w:r w:rsidRPr="00CA1271">
        <w:t xml:space="preserve"> </w:t>
      </w:r>
      <w:bookmarkStart w:id="94" w:name="_Ref38224467"/>
      <w:bookmarkStart w:id="95" w:name="_Toc42014777"/>
      <w:r w:rsidRPr="00CA1271">
        <w:t xml:space="preserve">Figure </w:t>
      </w:r>
      <w:r w:rsidRPr="00CA1271">
        <w:fldChar w:fldCharType="begin"/>
      </w:r>
      <w:r w:rsidRPr="00CA1271">
        <w:instrText xml:space="preserve"> SEQ Figure \* ARABIC </w:instrText>
      </w:r>
      <w:r w:rsidRPr="00CA1271">
        <w:fldChar w:fldCharType="separate"/>
      </w:r>
      <w:r w:rsidR="00B621CC">
        <w:rPr>
          <w:noProof/>
        </w:rPr>
        <w:t>5</w:t>
      </w:r>
      <w:r w:rsidRPr="00CA1271">
        <w:fldChar w:fldCharType="end"/>
      </w:r>
      <w:bookmarkEnd w:id="94"/>
      <w:r w:rsidR="008E6A7F">
        <w:t xml:space="preserve"> - Number of Providers Claiming per Q</w:t>
      </w:r>
      <w:r w:rsidRPr="00CA1271">
        <w:t>uarter from 2016 to 2019</w:t>
      </w:r>
      <w:bookmarkEnd w:id="95"/>
    </w:p>
    <w:p w:rsidR="000A3400" w:rsidRPr="00CA1271" w:rsidRDefault="00EB30F1" w:rsidP="000A3400">
      <w:pPr>
        <w:jc w:val="center"/>
        <w:rPr>
          <w:rFonts w:cstheme="minorHAnsi"/>
          <w:szCs w:val="22"/>
        </w:rPr>
      </w:pPr>
      <w:r w:rsidRPr="00CA1271">
        <w:rPr>
          <w:rFonts w:cstheme="minorHAnsi"/>
          <w:noProof/>
          <w:szCs w:val="22"/>
          <w:lang w:eastAsia="en-AU"/>
        </w:rPr>
        <w:drawing>
          <wp:inline distT="0" distB="0" distL="0" distR="0" wp14:anchorId="471D8ED0" wp14:editId="281D28B1">
            <wp:extent cx="5040000" cy="3294000"/>
            <wp:effectExtent l="0" t="0" r="8255" b="1905"/>
            <wp:docPr id="18" name="Picture 18" title=" Figure 5 - Number of Providers Claiming per Quarter from 2016 t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0" cy="3294000"/>
                    </a:xfrm>
                    <a:prstGeom prst="rect">
                      <a:avLst/>
                    </a:prstGeom>
                    <a:noFill/>
                  </pic:spPr>
                </pic:pic>
              </a:graphicData>
            </a:graphic>
          </wp:inline>
        </w:drawing>
      </w:r>
    </w:p>
    <w:p w:rsidR="00C63652" w:rsidRPr="00CA1271" w:rsidRDefault="00C63652" w:rsidP="00C63652">
      <w:r w:rsidRPr="00CA1271">
        <w:t xml:space="preserve">The </w:t>
      </w:r>
      <w:r w:rsidR="000A3400" w:rsidRPr="00CA1271">
        <w:t xml:space="preserve">NDIS </w:t>
      </w:r>
      <w:r w:rsidRPr="00CA1271">
        <w:t>revenue earned by plan man</w:t>
      </w:r>
      <w:r w:rsidR="000A3400" w:rsidRPr="00CA1271">
        <w:t>a</w:t>
      </w:r>
      <w:r w:rsidRPr="00CA1271">
        <w:t>gers from the monthly account fee has also grown significantly, in</w:t>
      </w:r>
      <w:r w:rsidR="00EB30F1" w:rsidRPr="00CA1271">
        <w:t xml:space="preserve"> </w:t>
      </w:r>
      <w:r w:rsidRPr="00CA1271">
        <w:t>line with the growth of the Scheme</w:t>
      </w:r>
      <w:r w:rsidR="00EB30F1" w:rsidRPr="00CA1271">
        <w:t xml:space="preserve"> (see </w:t>
      </w:r>
      <w:r w:rsidR="00EB30F1" w:rsidRPr="00CA1271">
        <w:fldChar w:fldCharType="begin"/>
      </w:r>
      <w:r w:rsidR="00EB30F1" w:rsidRPr="00CA1271">
        <w:instrText xml:space="preserve"> REF _Ref38224636 \h </w:instrText>
      </w:r>
      <w:r w:rsidR="006D7957" w:rsidRPr="00CA1271">
        <w:instrText xml:space="preserve"> \* MERGEFORMAT </w:instrText>
      </w:r>
      <w:r w:rsidR="00EB30F1" w:rsidRPr="00CA1271">
        <w:fldChar w:fldCharType="separate"/>
      </w:r>
      <w:r w:rsidR="00B621CC" w:rsidRPr="00CA1271">
        <w:t xml:space="preserve">Figure </w:t>
      </w:r>
      <w:r w:rsidR="00B621CC">
        <w:rPr>
          <w:noProof/>
        </w:rPr>
        <w:t>6</w:t>
      </w:r>
      <w:r w:rsidR="00EB30F1" w:rsidRPr="00CA1271">
        <w:fldChar w:fldCharType="end"/>
      </w:r>
      <w:r w:rsidR="00EB30F1" w:rsidRPr="00CA1271">
        <w:t>)</w:t>
      </w:r>
      <w:r w:rsidRPr="00CA1271">
        <w:t xml:space="preserve">. </w:t>
      </w:r>
    </w:p>
    <w:p w:rsidR="000A3400" w:rsidRPr="00CA1271" w:rsidRDefault="000A3400" w:rsidP="000A3400">
      <w:pPr>
        <w:pStyle w:val="Caption"/>
      </w:pPr>
      <w:r w:rsidRPr="00CA1271">
        <w:t xml:space="preserve"> </w:t>
      </w:r>
      <w:bookmarkStart w:id="96" w:name="_Ref38224636"/>
      <w:bookmarkStart w:id="97" w:name="_Toc42014778"/>
      <w:r w:rsidRPr="00CA1271">
        <w:t xml:space="preserve">Figure </w:t>
      </w:r>
      <w:r w:rsidRPr="00CA1271">
        <w:fldChar w:fldCharType="begin"/>
      </w:r>
      <w:r w:rsidRPr="00CA1271">
        <w:instrText xml:space="preserve"> SEQ Figure \* ARABIC </w:instrText>
      </w:r>
      <w:r w:rsidRPr="00CA1271">
        <w:fldChar w:fldCharType="separate"/>
      </w:r>
      <w:r w:rsidR="00B621CC">
        <w:rPr>
          <w:noProof/>
        </w:rPr>
        <w:t>6</w:t>
      </w:r>
      <w:r w:rsidRPr="00CA1271">
        <w:fldChar w:fldCharType="end"/>
      </w:r>
      <w:bookmarkEnd w:id="96"/>
      <w:r w:rsidR="008E6A7F">
        <w:t xml:space="preserve"> - NDIS Revenue Claimed by Plan Managers from Monthly F</w:t>
      </w:r>
      <w:r w:rsidRPr="00CA1271">
        <w:t>ees</w:t>
      </w:r>
      <w:r w:rsidR="008E6A7F">
        <w:t>, b</w:t>
      </w:r>
      <w:r w:rsidR="00233A7D" w:rsidRPr="00CA1271">
        <w:t>y Quarter, 201</w:t>
      </w:r>
      <w:r w:rsidR="00160372">
        <w:t>6</w:t>
      </w:r>
      <w:r w:rsidR="00233A7D" w:rsidRPr="00CA1271">
        <w:t>-2019</w:t>
      </w:r>
      <w:bookmarkEnd w:id="97"/>
    </w:p>
    <w:p w:rsidR="000A3400" w:rsidRPr="00CA1271" w:rsidRDefault="00EB30F1" w:rsidP="000A3400">
      <w:pPr>
        <w:jc w:val="center"/>
        <w:rPr>
          <w:rFonts w:cstheme="minorHAnsi"/>
          <w:szCs w:val="22"/>
        </w:rPr>
      </w:pPr>
      <w:r w:rsidRPr="00CA1271">
        <w:rPr>
          <w:rFonts w:cstheme="minorHAnsi"/>
          <w:noProof/>
          <w:szCs w:val="22"/>
          <w:lang w:eastAsia="en-AU"/>
        </w:rPr>
        <w:drawing>
          <wp:inline distT="0" distB="0" distL="0" distR="0" wp14:anchorId="7B27D21A" wp14:editId="0C283ADE">
            <wp:extent cx="5040000" cy="3294000"/>
            <wp:effectExtent l="0" t="0" r="8255" b="1905"/>
            <wp:docPr id="19" name="Picture 19" title=" Figure 6 - NDIS Revenue Claimed by Plan Managers from Monthly Fees, by Quarter, 2016-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0000" cy="3294000"/>
                    </a:xfrm>
                    <a:prstGeom prst="rect">
                      <a:avLst/>
                    </a:prstGeom>
                    <a:noFill/>
                  </pic:spPr>
                </pic:pic>
              </a:graphicData>
            </a:graphic>
          </wp:inline>
        </w:drawing>
      </w:r>
    </w:p>
    <w:p w:rsidR="00C63652" w:rsidRPr="00CA1271" w:rsidRDefault="00C63652" w:rsidP="00C63652">
      <w:r w:rsidRPr="00CA1271">
        <w:t>The scale of plan management organisations is also growing with the average number of participants per plan management organisation increasing from 41 in September 2016, to 204 in September 2019. The largest five plan management providers now service approximately 30</w:t>
      </w:r>
      <w:r w:rsidR="00E80A7C" w:rsidRPr="00CA1271">
        <w:t>%</w:t>
      </w:r>
      <w:r w:rsidRPr="00CA1271">
        <w:t xml:space="preserve"> of the market. Four of these five providers were established in the last 48 months. </w:t>
      </w:r>
    </w:p>
    <w:p w:rsidR="00C63652" w:rsidRPr="00CA1271" w:rsidRDefault="00C63652" w:rsidP="00C63652">
      <w:r w:rsidRPr="00CA1271">
        <w:t xml:space="preserve">Few plan management providers have exited the market and early research indicates that those who have exited may not have had the growth required to operate at sustainable margins. Most providers that have exited made a total of less than 24 claims over their lifetime of up to 3.5 years. </w:t>
      </w:r>
    </w:p>
    <w:p w:rsidR="00C63652" w:rsidRPr="00CA1271" w:rsidRDefault="00C63652" w:rsidP="00C63652">
      <w:r w:rsidRPr="00CA1271">
        <w:t xml:space="preserve">Another perspective on the adequacy of the current price limits can be gained from an analysis of </w:t>
      </w:r>
      <w:r w:rsidR="00956B25" w:rsidRPr="00CA1271">
        <w:t>Googles Ads. An analysis by the Review of Google Ads data showed</w:t>
      </w:r>
      <w:r w:rsidRPr="00CA1271">
        <w:t xml:space="preserve"> a cost per click of $6.32, with 201,000 searches for plan management per month. There are over 8 search engine pages with businesses offering plan management services. The amount of online advertising indicates a high level of competition. The cost per click of $6.32 indicating a willingness of providers to pay for new customers of $63.20 based on a 20% click to call conversion rate, and 50% call to booking conversion rate.</w:t>
      </w:r>
    </w:p>
    <w:p w:rsidR="00C63652" w:rsidRPr="00CA1271" w:rsidRDefault="00C63652" w:rsidP="00C63652">
      <w:r w:rsidRPr="00CA1271">
        <w:t>There are some early signs of innovation in the plan management industry. Examples include allowing instantaneous payment to providers at the point of service for some therapy supports, and integrated mobile applications allowing participants to easily access information on their supports.</w:t>
      </w:r>
    </w:p>
    <w:p w:rsidR="00C63652" w:rsidRPr="00CA1271" w:rsidRDefault="00C63652" w:rsidP="00C63652">
      <w:r w:rsidRPr="00CA1271">
        <w:t xml:space="preserve">Early findings indicate that most Plan Managers are likely to charge the price limit for services, despite increased competition. There are few incentives for participants to consider price when choosing a plan management provider, as plan management services are added on top of the participant’s typical support package, and are stated. </w:t>
      </w:r>
    </w:p>
    <w:p w:rsidR="00C63652" w:rsidRPr="00CA1271" w:rsidRDefault="00C63652" w:rsidP="00C63652">
      <w:r w:rsidRPr="00CA1271">
        <w:t>On balance, the Review concludes that there is no evidence of a gap in supply for plan management services. Competition is strong</w:t>
      </w:r>
      <w:r w:rsidRPr="00CA1271">
        <w:rPr>
          <w:color w:val="1F497D"/>
        </w:rPr>
        <w:t xml:space="preserve"> </w:t>
      </w:r>
      <w:r w:rsidRPr="00CA1271">
        <w:rPr>
          <w:color w:val="000000"/>
        </w:rPr>
        <w:t>with</w:t>
      </w:r>
      <w:r w:rsidRPr="00CA1271">
        <w:t xml:space="preserve"> new competitors entering the market, there is </w:t>
      </w:r>
      <w:r w:rsidRPr="00CA1271">
        <w:rPr>
          <w:color w:val="000000"/>
        </w:rPr>
        <w:t xml:space="preserve">also </w:t>
      </w:r>
      <w:r w:rsidRPr="00CA1271">
        <w:t xml:space="preserve">strong growth in the sector both in terms of revenue and customer numbers. There also see early signs of innovation. The current flat fee structure is simple, has been iterated over time from less successful arrangements including quoting, and has been implemented on a national scale. A flat fee structure (as opposed to hourly rate) is appropriate for financial administration tasks as it can encourage efficiency. </w:t>
      </w:r>
    </w:p>
    <w:p w:rsidR="00C63652" w:rsidRPr="00CA1271" w:rsidRDefault="00C63652" w:rsidP="00C63652">
      <w:r w:rsidRPr="00CA1271">
        <w:t xml:space="preserve">There is some evidence that the </w:t>
      </w:r>
      <w:r w:rsidRPr="00CA1271">
        <w:rPr>
          <w:i/>
        </w:rPr>
        <w:t xml:space="preserve">capacity building and training in plan administration and management </w:t>
      </w:r>
      <w:r w:rsidRPr="00CA1271">
        <w:t>support item may not be functioning as intended. There are strong arguments why providers should be able to claim for non-face-to-face time and provider travel for this support item. The argument for an increase in the price limit for this item is less strong, given that it is already higher than the standard Disability Support Worker price limit and is aligned with the Level 1: Support Connection price limit.</w:t>
      </w:r>
    </w:p>
    <w:p w:rsidR="00C63652" w:rsidRPr="00CA1271" w:rsidRDefault="00C63652" w:rsidP="00C63652">
      <w:pPr>
        <w:pStyle w:val="Heading2"/>
      </w:pPr>
      <w:bookmarkStart w:id="98" w:name="_Toc42014744"/>
      <w:r w:rsidRPr="00CA1271">
        <w:t>Recommendation</w:t>
      </w:r>
      <w:bookmarkEnd w:id="98"/>
    </w:p>
    <w:p w:rsidR="00C63652" w:rsidRPr="00CA1271" w:rsidRDefault="00C63652" w:rsidP="00C63652">
      <w:pPr>
        <w:pStyle w:val="REcommendation"/>
        <w:rPr>
          <w:b/>
        </w:rPr>
      </w:pPr>
      <w:r w:rsidRPr="00CA1271">
        <w:rPr>
          <w:b/>
        </w:rPr>
        <w:t>Plan Management</w:t>
      </w:r>
    </w:p>
    <w:p w:rsidR="00C63652" w:rsidRPr="00CA1271" w:rsidRDefault="0008512C" w:rsidP="00C63652">
      <w:pPr>
        <w:pStyle w:val="REcommendation"/>
        <w:numPr>
          <w:ilvl w:val="0"/>
          <w:numId w:val="0"/>
        </w:numPr>
        <w:ind w:left="851"/>
      </w:pPr>
      <w:r w:rsidRPr="00CA1271">
        <w:t>The NDIA</w:t>
      </w:r>
      <w:r w:rsidR="00C63652" w:rsidRPr="00CA1271">
        <w:t xml:space="preserve"> should amend the conditions attached to the support items:</w:t>
      </w:r>
    </w:p>
    <w:p w:rsidR="00654A17" w:rsidRDefault="00654A17" w:rsidP="00654A17">
      <w:pPr>
        <w:pStyle w:val="REcommendation"/>
        <w:keepNext w:val="0"/>
        <w:numPr>
          <w:ilvl w:val="2"/>
          <w:numId w:val="11"/>
        </w:numPr>
      </w:pPr>
      <w:r w:rsidRPr="00CA1271">
        <w:t>07_003_0117_8_3 (Capacity Building and Training in Plan and Financial Manag</w:t>
      </w:r>
      <w:r>
        <w:t xml:space="preserve">ement by a Support Coordinator); and </w:t>
      </w:r>
    </w:p>
    <w:p w:rsidR="00654A17" w:rsidRPr="00CA1271" w:rsidRDefault="00654A17" w:rsidP="00654A17">
      <w:pPr>
        <w:pStyle w:val="REcommendation"/>
        <w:keepNext w:val="0"/>
        <w:numPr>
          <w:ilvl w:val="2"/>
          <w:numId w:val="11"/>
        </w:numPr>
      </w:pPr>
      <w:r>
        <w:t>1</w:t>
      </w:r>
      <w:r w:rsidRPr="00CA1271">
        <w:t>4_031_0127_8_3 (Capacity Building and Training in Plan and Financial Ma</w:t>
      </w:r>
      <w:r>
        <w:t>nagement by a Plan Manager)</w:t>
      </w:r>
    </w:p>
    <w:p w:rsidR="00C63652" w:rsidRPr="00CA1271" w:rsidRDefault="00C63652" w:rsidP="00C63652">
      <w:pPr>
        <w:pStyle w:val="REcommendation"/>
        <w:numPr>
          <w:ilvl w:val="0"/>
          <w:numId w:val="0"/>
        </w:numPr>
        <w:ind w:left="851"/>
        <w:sectPr w:rsidR="00C63652" w:rsidRPr="00CA1271" w:rsidSect="00CA5B7E">
          <w:pgSz w:w="11907" w:h="16839" w:code="9"/>
          <w:pgMar w:top="1418" w:right="1418" w:bottom="1418" w:left="1418" w:header="709" w:footer="709" w:gutter="0"/>
          <w:cols w:space="708"/>
          <w:titlePg/>
          <w:docGrid w:linePitch="360"/>
        </w:sectPr>
      </w:pPr>
      <w:r w:rsidRPr="00CA1271">
        <w:t xml:space="preserve">In the </w:t>
      </w:r>
      <w:r w:rsidRPr="00CA1271">
        <w:rPr>
          <w:i/>
        </w:rPr>
        <w:t>NDIS Support Catalogue</w:t>
      </w:r>
      <w:r w:rsidRPr="00CA1271">
        <w:t xml:space="preserve"> so that providers can </w:t>
      </w:r>
      <w:r w:rsidR="00C4242B" w:rsidRPr="00CA1271">
        <w:t>claim</w:t>
      </w:r>
      <w:r w:rsidRPr="00CA1271">
        <w:t xml:space="preserve"> for provider travel and non-face-to-face supports with respect to these supports. </w:t>
      </w:r>
    </w:p>
    <w:p w:rsidR="00C63652" w:rsidRPr="00CA1271" w:rsidRDefault="00C63652" w:rsidP="00C63652">
      <w:pPr>
        <w:pStyle w:val="Heading1"/>
        <w:numPr>
          <w:ilvl w:val="0"/>
          <w:numId w:val="6"/>
        </w:numPr>
        <w:ind w:left="567" w:hanging="567"/>
      </w:pPr>
      <w:bookmarkStart w:id="99" w:name="_Toc42014745"/>
      <w:bookmarkStart w:id="100" w:name="_Ref42689478"/>
      <w:bookmarkStart w:id="101" w:name="_Ref42689483"/>
      <w:r w:rsidRPr="00CA1271">
        <w:t>Classifying Regional, Remote and Very Remote</w:t>
      </w:r>
      <w:bookmarkEnd w:id="99"/>
      <w:bookmarkEnd w:id="100"/>
      <w:bookmarkEnd w:id="101"/>
    </w:p>
    <w:p w:rsidR="00C63652" w:rsidRPr="00CA1271" w:rsidRDefault="00C63652" w:rsidP="00C63652">
      <w:r w:rsidRPr="00CA1271">
        <w:t>The Review was required by its Terms of Reference to examine the geographic classification component of the NDIS price control framework to examine whether modifications are required to the NDIA’s implementation of the Modified Monash Model (MMM) to account for specific disability service-related costs, including the treatment of “isolated locations” and islands under the MMM.</w:t>
      </w:r>
    </w:p>
    <w:p w:rsidR="00C63652" w:rsidRPr="00CA1271" w:rsidRDefault="00C63652" w:rsidP="00C63652">
      <w:pPr>
        <w:pStyle w:val="Heading2"/>
      </w:pPr>
      <w:bookmarkStart w:id="102" w:name="_Toc42014746"/>
      <w:r w:rsidRPr="00CA1271">
        <w:t>Current Arrangements</w:t>
      </w:r>
      <w:bookmarkEnd w:id="102"/>
      <w:r w:rsidRPr="00CA1271">
        <w:t xml:space="preserve"> </w:t>
      </w:r>
    </w:p>
    <w:p w:rsidR="00C63652" w:rsidRPr="00CA1271" w:rsidRDefault="00C63652" w:rsidP="00C63652">
      <w:r w:rsidRPr="00CA1271">
        <w:t xml:space="preserve">The </w:t>
      </w:r>
      <w:r w:rsidR="00E17670" w:rsidRPr="00CA1271">
        <w:t>NDIA</w:t>
      </w:r>
      <w:r w:rsidRPr="00CA1271">
        <w:t xml:space="preserve"> uses the 2015 version of the Modified Monash Model (MMM2015) to determine regional, remote and very remote areas.</w:t>
      </w:r>
      <w:r w:rsidR="00E17670" w:rsidRPr="00CA1271">
        <w:t xml:space="preserve"> The</w:t>
      </w:r>
      <w:r w:rsidRPr="00CA1271">
        <w:t xml:space="preserve"> </w:t>
      </w:r>
      <w:r w:rsidR="00E17670" w:rsidRPr="00CA1271">
        <w:t xml:space="preserve">MMM geographic classification of a locality is </w:t>
      </w:r>
      <w:r w:rsidRPr="00CA1271">
        <w:t xml:space="preserve">principally </w:t>
      </w:r>
      <w:r w:rsidR="00E17670" w:rsidRPr="00CA1271">
        <w:t xml:space="preserve">based with the </w:t>
      </w:r>
      <w:r w:rsidRPr="00CA1271">
        <w:t xml:space="preserve">distance from </w:t>
      </w:r>
      <w:r w:rsidR="00E17670" w:rsidRPr="00CA1271">
        <w:t>that locality</w:t>
      </w:r>
      <w:r w:rsidRPr="00CA1271">
        <w:t xml:space="preserve"> to the nearest population centre and the size of that population centre (</w:t>
      </w:r>
      <w:r w:rsidR="00E17670" w:rsidRPr="00CA1271">
        <w:t xml:space="preserve">see </w:t>
      </w:r>
      <w:r w:rsidR="00E17670" w:rsidRPr="00CA1271">
        <w:fldChar w:fldCharType="begin"/>
      </w:r>
      <w:r w:rsidR="00E17670" w:rsidRPr="00CA1271">
        <w:instrText xml:space="preserve"> REF _Ref38183547 \h </w:instrText>
      </w:r>
      <w:r w:rsidR="006D7957" w:rsidRPr="00CA1271">
        <w:instrText xml:space="preserve"> \* MERGEFORMAT </w:instrText>
      </w:r>
      <w:r w:rsidR="00E17670" w:rsidRPr="00CA1271">
        <w:fldChar w:fldCharType="separate"/>
      </w:r>
      <w:r w:rsidR="00B621CC" w:rsidRPr="00CA1271">
        <w:t xml:space="preserve">Table </w:t>
      </w:r>
      <w:r w:rsidR="00B621CC">
        <w:rPr>
          <w:noProof/>
        </w:rPr>
        <w:t>9</w:t>
      </w:r>
      <w:r w:rsidR="00E17670" w:rsidRPr="00CA1271">
        <w:fldChar w:fldCharType="end"/>
      </w:r>
      <w:r w:rsidRPr="00CA1271">
        <w:t xml:space="preserve">). </w:t>
      </w:r>
    </w:p>
    <w:p w:rsidR="00E17670" w:rsidRPr="00CA1271" w:rsidRDefault="00E17670" w:rsidP="00E17670">
      <w:pPr>
        <w:pStyle w:val="Caption"/>
      </w:pPr>
      <w:bookmarkStart w:id="103" w:name="_Ref38183547"/>
      <w:bookmarkStart w:id="104" w:name="_Toc42014788"/>
      <w:r w:rsidRPr="00CA1271">
        <w:t xml:space="preserve">Table </w:t>
      </w:r>
      <w:r w:rsidRPr="00CA1271">
        <w:fldChar w:fldCharType="begin"/>
      </w:r>
      <w:r w:rsidRPr="00CA1271">
        <w:instrText xml:space="preserve"> SEQ Table \* ARABIC </w:instrText>
      </w:r>
      <w:r w:rsidRPr="00CA1271">
        <w:fldChar w:fldCharType="separate"/>
      </w:r>
      <w:r w:rsidR="00B621CC">
        <w:rPr>
          <w:noProof/>
        </w:rPr>
        <w:t>9</w:t>
      </w:r>
      <w:r w:rsidRPr="00CA1271">
        <w:fldChar w:fldCharType="end"/>
      </w:r>
      <w:bookmarkEnd w:id="103"/>
      <w:r w:rsidRPr="00CA1271">
        <w:t xml:space="preserve"> – Definitions of the Modified Monash Model Geographic Areas</w:t>
      </w:r>
      <w:bookmarkEnd w:id="104"/>
    </w:p>
    <w:tbl>
      <w:tblPr>
        <w:tblStyle w:val="GridTable4-Accent4"/>
        <w:tblW w:w="8814" w:type="dxa"/>
        <w:tblLook w:val="0420" w:firstRow="1" w:lastRow="0" w:firstColumn="0" w:lastColumn="0" w:noHBand="0" w:noVBand="1"/>
        <w:tblCaption w:val="MMM Descriptions"/>
        <w:tblDescription w:val="This table gives a breakdown of the different classifications and zones for the Modified Monash Model."/>
      </w:tblPr>
      <w:tblGrid>
        <w:gridCol w:w="1666"/>
        <w:gridCol w:w="1023"/>
        <w:gridCol w:w="739"/>
        <w:gridCol w:w="5386"/>
      </w:tblGrid>
      <w:tr w:rsidR="00C63652" w:rsidRPr="00CA1271" w:rsidTr="00593582">
        <w:trPr>
          <w:cnfStyle w:val="100000000000" w:firstRow="1" w:lastRow="0" w:firstColumn="0" w:lastColumn="0" w:oddVBand="0" w:evenVBand="0" w:oddHBand="0" w:evenHBand="0" w:firstRowFirstColumn="0" w:firstRowLastColumn="0" w:lastRowFirstColumn="0" w:lastRowLastColumn="0"/>
          <w:tblHeader/>
        </w:trPr>
        <w:tc>
          <w:tcPr>
            <w:tcW w:w="1666" w:type="dxa"/>
          </w:tcPr>
          <w:p w:rsidR="00C63652" w:rsidRPr="00CA1271" w:rsidRDefault="00C63652" w:rsidP="002D7E89">
            <w:pPr>
              <w:spacing w:line="240" w:lineRule="atLeast"/>
              <w:rPr>
                <w:rFonts w:cstheme="minorHAnsi"/>
                <w:szCs w:val="18"/>
              </w:rPr>
            </w:pPr>
            <w:r w:rsidRPr="00CA1271">
              <w:rPr>
                <w:rFonts w:cstheme="minorHAnsi"/>
                <w:szCs w:val="18"/>
              </w:rPr>
              <w:t>Description</w:t>
            </w:r>
          </w:p>
        </w:tc>
        <w:tc>
          <w:tcPr>
            <w:tcW w:w="1023" w:type="dxa"/>
          </w:tcPr>
          <w:p w:rsidR="00C63652" w:rsidRPr="00CA1271" w:rsidRDefault="00C63652" w:rsidP="002D7E89">
            <w:pPr>
              <w:spacing w:line="240" w:lineRule="atLeast"/>
              <w:jc w:val="center"/>
              <w:rPr>
                <w:rFonts w:cstheme="minorHAnsi"/>
                <w:szCs w:val="18"/>
              </w:rPr>
            </w:pPr>
            <w:r w:rsidRPr="00CA1271">
              <w:rPr>
                <w:rFonts w:cstheme="minorHAnsi"/>
                <w:szCs w:val="18"/>
              </w:rPr>
              <w:t>Zones</w:t>
            </w:r>
          </w:p>
        </w:tc>
        <w:tc>
          <w:tcPr>
            <w:tcW w:w="739" w:type="dxa"/>
          </w:tcPr>
          <w:p w:rsidR="00C63652" w:rsidRPr="00CA1271" w:rsidRDefault="00C63652" w:rsidP="002D7E89">
            <w:pPr>
              <w:spacing w:line="240" w:lineRule="atLeast"/>
              <w:jc w:val="center"/>
              <w:rPr>
                <w:rFonts w:cstheme="minorHAnsi"/>
                <w:szCs w:val="18"/>
              </w:rPr>
            </w:pPr>
            <w:r w:rsidRPr="00CA1271">
              <w:rPr>
                <w:rFonts w:cstheme="minorHAnsi"/>
                <w:szCs w:val="18"/>
              </w:rPr>
              <w:t>MMM</w:t>
            </w:r>
          </w:p>
        </w:tc>
        <w:tc>
          <w:tcPr>
            <w:tcW w:w="5386" w:type="dxa"/>
          </w:tcPr>
          <w:p w:rsidR="00C63652" w:rsidRPr="00CA1271" w:rsidRDefault="00C63652" w:rsidP="002D7E89">
            <w:pPr>
              <w:spacing w:line="240" w:lineRule="atLeast"/>
              <w:rPr>
                <w:rFonts w:cstheme="minorHAnsi"/>
                <w:szCs w:val="18"/>
              </w:rPr>
            </w:pPr>
            <w:r w:rsidRPr="00CA1271">
              <w:rPr>
                <w:rFonts w:cstheme="minorHAnsi"/>
                <w:szCs w:val="18"/>
              </w:rPr>
              <w:t>Inclusion</w:t>
            </w:r>
          </w:p>
        </w:tc>
      </w:tr>
      <w:tr w:rsidR="00C63652" w:rsidRPr="00CA1271" w:rsidTr="00DE306E">
        <w:trPr>
          <w:cnfStyle w:val="000000100000" w:firstRow="0" w:lastRow="0" w:firstColumn="0" w:lastColumn="0" w:oddVBand="0" w:evenVBand="0" w:oddHBand="1" w:evenHBand="0" w:firstRowFirstColumn="0" w:firstRowLastColumn="0" w:lastRowFirstColumn="0" w:lastRowLastColumn="0"/>
        </w:trPr>
        <w:tc>
          <w:tcPr>
            <w:tcW w:w="1666" w:type="dxa"/>
          </w:tcPr>
          <w:p w:rsidR="00C63652" w:rsidRPr="00CA1271" w:rsidRDefault="00C63652" w:rsidP="002D7E89">
            <w:pPr>
              <w:spacing w:line="240" w:lineRule="atLeast"/>
              <w:rPr>
                <w:rFonts w:cstheme="minorHAnsi"/>
                <w:b/>
                <w:szCs w:val="18"/>
              </w:rPr>
            </w:pPr>
            <w:r w:rsidRPr="00CA1271">
              <w:rPr>
                <w:rFonts w:cstheme="minorHAnsi"/>
                <w:szCs w:val="18"/>
              </w:rPr>
              <w:t>Metropolitan</w:t>
            </w:r>
          </w:p>
        </w:tc>
        <w:tc>
          <w:tcPr>
            <w:tcW w:w="1023" w:type="dxa"/>
          </w:tcPr>
          <w:p w:rsidR="00C63652" w:rsidRPr="00CA1271" w:rsidRDefault="00563D1B" w:rsidP="002D7E89">
            <w:pPr>
              <w:spacing w:line="240" w:lineRule="atLeast"/>
              <w:jc w:val="center"/>
              <w:rPr>
                <w:rFonts w:cstheme="minorHAnsi"/>
                <w:szCs w:val="18"/>
              </w:rPr>
            </w:pPr>
            <w:r w:rsidRPr="00CA1271">
              <w:rPr>
                <w:rFonts w:cstheme="minorHAnsi"/>
                <w:szCs w:val="18"/>
              </w:rPr>
              <w:t>MMM1</w:t>
            </w:r>
          </w:p>
        </w:tc>
        <w:tc>
          <w:tcPr>
            <w:tcW w:w="739" w:type="dxa"/>
          </w:tcPr>
          <w:p w:rsidR="00C63652" w:rsidRPr="00CA1271" w:rsidRDefault="00C63652" w:rsidP="002D7E89">
            <w:pPr>
              <w:spacing w:line="240" w:lineRule="atLeast"/>
              <w:jc w:val="center"/>
              <w:rPr>
                <w:rFonts w:cstheme="minorHAnsi"/>
                <w:szCs w:val="18"/>
              </w:rPr>
            </w:pPr>
            <w:r w:rsidRPr="00CA1271">
              <w:rPr>
                <w:rFonts w:cstheme="minorHAnsi"/>
                <w:szCs w:val="18"/>
              </w:rPr>
              <w:t>1</w:t>
            </w:r>
          </w:p>
        </w:tc>
        <w:tc>
          <w:tcPr>
            <w:tcW w:w="5386" w:type="dxa"/>
          </w:tcPr>
          <w:p w:rsidR="00C63652" w:rsidRPr="00CA1271" w:rsidRDefault="00C63652" w:rsidP="002D7E89">
            <w:pPr>
              <w:spacing w:line="240" w:lineRule="atLeast"/>
              <w:rPr>
                <w:rFonts w:cstheme="minorHAnsi"/>
                <w:szCs w:val="18"/>
              </w:rPr>
            </w:pPr>
            <w:r w:rsidRPr="00CA1271">
              <w:rPr>
                <w:rFonts w:cstheme="minorHAnsi"/>
                <w:szCs w:val="18"/>
              </w:rPr>
              <w:t>All areas categorised as Major Cities of Australia.</w:t>
            </w:r>
          </w:p>
        </w:tc>
      </w:tr>
      <w:tr w:rsidR="00C63652" w:rsidRPr="00CA1271" w:rsidTr="00DE306E">
        <w:tc>
          <w:tcPr>
            <w:tcW w:w="1666" w:type="dxa"/>
          </w:tcPr>
          <w:p w:rsidR="00C63652" w:rsidRPr="00CA1271" w:rsidRDefault="00C63652" w:rsidP="002D7E89">
            <w:pPr>
              <w:spacing w:line="240" w:lineRule="atLeast"/>
              <w:rPr>
                <w:rFonts w:cstheme="minorHAnsi"/>
                <w:b/>
                <w:szCs w:val="18"/>
              </w:rPr>
            </w:pPr>
            <w:r w:rsidRPr="00CA1271">
              <w:rPr>
                <w:rFonts w:cstheme="minorHAnsi"/>
                <w:szCs w:val="18"/>
              </w:rPr>
              <w:t>Regional Centres</w:t>
            </w:r>
          </w:p>
        </w:tc>
        <w:tc>
          <w:tcPr>
            <w:tcW w:w="1023" w:type="dxa"/>
          </w:tcPr>
          <w:p w:rsidR="00C63652" w:rsidRPr="00CA1271" w:rsidRDefault="00563D1B" w:rsidP="002D7E89">
            <w:pPr>
              <w:spacing w:line="240" w:lineRule="atLeast"/>
              <w:jc w:val="center"/>
              <w:rPr>
                <w:rFonts w:cstheme="minorHAnsi"/>
                <w:szCs w:val="18"/>
              </w:rPr>
            </w:pPr>
            <w:r w:rsidRPr="00CA1271">
              <w:rPr>
                <w:rFonts w:cstheme="minorHAnsi"/>
                <w:szCs w:val="18"/>
              </w:rPr>
              <w:t>MMM2</w:t>
            </w:r>
            <w:r w:rsidR="00C63652" w:rsidRPr="00CA1271">
              <w:rPr>
                <w:rFonts w:cstheme="minorHAnsi"/>
                <w:szCs w:val="18"/>
              </w:rPr>
              <w:t>-3</w:t>
            </w:r>
          </w:p>
        </w:tc>
        <w:tc>
          <w:tcPr>
            <w:tcW w:w="739" w:type="dxa"/>
          </w:tcPr>
          <w:p w:rsidR="00C63652" w:rsidRPr="00CA1271" w:rsidRDefault="00C63652" w:rsidP="002D7E89">
            <w:pPr>
              <w:spacing w:line="240" w:lineRule="atLeast"/>
              <w:jc w:val="center"/>
              <w:rPr>
                <w:rFonts w:cstheme="minorHAnsi"/>
                <w:szCs w:val="18"/>
              </w:rPr>
            </w:pPr>
            <w:r w:rsidRPr="00CA1271">
              <w:rPr>
                <w:rFonts w:cstheme="minorHAnsi"/>
                <w:szCs w:val="18"/>
              </w:rPr>
              <w:t>2</w:t>
            </w:r>
          </w:p>
        </w:tc>
        <w:tc>
          <w:tcPr>
            <w:tcW w:w="5386" w:type="dxa"/>
          </w:tcPr>
          <w:p w:rsidR="00C63652" w:rsidRPr="00CA1271" w:rsidRDefault="00C63652" w:rsidP="002D7E89">
            <w:pPr>
              <w:spacing w:line="240" w:lineRule="atLeast"/>
              <w:rPr>
                <w:rFonts w:cstheme="minorHAnsi"/>
                <w:szCs w:val="18"/>
              </w:rPr>
            </w:pPr>
            <w:r w:rsidRPr="00CA1271">
              <w:rPr>
                <w:rFonts w:cstheme="minorHAnsi"/>
                <w:szCs w:val="18"/>
              </w:rPr>
              <w:t>Areas categorised as Inner Regional Australia or Outer Regional Australia that are in, or within 20km road distance, of a town with population &gt;50,000.</w:t>
            </w:r>
          </w:p>
        </w:tc>
      </w:tr>
      <w:tr w:rsidR="00C63652" w:rsidRPr="00CA1271" w:rsidTr="00DE306E">
        <w:trPr>
          <w:cnfStyle w:val="000000100000" w:firstRow="0" w:lastRow="0" w:firstColumn="0" w:lastColumn="0" w:oddVBand="0" w:evenVBand="0" w:oddHBand="1" w:evenHBand="0" w:firstRowFirstColumn="0" w:firstRowLastColumn="0" w:lastRowFirstColumn="0" w:lastRowLastColumn="0"/>
        </w:trPr>
        <w:tc>
          <w:tcPr>
            <w:tcW w:w="1666" w:type="dxa"/>
          </w:tcPr>
          <w:p w:rsidR="00C63652" w:rsidRPr="00CA1271" w:rsidRDefault="00C63652" w:rsidP="002D7E89">
            <w:pPr>
              <w:spacing w:line="240" w:lineRule="atLeast"/>
              <w:rPr>
                <w:rFonts w:cstheme="minorHAnsi"/>
                <w:b/>
                <w:szCs w:val="18"/>
              </w:rPr>
            </w:pPr>
            <w:r w:rsidRPr="00CA1271">
              <w:rPr>
                <w:rFonts w:cstheme="minorHAnsi"/>
                <w:szCs w:val="18"/>
              </w:rPr>
              <w:t>Regional Centres</w:t>
            </w:r>
          </w:p>
        </w:tc>
        <w:tc>
          <w:tcPr>
            <w:tcW w:w="1023" w:type="dxa"/>
          </w:tcPr>
          <w:p w:rsidR="00C63652" w:rsidRPr="00CA1271" w:rsidRDefault="00563D1B" w:rsidP="002D7E89">
            <w:pPr>
              <w:spacing w:line="240" w:lineRule="atLeast"/>
              <w:jc w:val="center"/>
              <w:rPr>
                <w:rFonts w:cstheme="minorHAnsi"/>
                <w:szCs w:val="18"/>
              </w:rPr>
            </w:pPr>
            <w:r w:rsidRPr="00CA1271">
              <w:rPr>
                <w:rFonts w:cstheme="minorHAnsi"/>
                <w:szCs w:val="18"/>
              </w:rPr>
              <w:t>MMM2</w:t>
            </w:r>
            <w:r w:rsidR="00C63652" w:rsidRPr="00CA1271">
              <w:rPr>
                <w:rFonts w:cstheme="minorHAnsi"/>
                <w:szCs w:val="18"/>
              </w:rPr>
              <w:t>-3</w:t>
            </w:r>
          </w:p>
        </w:tc>
        <w:tc>
          <w:tcPr>
            <w:tcW w:w="739" w:type="dxa"/>
          </w:tcPr>
          <w:p w:rsidR="00C63652" w:rsidRPr="00CA1271" w:rsidRDefault="00C63652" w:rsidP="002D7E89">
            <w:pPr>
              <w:spacing w:line="240" w:lineRule="atLeast"/>
              <w:jc w:val="center"/>
              <w:rPr>
                <w:rFonts w:cstheme="minorHAnsi"/>
                <w:szCs w:val="18"/>
              </w:rPr>
            </w:pPr>
            <w:r w:rsidRPr="00CA1271">
              <w:rPr>
                <w:rFonts w:cstheme="minorHAnsi"/>
                <w:szCs w:val="18"/>
              </w:rPr>
              <w:t>3</w:t>
            </w:r>
          </w:p>
        </w:tc>
        <w:tc>
          <w:tcPr>
            <w:tcW w:w="5386" w:type="dxa"/>
          </w:tcPr>
          <w:p w:rsidR="00C63652" w:rsidRPr="00CA1271" w:rsidRDefault="00C63652" w:rsidP="002D7E89">
            <w:pPr>
              <w:spacing w:line="240" w:lineRule="atLeast"/>
              <w:rPr>
                <w:rFonts w:cstheme="minorHAnsi"/>
                <w:szCs w:val="18"/>
              </w:rPr>
            </w:pPr>
            <w:r w:rsidRPr="00CA1271">
              <w:rPr>
                <w:rFonts w:cstheme="minorHAnsi"/>
                <w:szCs w:val="18"/>
              </w:rPr>
              <w:t>Areas categorised as Inner Regional Australia or Outer Regional Australia that are not in MMM 2 and are in, or within 15km road distance, of a town with population between 15,000 and 50,000.</w:t>
            </w:r>
          </w:p>
        </w:tc>
      </w:tr>
      <w:tr w:rsidR="00C63652" w:rsidRPr="00CA1271" w:rsidTr="00DE306E">
        <w:tc>
          <w:tcPr>
            <w:tcW w:w="1666" w:type="dxa"/>
          </w:tcPr>
          <w:p w:rsidR="00C63652" w:rsidRPr="00CA1271" w:rsidRDefault="00C63652" w:rsidP="002D7E89">
            <w:pPr>
              <w:spacing w:line="240" w:lineRule="atLeast"/>
              <w:rPr>
                <w:rFonts w:cstheme="minorHAnsi"/>
                <w:b/>
                <w:szCs w:val="18"/>
              </w:rPr>
            </w:pPr>
            <w:r w:rsidRPr="00CA1271">
              <w:rPr>
                <w:rFonts w:cstheme="minorHAnsi"/>
                <w:szCs w:val="18"/>
              </w:rPr>
              <w:t>Regional Areas</w:t>
            </w:r>
          </w:p>
        </w:tc>
        <w:tc>
          <w:tcPr>
            <w:tcW w:w="1023" w:type="dxa"/>
          </w:tcPr>
          <w:p w:rsidR="00C63652" w:rsidRPr="00CA1271" w:rsidRDefault="00C63652" w:rsidP="002D7E89">
            <w:pPr>
              <w:spacing w:line="240" w:lineRule="atLeast"/>
              <w:jc w:val="center"/>
              <w:rPr>
                <w:rFonts w:cstheme="minorHAnsi"/>
                <w:szCs w:val="18"/>
              </w:rPr>
            </w:pPr>
            <w:r w:rsidRPr="00CA1271">
              <w:rPr>
                <w:rFonts w:cstheme="minorHAnsi"/>
                <w:szCs w:val="18"/>
              </w:rPr>
              <w:t>MMM4-5</w:t>
            </w:r>
          </w:p>
        </w:tc>
        <w:tc>
          <w:tcPr>
            <w:tcW w:w="739" w:type="dxa"/>
          </w:tcPr>
          <w:p w:rsidR="00C63652" w:rsidRPr="00CA1271" w:rsidRDefault="00C63652" w:rsidP="002D7E89">
            <w:pPr>
              <w:spacing w:line="240" w:lineRule="atLeast"/>
              <w:jc w:val="center"/>
              <w:rPr>
                <w:rFonts w:cstheme="minorHAnsi"/>
                <w:szCs w:val="18"/>
              </w:rPr>
            </w:pPr>
            <w:r w:rsidRPr="00CA1271">
              <w:rPr>
                <w:rFonts w:cstheme="minorHAnsi"/>
                <w:szCs w:val="18"/>
              </w:rPr>
              <w:t>4</w:t>
            </w:r>
          </w:p>
        </w:tc>
        <w:tc>
          <w:tcPr>
            <w:tcW w:w="5386" w:type="dxa"/>
          </w:tcPr>
          <w:p w:rsidR="00C63652" w:rsidRPr="00CA1271" w:rsidRDefault="00C63652" w:rsidP="002D7E89">
            <w:pPr>
              <w:spacing w:line="240" w:lineRule="atLeast"/>
              <w:rPr>
                <w:rFonts w:cstheme="minorHAnsi"/>
                <w:szCs w:val="18"/>
              </w:rPr>
            </w:pPr>
            <w:r w:rsidRPr="00CA1271">
              <w:rPr>
                <w:rFonts w:cstheme="minorHAnsi"/>
                <w:szCs w:val="18"/>
              </w:rPr>
              <w:t>Areas categorised as Inner Regional Australia or Outer Regional Australia that are not in MMM 2 or MMM 3, and are in, or within 10km road distance, of a town with population between 5,000 and 15,000.</w:t>
            </w:r>
          </w:p>
        </w:tc>
      </w:tr>
      <w:tr w:rsidR="00C63652" w:rsidRPr="00CA1271" w:rsidTr="00DE306E">
        <w:trPr>
          <w:cnfStyle w:val="000000100000" w:firstRow="0" w:lastRow="0" w:firstColumn="0" w:lastColumn="0" w:oddVBand="0" w:evenVBand="0" w:oddHBand="1" w:evenHBand="0" w:firstRowFirstColumn="0" w:firstRowLastColumn="0" w:lastRowFirstColumn="0" w:lastRowLastColumn="0"/>
        </w:trPr>
        <w:tc>
          <w:tcPr>
            <w:tcW w:w="1666" w:type="dxa"/>
          </w:tcPr>
          <w:p w:rsidR="00C63652" w:rsidRPr="00CA1271" w:rsidRDefault="00C63652" w:rsidP="002D7E89">
            <w:pPr>
              <w:spacing w:line="240" w:lineRule="atLeast"/>
              <w:rPr>
                <w:rFonts w:cstheme="minorHAnsi"/>
                <w:b/>
                <w:szCs w:val="18"/>
              </w:rPr>
            </w:pPr>
            <w:r w:rsidRPr="00CA1271">
              <w:rPr>
                <w:rFonts w:cstheme="minorHAnsi"/>
                <w:szCs w:val="18"/>
              </w:rPr>
              <w:t>Regional Areas</w:t>
            </w:r>
          </w:p>
        </w:tc>
        <w:tc>
          <w:tcPr>
            <w:tcW w:w="1023" w:type="dxa"/>
          </w:tcPr>
          <w:p w:rsidR="00C63652" w:rsidRPr="00CA1271" w:rsidRDefault="00C63652" w:rsidP="002D7E89">
            <w:pPr>
              <w:spacing w:line="240" w:lineRule="atLeast"/>
              <w:jc w:val="center"/>
              <w:rPr>
                <w:rFonts w:cstheme="minorHAnsi"/>
                <w:szCs w:val="18"/>
              </w:rPr>
            </w:pPr>
            <w:r w:rsidRPr="00CA1271">
              <w:rPr>
                <w:rFonts w:cstheme="minorHAnsi"/>
                <w:szCs w:val="18"/>
              </w:rPr>
              <w:t>MMM4-5</w:t>
            </w:r>
          </w:p>
        </w:tc>
        <w:tc>
          <w:tcPr>
            <w:tcW w:w="739" w:type="dxa"/>
          </w:tcPr>
          <w:p w:rsidR="00C63652" w:rsidRPr="00CA1271" w:rsidRDefault="00C63652" w:rsidP="002D7E89">
            <w:pPr>
              <w:spacing w:line="240" w:lineRule="atLeast"/>
              <w:jc w:val="center"/>
              <w:rPr>
                <w:rFonts w:cstheme="minorHAnsi"/>
                <w:szCs w:val="18"/>
              </w:rPr>
            </w:pPr>
            <w:r w:rsidRPr="00CA1271">
              <w:rPr>
                <w:rFonts w:cstheme="minorHAnsi"/>
                <w:szCs w:val="18"/>
              </w:rPr>
              <w:t>5</w:t>
            </w:r>
          </w:p>
        </w:tc>
        <w:tc>
          <w:tcPr>
            <w:tcW w:w="5386" w:type="dxa"/>
          </w:tcPr>
          <w:p w:rsidR="00C63652" w:rsidRPr="00CA1271" w:rsidRDefault="00C63652" w:rsidP="002D7E89">
            <w:pPr>
              <w:spacing w:line="240" w:lineRule="atLeast"/>
              <w:rPr>
                <w:rFonts w:cstheme="minorHAnsi"/>
                <w:szCs w:val="18"/>
              </w:rPr>
            </w:pPr>
            <w:r w:rsidRPr="00CA1271">
              <w:rPr>
                <w:rFonts w:cstheme="minorHAnsi"/>
                <w:szCs w:val="18"/>
              </w:rPr>
              <w:t>All other areas in Inner Regional Australia or Outer Regional Australia.</w:t>
            </w:r>
          </w:p>
        </w:tc>
      </w:tr>
      <w:tr w:rsidR="00C63652" w:rsidRPr="00CA1271" w:rsidTr="00DE306E">
        <w:tc>
          <w:tcPr>
            <w:tcW w:w="1666" w:type="dxa"/>
          </w:tcPr>
          <w:p w:rsidR="00C63652" w:rsidRPr="00CA1271" w:rsidRDefault="00C63652" w:rsidP="002D7E89">
            <w:pPr>
              <w:spacing w:line="240" w:lineRule="atLeast"/>
              <w:rPr>
                <w:rFonts w:cstheme="minorHAnsi"/>
                <w:b/>
                <w:szCs w:val="18"/>
              </w:rPr>
            </w:pPr>
            <w:r w:rsidRPr="00CA1271">
              <w:rPr>
                <w:rFonts w:cstheme="minorHAnsi"/>
                <w:szCs w:val="18"/>
              </w:rPr>
              <w:t>Remote</w:t>
            </w:r>
          </w:p>
        </w:tc>
        <w:tc>
          <w:tcPr>
            <w:tcW w:w="1023" w:type="dxa"/>
          </w:tcPr>
          <w:p w:rsidR="00C63652" w:rsidRPr="00CA1271" w:rsidRDefault="00C63652" w:rsidP="002D7E89">
            <w:pPr>
              <w:spacing w:line="240" w:lineRule="atLeast"/>
              <w:jc w:val="center"/>
              <w:rPr>
                <w:rFonts w:cstheme="minorHAnsi"/>
                <w:szCs w:val="18"/>
              </w:rPr>
            </w:pPr>
            <w:r w:rsidRPr="00CA1271">
              <w:rPr>
                <w:rFonts w:cstheme="minorHAnsi"/>
                <w:szCs w:val="18"/>
              </w:rPr>
              <w:t>MMM6</w:t>
            </w:r>
          </w:p>
        </w:tc>
        <w:tc>
          <w:tcPr>
            <w:tcW w:w="739" w:type="dxa"/>
          </w:tcPr>
          <w:p w:rsidR="00C63652" w:rsidRPr="00CA1271" w:rsidRDefault="00C63652" w:rsidP="002D7E89">
            <w:pPr>
              <w:spacing w:line="240" w:lineRule="atLeast"/>
              <w:jc w:val="center"/>
              <w:rPr>
                <w:rFonts w:cstheme="minorHAnsi"/>
                <w:szCs w:val="18"/>
              </w:rPr>
            </w:pPr>
            <w:r w:rsidRPr="00CA1271">
              <w:rPr>
                <w:rFonts w:cstheme="minorHAnsi"/>
                <w:szCs w:val="18"/>
              </w:rPr>
              <w:t>6</w:t>
            </w:r>
          </w:p>
        </w:tc>
        <w:tc>
          <w:tcPr>
            <w:tcW w:w="5386" w:type="dxa"/>
          </w:tcPr>
          <w:p w:rsidR="00C63652" w:rsidRPr="00CA1271" w:rsidRDefault="00C63652" w:rsidP="002D7E89">
            <w:pPr>
              <w:spacing w:line="240" w:lineRule="atLeast"/>
              <w:rPr>
                <w:rFonts w:cstheme="minorHAnsi"/>
                <w:szCs w:val="18"/>
              </w:rPr>
            </w:pPr>
            <w:r w:rsidRPr="00CA1271">
              <w:rPr>
                <w:rFonts w:cstheme="minorHAnsi"/>
                <w:szCs w:val="18"/>
              </w:rPr>
              <w:t>All areas categorised Remote Australia that are not on a populated island that is separated from the mainland and is more than 5km offshore.</w:t>
            </w:r>
          </w:p>
        </w:tc>
      </w:tr>
      <w:tr w:rsidR="00C63652" w:rsidRPr="00CA1271" w:rsidTr="00DE306E">
        <w:trPr>
          <w:cnfStyle w:val="000000100000" w:firstRow="0" w:lastRow="0" w:firstColumn="0" w:lastColumn="0" w:oddVBand="0" w:evenVBand="0" w:oddHBand="1" w:evenHBand="0" w:firstRowFirstColumn="0" w:firstRowLastColumn="0" w:lastRowFirstColumn="0" w:lastRowLastColumn="0"/>
        </w:trPr>
        <w:tc>
          <w:tcPr>
            <w:tcW w:w="1666" w:type="dxa"/>
          </w:tcPr>
          <w:p w:rsidR="00C63652" w:rsidRPr="00CA1271" w:rsidRDefault="00C63652" w:rsidP="002D7E89">
            <w:pPr>
              <w:spacing w:line="240" w:lineRule="atLeast"/>
              <w:rPr>
                <w:rFonts w:cstheme="minorHAnsi"/>
                <w:b/>
                <w:szCs w:val="18"/>
              </w:rPr>
            </w:pPr>
            <w:r w:rsidRPr="00CA1271">
              <w:rPr>
                <w:rFonts w:cstheme="minorHAnsi"/>
                <w:szCs w:val="18"/>
              </w:rPr>
              <w:t>Very Remote</w:t>
            </w:r>
          </w:p>
        </w:tc>
        <w:tc>
          <w:tcPr>
            <w:tcW w:w="1023" w:type="dxa"/>
          </w:tcPr>
          <w:p w:rsidR="00C63652" w:rsidRPr="00CA1271" w:rsidRDefault="00C63652" w:rsidP="002D7E89">
            <w:pPr>
              <w:spacing w:line="240" w:lineRule="atLeast"/>
              <w:jc w:val="center"/>
              <w:rPr>
                <w:rFonts w:cstheme="minorHAnsi"/>
                <w:szCs w:val="18"/>
              </w:rPr>
            </w:pPr>
            <w:r w:rsidRPr="00CA1271">
              <w:rPr>
                <w:rFonts w:cstheme="minorHAnsi"/>
                <w:szCs w:val="18"/>
              </w:rPr>
              <w:t>MMM7</w:t>
            </w:r>
          </w:p>
        </w:tc>
        <w:tc>
          <w:tcPr>
            <w:tcW w:w="739" w:type="dxa"/>
          </w:tcPr>
          <w:p w:rsidR="00C63652" w:rsidRPr="00CA1271" w:rsidRDefault="00C63652" w:rsidP="002D7E89">
            <w:pPr>
              <w:spacing w:line="240" w:lineRule="atLeast"/>
              <w:jc w:val="center"/>
              <w:rPr>
                <w:rFonts w:cstheme="minorHAnsi"/>
                <w:szCs w:val="18"/>
              </w:rPr>
            </w:pPr>
            <w:r w:rsidRPr="00CA1271">
              <w:rPr>
                <w:rFonts w:cstheme="minorHAnsi"/>
                <w:szCs w:val="18"/>
              </w:rPr>
              <w:t>7</w:t>
            </w:r>
          </w:p>
        </w:tc>
        <w:tc>
          <w:tcPr>
            <w:tcW w:w="5386" w:type="dxa"/>
          </w:tcPr>
          <w:p w:rsidR="00C63652" w:rsidRPr="00CA1271" w:rsidRDefault="00C63652" w:rsidP="002D7E89">
            <w:pPr>
              <w:spacing w:line="240" w:lineRule="atLeast"/>
              <w:rPr>
                <w:rFonts w:cstheme="minorHAnsi"/>
                <w:szCs w:val="18"/>
              </w:rPr>
            </w:pPr>
            <w:r w:rsidRPr="00CA1271">
              <w:rPr>
                <w:rFonts w:cstheme="minorHAnsi"/>
                <w:szCs w:val="18"/>
              </w:rPr>
              <w:t>All other areas – that being Very Remote Australia and areas on a populated island that is separated from the mainland in the ABS geography and is more than 5km offshore.</w:t>
            </w:r>
          </w:p>
        </w:tc>
      </w:tr>
    </w:tbl>
    <w:p w:rsidR="00C63652" w:rsidRPr="00CA1271" w:rsidRDefault="00DE306E" w:rsidP="00C63652">
      <w:r w:rsidRPr="00CA1271">
        <w:t>The</w:t>
      </w:r>
      <w:r w:rsidR="00C63652" w:rsidRPr="00CA1271">
        <w:t xml:space="preserve"> MMM rating of a location </w:t>
      </w:r>
      <w:r w:rsidRPr="00CA1271">
        <w:t xml:space="preserve">can be determined </w:t>
      </w:r>
      <w:r w:rsidR="00C63652" w:rsidRPr="00CA1271">
        <w:t>using the Health Workforce Locator tool on the Department of Health’s website.</w:t>
      </w:r>
      <w:r w:rsidRPr="00CA1271">
        <w:rPr>
          <w:rStyle w:val="FootnoteReference"/>
        </w:rPr>
        <w:footnoteReference w:id="40"/>
      </w:r>
    </w:p>
    <w:p w:rsidR="00C63652" w:rsidRPr="00CA1271" w:rsidRDefault="00C63652" w:rsidP="00C63652">
      <w:r w:rsidRPr="00CA1271">
        <w:t>In general, price limits are 40</w:t>
      </w:r>
      <w:r w:rsidR="00E80A7C" w:rsidRPr="00CA1271">
        <w:t>%</w:t>
      </w:r>
      <w:r w:rsidRPr="00CA1271">
        <w:t xml:space="preserve"> higher in remote areas and 50</w:t>
      </w:r>
      <w:r w:rsidR="00E80A7C" w:rsidRPr="00CA1271">
        <w:t>%</w:t>
      </w:r>
      <w:r w:rsidRPr="00CA1271">
        <w:t xml:space="preserve"> higher in very remote areas. There is no additional loading applied for supports in metropolitan areas, regional centres or regional areas.</w:t>
      </w:r>
    </w:p>
    <w:p w:rsidR="00C63652" w:rsidRPr="00CA1271" w:rsidRDefault="00C63652" w:rsidP="00C63652">
      <w:r w:rsidRPr="00CA1271">
        <w:t>Price limits are based on where the support is delivered, which is not necessarily where the participant lives. For example, if a participant living in a remote location visits a therapist in their capital city, the therapist should not attempt to claim a price that is higher than the price limit for the support in that city. On the other hand, if the therapist was to visit the participant in their local area to deliver the support, then the therapist could claim a price that is within the ‘remote’ price limit.</w:t>
      </w:r>
    </w:p>
    <w:p w:rsidR="00C63652" w:rsidRPr="00CA1271" w:rsidRDefault="00C63652" w:rsidP="00C63652">
      <w:bookmarkStart w:id="105" w:name="_Isolated_Towns"/>
      <w:bookmarkEnd w:id="105"/>
      <w:r w:rsidRPr="00CA1271">
        <w:t>The NDIS Review of the WA Market found that the cost of service delivery in isolated centres – centres that are currently not classified as remote or very remote by the MMM but that are completely surrounded by remote or very remote areas – were, in general, higher than in other non-rem</w:t>
      </w:r>
      <w:r w:rsidR="00170F62" w:rsidRPr="00CA1271">
        <w:t>ote areas.</w:t>
      </w:r>
      <w:r w:rsidR="00170F62" w:rsidRPr="00CA1271">
        <w:rPr>
          <w:rStyle w:val="FootnoteReference"/>
        </w:rPr>
        <w:footnoteReference w:id="41"/>
      </w:r>
      <w:r w:rsidR="00170F62" w:rsidRPr="00CA1271">
        <w:t xml:space="preserve"> As a consequence, from1 August 2019, </w:t>
      </w:r>
      <w:r w:rsidRPr="00CA1271">
        <w:t>the NDIA has modified the MMM so that areas (or groups of areas) that are currently not classified as remote or very remote by the MMM but that are completely surrounded by remote or very remote areas (“Isolated towns”) are classified as remote areas for planning and pricing purposes.</w:t>
      </w:r>
    </w:p>
    <w:p w:rsidR="00C63652" w:rsidRPr="00CA1271" w:rsidRDefault="00C63652" w:rsidP="00C63652">
      <w:r w:rsidRPr="00CA1271">
        <w:t>A new version of the Modified Monash Model (MMM2019) based on the results of the most recent census is now available. From 1 January 2020, programs in the Australian Department of Health will transition to the MMM2019 classification system.</w:t>
      </w:r>
    </w:p>
    <w:p w:rsidR="00C63652" w:rsidRPr="00CA1271" w:rsidRDefault="00C63652" w:rsidP="00C63652">
      <w:r w:rsidRPr="00CA1271">
        <w:t>A number of locations have different MMM classifications under the MMM2015 and the MMM2019 systems. This is because some labour supply centres have changed size, and so areas are now closer to or further from the nearest labour supply centre of a given size. Further, islands which are less than five kilometres offshore, but not connected to the mainland by a bridge, and that have a population of less than 1,000 are classified as at least MMM6 under the new MMM2019.</w:t>
      </w:r>
    </w:p>
    <w:p w:rsidR="00C63652" w:rsidRPr="00CA1271" w:rsidRDefault="00C63652" w:rsidP="00C63652">
      <w:r w:rsidRPr="00CA1271">
        <w:t xml:space="preserve">The following Table provides details of the Urban Centres and Localities that will change classification between MMM2015 and MMM2019 to such an extent that the loading that the NDIS applies for planning and price control purposes will be affected. Note, however, that some of these locations </w:t>
      </w:r>
      <w:r w:rsidR="002306B0" w:rsidRPr="00CA1271">
        <w:t xml:space="preserve">(Cardwell, Duaringa and Leeton) </w:t>
      </w:r>
      <w:r w:rsidRPr="00CA1271">
        <w:t xml:space="preserve">would be eligible to be classified as remote under the </w:t>
      </w:r>
      <w:r w:rsidR="002306B0" w:rsidRPr="00CA1271">
        <w:t xml:space="preserve">NDIS </w:t>
      </w:r>
      <w:r w:rsidRPr="00CA1271">
        <w:t xml:space="preserve">isolated town policy. </w:t>
      </w:r>
    </w:p>
    <w:p w:rsidR="00956B25" w:rsidRPr="00CA1271" w:rsidRDefault="00956B25" w:rsidP="00956B25">
      <w:pPr>
        <w:pStyle w:val="Caption"/>
      </w:pPr>
      <w:bookmarkStart w:id="106" w:name="_Toc42014789"/>
      <w:r w:rsidRPr="00CA1271">
        <w:t xml:space="preserve">Table </w:t>
      </w:r>
      <w:r w:rsidRPr="00CA1271">
        <w:fldChar w:fldCharType="begin"/>
      </w:r>
      <w:r w:rsidRPr="00CA1271">
        <w:instrText xml:space="preserve"> SEQ Table \* ARABIC </w:instrText>
      </w:r>
      <w:r w:rsidRPr="00CA1271">
        <w:fldChar w:fldCharType="separate"/>
      </w:r>
      <w:r w:rsidR="00B621CC">
        <w:rPr>
          <w:noProof/>
        </w:rPr>
        <w:t>10</w:t>
      </w:r>
      <w:r w:rsidRPr="00CA1271">
        <w:fldChar w:fldCharType="end"/>
      </w:r>
      <w:r w:rsidRPr="00CA1271">
        <w:t xml:space="preserve"> – Regions where </w:t>
      </w:r>
      <w:r w:rsidR="008E6A7F">
        <w:t>P</w:t>
      </w:r>
      <w:r w:rsidRPr="00CA1271">
        <w:t xml:space="preserve">rice </w:t>
      </w:r>
      <w:r w:rsidR="008E6A7F">
        <w:t>L</w:t>
      </w:r>
      <w:r w:rsidRPr="00CA1271">
        <w:t>imits change between MMM2015 and MMM2019</w:t>
      </w:r>
      <w:bookmarkEnd w:id="106"/>
    </w:p>
    <w:tbl>
      <w:tblPr>
        <w:tblStyle w:val="GridTable4-Accent4"/>
        <w:tblW w:w="5000" w:type="pct"/>
        <w:tblLayout w:type="fixed"/>
        <w:tblLook w:val="0420" w:firstRow="1" w:lastRow="0" w:firstColumn="0" w:lastColumn="0" w:noHBand="0" w:noVBand="1"/>
        <w:tblCaption w:val="Differences between MMM2015 and MMM2019"/>
        <w:tblDescription w:val="This table displays the urban centres and localities that have a classification change under the Modified Monash Model that will impact the loading that the NDIS applies in its planning and price controls."/>
      </w:tblPr>
      <w:tblGrid>
        <w:gridCol w:w="904"/>
        <w:gridCol w:w="2492"/>
        <w:gridCol w:w="1133"/>
        <w:gridCol w:w="1133"/>
        <w:gridCol w:w="1133"/>
        <w:gridCol w:w="1133"/>
        <w:gridCol w:w="1133"/>
      </w:tblGrid>
      <w:tr w:rsidR="00C63652" w:rsidRPr="00CA1271" w:rsidTr="002306B0">
        <w:trPr>
          <w:cnfStyle w:val="100000000000" w:firstRow="1" w:lastRow="0" w:firstColumn="0" w:lastColumn="0" w:oddVBand="0" w:evenVBand="0" w:oddHBand="0" w:evenHBand="0" w:firstRowFirstColumn="0" w:firstRowLastColumn="0" w:lastRowFirstColumn="0" w:lastRowLastColumn="0"/>
          <w:tblHeader/>
        </w:trPr>
        <w:tc>
          <w:tcPr>
            <w:tcW w:w="499" w:type="pct"/>
          </w:tcPr>
          <w:p w:rsidR="00C63652" w:rsidRPr="00CA1271" w:rsidRDefault="00C63652" w:rsidP="00B31142">
            <w:pPr>
              <w:rPr>
                <w:rFonts w:cstheme="minorHAnsi"/>
                <w:szCs w:val="18"/>
                <w:lang w:eastAsia="en-AU"/>
              </w:rPr>
            </w:pPr>
            <w:r w:rsidRPr="00CA1271">
              <w:rPr>
                <w:rFonts w:cstheme="minorHAnsi"/>
                <w:szCs w:val="18"/>
                <w:lang w:eastAsia="en-AU"/>
              </w:rPr>
              <w:t>State</w:t>
            </w:r>
          </w:p>
        </w:tc>
        <w:tc>
          <w:tcPr>
            <w:tcW w:w="1375" w:type="pct"/>
          </w:tcPr>
          <w:p w:rsidR="00C63652" w:rsidRPr="00CA1271" w:rsidRDefault="00C63652" w:rsidP="00B31142">
            <w:pPr>
              <w:rPr>
                <w:rFonts w:cstheme="minorHAnsi"/>
                <w:szCs w:val="18"/>
                <w:lang w:eastAsia="en-AU"/>
              </w:rPr>
            </w:pPr>
            <w:r w:rsidRPr="00CA1271">
              <w:rPr>
                <w:rFonts w:cstheme="minorHAnsi"/>
                <w:szCs w:val="18"/>
                <w:lang w:eastAsia="en-AU"/>
              </w:rPr>
              <w:t>Urban Centres and Localities</w:t>
            </w:r>
          </w:p>
        </w:tc>
        <w:tc>
          <w:tcPr>
            <w:tcW w:w="625" w:type="pct"/>
            <w:noWrap/>
            <w:hideMark/>
          </w:tcPr>
          <w:p w:rsidR="00C63652" w:rsidRPr="00CA1271" w:rsidRDefault="00C63652" w:rsidP="00B31142">
            <w:pPr>
              <w:jc w:val="center"/>
              <w:rPr>
                <w:rFonts w:cstheme="minorHAnsi"/>
                <w:szCs w:val="18"/>
                <w:lang w:eastAsia="en-AU"/>
              </w:rPr>
            </w:pPr>
            <w:r w:rsidRPr="00CA1271">
              <w:rPr>
                <w:rFonts w:cstheme="minorHAnsi"/>
                <w:szCs w:val="18"/>
                <w:lang w:eastAsia="en-AU"/>
              </w:rPr>
              <w:t>MMM2015</w:t>
            </w:r>
          </w:p>
        </w:tc>
        <w:tc>
          <w:tcPr>
            <w:tcW w:w="625" w:type="pct"/>
            <w:noWrap/>
            <w:hideMark/>
          </w:tcPr>
          <w:p w:rsidR="00C63652" w:rsidRPr="00CA1271" w:rsidRDefault="00C63652" w:rsidP="00B31142">
            <w:pPr>
              <w:jc w:val="center"/>
              <w:rPr>
                <w:rFonts w:cstheme="minorHAnsi"/>
                <w:szCs w:val="18"/>
                <w:lang w:eastAsia="en-AU"/>
              </w:rPr>
            </w:pPr>
            <w:r w:rsidRPr="00CA1271">
              <w:rPr>
                <w:rFonts w:cstheme="minorHAnsi"/>
                <w:szCs w:val="18"/>
                <w:lang w:eastAsia="en-AU"/>
              </w:rPr>
              <w:t>MMM2019</w:t>
            </w:r>
          </w:p>
        </w:tc>
        <w:tc>
          <w:tcPr>
            <w:tcW w:w="625" w:type="pct"/>
          </w:tcPr>
          <w:p w:rsidR="00C63652" w:rsidRPr="00CA1271" w:rsidRDefault="00C63652" w:rsidP="00B31142">
            <w:pPr>
              <w:jc w:val="center"/>
              <w:rPr>
                <w:rFonts w:cstheme="minorHAnsi"/>
                <w:bCs w:val="0"/>
                <w:szCs w:val="18"/>
                <w:lang w:eastAsia="en-AU"/>
              </w:rPr>
            </w:pPr>
            <w:r w:rsidRPr="00CA1271">
              <w:rPr>
                <w:rFonts w:cstheme="minorHAnsi"/>
                <w:szCs w:val="18"/>
                <w:lang w:eastAsia="en-AU"/>
              </w:rPr>
              <w:t>MMM2015</w:t>
            </w:r>
            <w:r w:rsidRPr="00CA1271">
              <w:rPr>
                <w:rFonts w:cstheme="minorHAnsi"/>
                <w:szCs w:val="18"/>
                <w:lang w:eastAsia="en-AU"/>
              </w:rPr>
              <w:br/>
              <w:t>Loading</w:t>
            </w:r>
          </w:p>
        </w:tc>
        <w:tc>
          <w:tcPr>
            <w:tcW w:w="625" w:type="pct"/>
          </w:tcPr>
          <w:p w:rsidR="00C63652" w:rsidRPr="00CA1271" w:rsidRDefault="00C63652" w:rsidP="00B31142">
            <w:pPr>
              <w:jc w:val="center"/>
              <w:rPr>
                <w:rFonts w:cstheme="minorHAnsi"/>
                <w:bCs w:val="0"/>
                <w:szCs w:val="18"/>
                <w:lang w:eastAsia="en-AU"/>
              </w:rPr>
            </w:pPr>
            <w:r w:rsidRPr="00CA1271">
              <w:rPr>
                <w:rFonts w:cstheme="minorHAnsi"/>
                <w:szCs w:val="18"/>
                <w:lang w:eastAsia="en-AU"/>
              </w:rPr>
              <w:t>MMM2019</w:t>
            </w:r>
            <w:r w:rsidRPr="00CA1271">
              <w:rPr>
                <w:rFonts w:cstheme="minorHAnsi"/>
                <w:szCs w:val="18"/>
                <w:lang w:eastAsia="en-AU"/>
              </w:rPr>
              <w:br/>
              <w:t>Loading</w:t>
            </w:r>
          </w:p>
        </w:tc>
        <w:tc>
          <w:tcPr>
            <w:tcW w:w="625" w:type="pct"/>
          </w:tcPr>
          <w:p w:rsidR="00C63652" w:rsidRPr="00CA1271" w:rsidRDefault="00C63652" w:rsidP="00B31142">
            <w:pPr>
              <w:jc w:val="center"/>
              <w:rPr>
                <w:rFonts w:cstheme="minorHAnsi"/>
                <w:bCs w:val="0"/>
                <w:szCs w:val="18"/>
                <w:lang w:eastAsia="en-AU"/>
              </w:rPr>
            </w:pPr>
            <w:r w:rsidRPr="00CA1271">
              <w:rPr>
                <w:rFonts w:cstheme="minorHAnsi"/>
                <w:szCs w:val="18"/>
                <w:lang w:eastAsia="en-AU"/>
              </w:rPr>
              <w:t>MMM2019 Loading (Isolated Towns)</w:t>
            </w:r>
          </w:p>
        </w:tc>
      </w:tr>
      <w:tr w:rsidR="00C63652" w:rsidRPr="00CA1271" w:rsidTr="002306B0">
        <w:trPr>
          <w:cnfStyle w:val="000000100000" w:firstRow="0" w:lastRow="0" w:firstColumn="0" w:lastColumn="0" w:oddVBand="0" w:evenVBand="0" w:oddHBand="1" w:evenHBand="0" w:firstRowFirstColumn="0" w:firstRowLastColumn="0" w:lastRowFirstColumn="0" w:lastRowLastColumn="0"/>
        </w:trPr>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NSW</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Bourke</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r w:rsidR="00C63652" w:rsidRPr="00CA1271" w:rsidTr="002306B0">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NSW</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Cobar</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r w:rsidR="00C63652" w:rsidRPr="00CA1271" w:rsidTr="002306B0">
        <w:trPr>
          <w:cnfStyle w:val="000000100000" w:firstRow="0" w:lastRow="0" w:firstColumn="0" w:lastColumn="0" w:oddVBand="0" w:evenVBand="0" w:oddHBand="1" w:evenHBand="0" w:firstRowFirstColumn="0" w:firstRowLastColumn="0" w:lastRowFirstColumn="0" w:lastRowLastColumn="0"/>
        </w:trPr>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NSW</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Dangar Island</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r w:rsidR="00C63652" w:rsidRPr="00CA1271" w:rsidTr="002306B0">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Vic</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Hopetoun</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r>
      <w:tr w:rsidR="00C63652" w:rsidRPr="00CA1271" w:rsidTr="002306B0">
        <w:trPr>
          <w:cnfStyle w:val="000000100000" w:firstRow="0" w:lastRow="0" w:firstColumn="0" w:lastColumn="0" w:oddVBand="0" w:evenVBand="0" w:oddHBand="1" w:evenHBand="0" w:firstRowFirstColumn="0" w:firstRowLastColumn="0" w:lastRowFirstColumn="0" w:lastRowLastColumn="0"/>
        </w:trPr>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Arcadia Bay, Magnetic Island</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r>
      <w:tr w:rsidR="00C63652" w:rsidRPr="00CA1271" w:rsidTr="002306B0">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Cardwell</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r w:rsidR="00C63652" w:rsidRPr="00CA1271" w:rsidTr="002306B0">
        <w:trPr>
          <w:cnfStyle w:val="000000100000" w:firstRow="0" w:lastRow="0" w:firstColumn="0" w:lastColumn="0" w:oddVBand="0" w:evenVBand="0" w:oddHBand="1" w:evenHBand="0" w:firstRowFirstColumn="0" w:firstRowLastColumn="0" w:lastRowFirstColumn="0" w:lastRowLastColumn="0"/>
        </w:trPr>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Coochiemudlo Island</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r w:rsidR="00C63652" w:rsidRPr="00CA1271" w:rsidTr="002306B0">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Duaringa</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r w:rsidR="00C63652" w:rsidRPr="00CA1271" w:rsidTr="002306B0">
        <w:trPr>
          <w:cnfStyle w:val="000000100000" w:firstRow="0" w:lastRow="0" w:firstColumn="0" w:lastColumn="0" w:oddVBand="0" w:evenVBand="0" w:oddHBand="1" w:evenHBand="0" w:firstRowFirstColumn="0" w:firstRowLastColumn="0" w:lastRowFirstColumn="0" w:lastRowLastColumn="0"/>
        </w:trPr>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Dunwich</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r w:rsidR="00C63652" w:rsidRPr="00CA1271" w:rsidTr="002306B0">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Glenden</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r w:rsidR="00C63652" w:rsidRPr="00CA1271" w:rsidTr="002306B0">
        <w:trPr>
          <w:cnfStyle w:val="000000100000" w:firstRow="0" w:lastRow="0" w:firstColumn="0" w:lastColumn="0" w:oddVBand="0" w:evenVBand="0" w:oddHBand="1" w:evenHBand="0" w:firstRowFirstColumn="0" w:firstRowLastColumn="0" w:lastRowFirstColumn="0" w:lastRowLastColumn="0"/>
        </w:trPr>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Hideaway Bay - Dingo Beach</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r>
      <w:tr w:rsidR="00C63652" w:rsidRPr="00CA1271" w:rsidTr="002306B0">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Horseshoe Bay, Magnetic Island</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r>
      <w:tr w:rsidR="00C63652" w:rsidRPr="00CA1271" w:rsidTr="002306B0">
        <w:trPr>
          <w:cnfStyle w:val="000000100000" w:firstRow="0" w:lastRow="0" w:firstColumn="0" w:lastColumn="0" w:oddVBand="0" w:evenVBand="0" w:oddHBand="1" w:evenHBand="0" w:firstRowFirstColumn="0" w:firstRowLastColumn="0" w:lastRowFirstColumn="0" w:lastRowLastColumn="0"/>
        </w:trPr>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Injune</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r w:rsidR="00C63652" w:rsidRPr="00CA1271" w:rsidTr="002306B0">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Karragarra Island</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r w:rsidR="00C63652" w:rsidRPr="00CA1271" w:rsidTr="002306B0">
        <w:trPr>
          <w:cnfStyle w:val="000000100000" w:firstRow="0" w:lastRow="0" w:firstColumn="0" w:lastColumn="0" w:oddVBand="0" w:evenVBand="0" w:oddHBand="1" w:evenHBand="0" w:firstRowFirstColumn="0" w:firstRowLastColumn="0" w:lastRowFirstColumn="0" w:lastRowLastColumn="0"/>
        </w:trPr>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Lamb Island</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r w:rsidR="00C63652" w:rsidRPr="00CA1271" w:rsidTr="002306B0">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Nebo</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r>
      <w:tr w:rsidR="00C63652" w:rsidRPr="00CA1271" w:rsidTr="002306B0">
        <w:trPr>
          <w:cnfStyle w:val="000000100000" w:firstRow="0" w:lastRow="0" w:firstColumn="0" w:lastColumn="0" w:oddVBand="0" w:evenVBand="0" w:oddHBand="1" w:evenHBand="0" w:firstRowFirstColumn="0" w:firstRowLastColumn="0" w:lastRowFirstColumn="0" w:lastRowLastColumn="0"/>
        </w:trPr>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Nelly Bay, Magnetic Island</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r>
      <w:tr w:rsidR="00C63652" w:rsidRPr="00CA1271" w:rsidTr="002306B0">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Qld</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Picnic Bay, Magnetic Island</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w:t>
            </w:r>
          </w:p>
        </w:tc>
        <w:tc>
          <w:tcPr>
            <w:tcW w:w="625" w:type="pct"/>
            <w:noWrap/>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r>
      <w:tr w:rsidR="00C63652" w:rsidRPr="00CA1271" w:rsidTr="002306B0">
        <w:trPr>
          <w:cnfStyle w:val="000000100000" w:firstRow="0" w:lastRow="0" w:firstColumn="0" w:lastColumn="0" w:oddVBand="0" w:evenVBand="0" w:oddHBand="1" w:evenHBand="0" w:firstRowFirstColumn="0" w:firstRowLastColumn="0" w:lastRowFirstColumn="0" w:lastRowLastColumn="0"/>
        </w:trPr>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SA</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Penneshaw</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r>
      <w:tr w:rsidR="00C63652" w:rsidRPr="00CA1271" w:rsidTr="002306B0">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WA</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Broome</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r w:rsidR="00C63652" w:rsidRPr="00CA1271" w:rsidTr="002306B0">
        <w:trPr>
          <w:cnfStyle w:val="000000100000" w:firstRow="0" w:lastRow="0" w:firstColumn="0" w:lastColumn="0" w:oddVBand="0" w:evenVBand="0" w:oddHBand="1" w:evenHBand="0" w:firstRowFirstColumn="0" w:firstRowLastColumn="0" w:lastRowFirstColumn="0" w:lastRowLastColumn="0"/>
        </w:trPr>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WA</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Carnarvon</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r>
      <w:tr w:rsidR="00C63652" w:rsidRPr="00CA1271" w:rsidTr="002306B0">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WA</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Green Head</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r>
      <w:tr w:rsidR="00C63652" w:rsidRPr="00CA1271" w:rsidTr="002306B0">
        <w:trPr>
          <w:cnfStyle w:val="000000100000" w:firstRow="0" w:lastRow="0" w:firstColumn="0" w:lastColumn="0" w:oddVBand="0" w:evenVBand="0" w:oddHBand="1" w:evenHBand="0" w:firstRowFirstColumn="0" w:firstRowLastColumn="0" w:lastRowFirstColumn="0" w:lastRowLastColumn="0"/>
        </w:trPr>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WA</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Kununurra</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r>
      <w:tr w:rsidR="00C63652" w:rsidRPr="00CA1271" w:rsidTr="002306B0">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WA</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Leeman</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r w:rsidR="00C63652" w:rsidRPr="00CA1271" w:rsidTr="002306B0">
        <w:trPr>
          <w:cnfStyle w:val="000000100000" w:firstRow="0" w:lastRow="0" w:firstColumn="0" w:lastColumn="0" w:oddVBand="0" w:evenVBand="0" w:oddHBand="1" w:evenHBand="0" w:firstRowFirstColumn="0" w:firstRowLastColumn="0" w:lastRowFirstColumn="0" w:lastRowLastColumn="0"/>
        </w:trPr>
        <w:tc>
          <w:tcPr>
            <w:tcW w:w="499"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NT</w:t>
            </w:r>
          </w:p>
        </w:tc>
        <w:tc>
          <w:tcPr>
            <w:tcW w:w="1375" w:type="pct"/>
          </w:tcPr>
          <w:p w:rsidR="00C63652" w:rsidRPr="00CA1271" w:rsidRDefault="00C63652" w:rsidP="00B31142">
            <w:pPr>
              <w:rPr>
                <w:rFonts w:cstheme="minorHAnsi"/>
                <w:color w:val="000000"/>
                <w:szCs w:val="18"/>
                <w:lang w:eastAsia="en-AU"/>
              </w:rPr>
            </w:pPr>
            <w:r w:rsidRPr="00CA1271">
              <w:rPr>
                <w:rFonts w:cstheme="minorHAnsi"/>
                <w:color w:val="000000"/>
                <w:szCs w:val="18"/>
                <w:lang w:eastAsia="en-AU"/>
              </w:rPr>
              <w:t>Gunbalanya (Oenpelli)</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7</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6</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50%</w:t>
            </w:r>
          </w:p>
        </w:tc>
        <w:tc>
          <w:tcPr>
            <w:tcW w:w="625" w:type="pct"/>
            <w:hideMark/>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c>
          <w:tcPr>
            <w:tcW w:w="625" w:type="pct"/>
          </w:tcPr>
          <w:p w:rsidR="00C63652" w:rsidRPr="00CA1271" w:rsidRDefault="00C63652" w:rsidP="00B31142">
            <w:pPr>
              <w:jc w:val="center"/>
              <w:rPr>
                <w:rFonts w:cstheme="minorHAnsi"/>
                <w:color w:val="000000"/>
                <w:szCs w:val="18"/>
                <w:lang w:eastAsia="en-AU"/>
              </w:rPr>
            </w:pPr>
            <w:r w:rsidRPr="00CA1271">
              <w:rPr>
                <w:rFonts w:cstheme="minorHAnsi"/>
                <w:color w:val="000000"/>
                <w:szCs w:val="18"/>
                <w:lang w:eastAsia="en-AU"/>
              </w:rPr>
              <w:t>40%</w:t>
            </w:r>
          </w:p>
        </w:tc>
      </w:tr>
    </w:tbl>
    <w:p w:rsidR="00C63652" w:rsidRPr="00CA1271" w:rsidRDefault="00C63652" w:rsidP="00C63652">
      <w:pPr>
        <w:pStyle w:val="Heading2"/>
      </w:pPr>
      <w:bookmarkStart w:id="107" w:name="_Toc42014747"/>
      <w:r w:rsidRPr="00CA1271">
        <w:t>Consultations</w:t>
      </w:r>
      <w:bookmarkEnd w:id="107"/>
    </w:p>
    <w:p w:rsidR="00C63652" w:rsidRPr="00CA1271" w:rsidRDefault="00C63652" w:rsidP="00C63652">
      <w:pPr>
        <w:rPr>
          <w:rFonts w:cs="Arial"/>
        </w:rPr>
      </w:pPr>
      <w:r w:rsidRPr="00CA1271">
        <w:rPr>
          <w:rFonts w:cs="Arial"/>
        </w:rPr>
        <w:t>The issues paper presented a number of issues with the current arrangements:</w:t>
      </w:r>
    </w:p>
    <w:p w:rsidR="00C63652" w:rsidRPr="00CA1271" w:rsidRDefault="00C63652" w:rsidP="00C63652">
      <w:pPr>
        <w:pStyle w:val="DotPoint"/>
      </w:pPr>
      <w:r w:rsidRPr="00CA1271">
        <w:t>What transitional arrangements, if any, should be put in place for locations that are currently classified as remote under MMM2015 and would no longer be classified as remote under MMM2019?</w:t>
      </w:r>
    </w:p>
    <w:p w:rsidR="00C63652" w:rsidRPr="00CA1271" w:rsidRDefault="00C63652" w:rsidP="00C63652">
      <w:pPr>
        <w:pStyle w:val="DotPoint"/>
      </w:pPr>
      <w:r w:rsidRPr="00CA1271">
        <w:t>Are there any other issues with the geographic classification system used by the NDIS for pricing and planning purposes?</w:t>
      </w:r>
    </w:p>
    <w:p w:rsidR="00C63652" w:rsidRPr="00CA1271" w:rsidRDefault="00C63652" w:rsidP="00C63652">
      <w:r w:rsidRPr="00CA1271">
        <w:t>Respondents acknowledged the need for timely changes to geographic classifications but noted that frequent changes can disrupt service delivery by providers.</w:t>
      </w:r>
    </w:p>
    <w:p w:rsidR="00C63652" w:rsidRPr="00CA1271" w:rsidRDefault="00C63652" w:rsidP="00C63652">
      <w:r w:rsidRPr="00CA1271">
        <w:t xml:space="preserve">A number of submissions suggested that a transition period be available for providers to adjust their operations. The most common suggestion was a 12-month notice period, to allow time for most providers to transition, particularly where geographical reclassification lowers MMM ratings, as this also impacts engaging new participants in such locations. </w:t>
      </w:r>
    </w:p>
    <w:p w:rsidR="00C63652" w:rsidRPr="00CA1271" w:rsidRDefault="00C63652" w:rsidP="00C63652">
      <w:r w:rsidRPr="00CA1271">
        <w:t xml:space="preserve">Respondents were also concerned that the MMM does not consider the proximity to disability providers, provider operation costs in MMM4-5 areas, and workforce attraction and retention. They proposed that the NDIA consider the proximity of a town located to other well-populated towns and a number of community services and health providers. </w:t>
      </w:r>
    </w:p>
    <w:p w:rsidR="00FD3204" w:rsidRPr="00CA1271" w:rsidRDefault="00FD3204" w:rsidP="00C63652">
      <w:pPr>
        <w:pStyle w:val="Heading2"/>
      </w:pPr>
      <w:bookmarkStart w:id="108" w:name="_Toc42014748"/>
      <w:r w:rsidRPr="00CA1271">
        <w:t>Research</w:t>
      </w:r>
      <w:bookmarkEnd w:id="108"/>
    </w:p>
    <w:p w:rsidR="00FD3204" w:rsidRPr="00CA1271" w:rsidRDefault="00FD3204" w:rsidP="00FD3204">
      <w:pPr>
        <w:rPr>
          <w:rFonts w:cs="Arial"/>
        </w:rPr>
      </w:pPr>
      <w:r w:rsidRPr="00CA1271">
        <w:rPr>
          <w:rFonts w:cs="Arial"/>
        </w:rPr>
        <w:t>There are 5,673 participants who will be affected by MMM 2019 changes.</w:t>
      </w:r>
      <w:r w:rsidRPr="00CA1271">
        <w:t xml:space="preserve"> </w:t>
      </w:r>
      <w:r w:rsidRPr="00CA1271">
        <w:rPr>
          <w:rFonts w:cs="Arial"/>
        </w:rPr>
        <w:t>Of these, 306 participants will reclassified into or out of MMM 6-7 and thus experience the loss or gain of a geographical loading on their price limits and plan funding amounts.</w:t>
      </w:r>
    </w:p>
    <w:p w:rsidR="00FD3204" w:rsidRPr="00CA1271" w:rsidRDefault="00FD3204" w:rsidP="007A045B">
      <w:pPr>
        <w:pStyle w:val="DotPoint"/>
        <w:numPr>
          <w:ilvl w:val="1"/>
          <w:numId w:val="13"/>
        </w:numPr>
      </w:pPr>
      <w:r w:rsidRPr="00CA1271">
        <w:t>121 participants will be reclassified from outer regional (MMM5) to remote (MMM6) and gain the 40% remote loading;</w:t>
      </w:r>
    </w:p>
    <w:p w:rsidR="00FD3204" w:rsidRPr="00CA1271" w:rsidRDefault="00FD3204" w:rsidP="007A045B">
      <w:pPr>
        <w:pStyle w:val="DotPoint"/>
        <w:numPr>
          <w:ilvl w:val="1"/>
          <w:numId w:val="13"/>
        </w:numPr>
      </w:pPr>
      <w:r w:rsidRPr="00CA1271">
        <w:t>43 participants will be reclassified from remote (MMM6) to outer regional (MMM5) and lose the 40% remote loading;</w:t>
      </w:r>
    </w:p>
    <w:p w:rsidR="00FD3204" w:rsidRPr="00CA1271" w:rsidRDefault="00FD3204" w:rsidP="007A045B">
      <w:pPr>
        <w:pStyle w:val="DotPoint"/>
        <w:numPr>
          <w:ilvl w:val="1"/>
          <w:numId w:val="13"/>
        </w:numPr>
      </w:pPr>
      <w:r w:rsidRPr="00CA1271">
        <w:t>59 participants will be reclassified from remote (MMM6) to very remote (MMM7) and move from the 40% remote loading to the 50% very remote loading;</w:t>
      </w:r>
      <w:r w:rsidR="00E239A0" w:rsidRPr="00CA1271">
        <w:t xml:space="preserve"> and</w:t>
      </w:r>
    </w:p>
    <w:p w:rsidR="00FD3204" w:rsidRPr="00CA1271" w:rsidRDefault="00FD3204" w:rsidP="007A045B">
      <w:pPr>
        <w:pStyle w:val="DotPoint"/>
        <w:numPr>
          <w:ilvl w:val="1"/>
          <w:numId w:val="13"/>
        </w:numPr>
      </w:pPr>
      <w:r w:rsidRPr="00CA1271">
        <w:t xml:space="preserve">83 </w:t>
      </w:r>
      <w:r w:rsidR="00E239A0" w:rsidRPr="00CA1271">
        <w:t xml:space="preserve">participants </w:t>
      </w:r>
      <w:r w:rsidRPr="00CA1271">
        <w:t>will be reclassified from very remote (MMM7) to remote (MMM6) and move from the 50% very remote loading to the 40% remote loading.</w:t>
      </w:r>
    </w:p>
    <w:p w:rsidR="00C63652" w:rsidRPr="00CA1271" w:rsidRDefault="00C63652" w:rsidP="00C63652">
      <w:pPr>
        <w:pStyle w:val="Heading2"/>
      </w:pPr>
      <w:bookmarkStart w:id="109" w:name="_Toc42014749"/>
      <w:r w:rsidRPr="00CA1271">
        <w:t>DIscussion</w:t>
      </w:r>
      <w:bookmarkEnd w:id="109"/>
    </w:p>
    <w:p w:rsidR="00AF45A5" w:rsidRPr="00CA1271" w:rsidRDefault="00C63652" w:rsidP="00C63652">
      <w:r w:rsidRPr="00CA1271">
        <w:t>The MMM is explicitly based on distance to the nearest labour supply centre and so should be well suited as a mechanism to estimate the availability of the disability support workforce and the need for higher price limits to compensate providers for the higher costs associated with attracting workers. The Review recognises that thin markets operate in remote, very remote and some regional areas, especially for more specialised services. However, the Review considers that the solution to this issue lies through a greater use of commissioning, rather than through increases in price limits, especially where the thinness of the market is due to the low number of participants. In these circumstances individual participants will never have sufficient purchasing power to attract service provision with the efficiencies of aggregation that can be generated through commissioning.</w:t>
      </w:r>
      <w:r w:rsidR="00AF45A5" w:rsidRPr="00CA1271">
        <w:t xml:space="preserve"> </w:t>
      </w:r>
    </w:p>
    <w:p w:rsidR="00C63652" w:rsidRPr="00CA1271" w:rsidRDefault="00C63652" w:rsidP="00C63652">
      <w:r w:rsidRPr="00CA1271">
        <w:t xml:space="preserve">The Review also considers that the argument for a delay in implementing any change in the MMM rating of a region is not strong, given that both price limits and plan funding loadings are driven by the same loadings. Thus, while participants who might be reclassified into non-remote areas might have smaller plans they would also face lower price limits. </w:t>
      </w:r>
    </w:p>
    <w:p w:rsidR="00C63652" w:rsidRPr="00CA1271" w:rsidRDefault="00C63652" w:rsidP="00C63652">
      <w:pPr>
        <w:pStyle w:val="Heading2"/>
      </w:pPr>
      <w:bookmarkStart w:id="110" w:name="_Toc42014750"/>
      <w:r w:rsidRPr="00CA1271">
        <w:t>Recommendation</w:t>
      </w:r>
      <w:bookmarkEnd w:id="110"/>
    </w:p>
    <w:p w:rsidR="00C63652" w:rsidRPr="00CA1271" w:rsidRDefault="00C63652" w:rsidP="00C63652">
      <w:pPr>
        <w:pStyle w:val="REcommendation"/>
        <w:rPr>
          <w:b/>
        </w:rPr>
      </w:pPr>
      <w:r w:rsidRPr="00CA1271">
        <w:rPr>
          <w:b/>
        </w:rPr>
        <w:t>Geographic Classification</w:t>
      </w:r>
    </w:p>
    <w:p w:rsidR="00C63652" w:rsidRPr="00CA1271" w:rsidRDefault="0008512C" w:rsidP="00882C7D">
      <w:pPr>
        <w:pStyle w:val="REcommendation"/>
        <w:keepNext w:val="0"/>
        <w:numPr>
          <w:ilvl w:val="0"/>
          <w:numId w:val="0"/>
        </w:numPr>
        <w:ind w:left="852"/>
      </w:pPr>
      <w:r w:rsidRPr="00CA1271">
        <w:t>The NDIA</w:t>
      </w:r>
      <w:r w:rsidR="00C63652" w:rsidRPr="00CA1271">
        <w:t xml:space="preserve"> should adopt the MMM 2019 classification system, and any future updates to the MMM classification system as released by the Department of Health, (subject to the NDIS Isolated Town arrangements) as the basis of determining the pricing arrangements in the NDIS Price Guide, including:</w:t>
      </w:r>
    </w:p>
    <w:p w:rsidR="00C63652" w:rsidRPr="00CA1271" w:rsidRDefault="00C63652" w:rsidP="002D7E89">
      <w:pPr>
        <w:pStyle w:val="REcommendation"/>
        <w:keepNext w:val="0"/>
        <w:numPr>
          <w:ilvl w:val="2"/>
          <w:numId w:val="11"/>
        </w:numPr>
      </w:pPr>
      <w:r w:rsidRPr="00CA1271">
        <w:t>whether remote and very remote loadings should be applied to price limits and plan funding amounts; and</w:t>
      </w:r>
    </w:p>
    <w:p w:rsidR="00E239A0" w:rsidRPr="00CA1271" w:rsidRDefault="00C63652" w:rsidP="002D7E89">
      <w:pPr>
        <w:pStyle w:val="REcommendation"/>
        <w:keepNext w:val="0"/>
        <w:numPr>
          <w:ilvl w:val="2"/>
          <w:numId w:val="11"/>
        </w:numPr>
      </w:pPr>
      <w:proofErr w:type="gramStart"/>
      <w:r w:rsidRPr="00CA1271">
        <w:t>which</w:t>
      </w:r>
      <w:proofErr w:type="gramEnd"/>
      <w:r w:rsidRPr="00CA1271">
        <w:t xml:space="preserve"> travel time limits apply to the supports delivered to participants.</w:t>
      </w:r>
    </w:p>
    <w:p w:rsidR="00C63652" w:rsidRPr="00CA1271" w:rsidRDefault="00C63652" w:rsidP="00E239A0">
      <w:pPr>
        <w:pStyle w:val="Heading1"/>
        <w:numPr>
          <w:ilvl w:val="0"/>
          <w:numId w:val="0"/>
        </w:numPr>
        <w:sectPr w:rsidR="00C63652" w:rsidRPr="00CA1271" w:rsidSect="00CA5B7E">
          <w:pgSz w:w="11907" w:h="16839" w:code="9"/>
          <w:pgMar w:top="1418" w:right="1418" w:bottom="1418" w:left="1418" w:header="709" w:footer="709" w:gutter="0"/>
          <w:cols w:space="708"/>
          <w:titlePg/>
          <w:docGrid w:linePitch="360"/>
        </w:sectPr>
      </w:pPr>
    </w:p>
    <w:p w:rsidR="00C63652" w:rsidRPr="00CA1271" w:rsidRDefault="00C63652" w:rsidP="009B4F91">
      <w:pPr>
        <w:pStyle w:val="Heading1"/>
        <w:ind w:left="426"/>
      </w:pPr>
      <w:bookmarkStart w:id="111" w:name="_Toc42014751"/>
      <w:bookmarkStart w:id="112" w:name="_Ref42689686"/>
      <w:bookmarkStart w:id="113" w:name="_Ref42689696"/>
      <w:r w:rsidRPr="00CA1271">
        <w:t>Costs in Outer Regional Areas</w:t>
      </w:r>
      <w:bookmarkEnd w:id="111"/>
      <w:bookmarkEnd w:id="112"/>
      <w:bookmarkEnd w:id="113"/>
      <w:r w:rsidRPr="00CA1271">
        <w:t xml:space="preserve"> </w:t>
      </w:r>
    </w:p>
    <w:p w:rsidR="00C63652" w:rsidRPr="00CA1271" w:rsidRDefault="00C63652" w:rsidP="00C63652">
      <w:r w:rsidRPr="00CA1271">
        <w:t>The Review was required by its Terms of Reference to examine whether a loading should be applied to price limits and plan funding amounts in outer regional areas to account for the higher cost of service delivery, if any, in those areas</w:t>
      </w:r>
    </w:p>
    <w:p w:rsidR="00C63652" w:rsidRPr="00CA1271" w:rsidRDefault="00C63652" w:rsidP="00C63652">
      <w:pPr>
        <w:pStyle w:val="Heading2"/>
      </w:pPr>
      <w:bookmarkStart w:id="114" w:name="_Toc42014752"/>
      <w:r w:rsidRPr="00CA1271">
        <w:t>Current Arrangements</w:t>
      </w:r>
      <w:bookmarkEnd w:id="114"/>
      <w:r w:rsidRPr="00CA1271">
        <w:t xml:space="preserve"> </w:t>
      </w:r>
    </w:p>
    <w:p w:rsidR="00C63652" w:rsidRPr="00CA1271" w:rsidRDefault="006B3887" w:rsidP="00C63652">
      <w:r w:rsidRPr="00CA1271">
        <w:t>In 2019, t</w:t>
      </w:r>
      <w:r w:rsidR="00B31142" w:rsidRPr="00CA1271">
        <w:t xml:space="preserve">he </w:t>
      </w:r>
      <w:r w:rsidR="00B31142" w:rsidRPr="00CA1271">
        <w:rPr>
          <w:i/>
        </w:rPr>
        <w:t xml:space="preserve">NDIS Western Australian </w:t>
      </w:r>
      <w:r w:rsidR="00C63652" w:rsidRPr="00CA1271">
        <w:rPr>
          <w:i/>
        </w:rPr>
        <w:t xml:space="preserve">Market Review </w:t>
      </w:r>
      <w:r w:rsidR="00B31142" w:rsidRPr="00CA1271">
        <w:t xml:space="preserve">(“the WA Market Review”) </w:t>
      </w:r>
      <w:r w:rsidR="00C63652" w:rsidRPr="00CA1271">
        <w:t>found that costs in remote and very remote areas were substantially higher than those in other areas. As a result, the NDIS increased the price limit and plan funding loadings for remote and very remote areas from 20</w:t>
      </w:r>
      <w:r w:rsidR="00E80A7C" w:rsidRPr="00CA1271">
        <w:t>%</w:t>
      </w:r>
      <w:r w:rsidR="00C63652" w:rsidRPr="00CA1271">
        <w:t xml:space="preserve"> and 25</w:t>
      </w:r>
      <w:r w:rsidR="00E80A7C" w:rsidRPr="00CA1271">
        <w:t>%</w:t>
      </w:r>
      <w:r w:rsidR="00C63652" w:rsidRPr="00CA1271">
        <w:t xml:space="preserve"> to 40</w:t>
      </w:r>
      <w:r w:rsidR="00E80A7C" w:rsidRPr="00CA1271">
        <w:t>%</w:t>
      </w:r>
      <w:r w:rsidR="00C63652" w:rsidRPr="00CA1271">
        <w:t xml:space="preserve"> and 50</w:t>
      </w:r>
      <w:r w:rsidR="00E80A7C" w:rsidRPr="00CA1271">
        <w:t>%</w:t>
      </w:r>
      <w:r w:rsidR="00C63652" w:rsidRPr="00CA1271">
        <w:t>, respectively.</w:t>
      </w:r>
    </w:p>
    <w:p w:rsidR="00C63652" w:rsidRPr="00CA1271" w:rsidRDefault="00C63652" w:rsidP="00C63652">
      <w:r w:rsidRPr="00CA1271">
        <w:t xml:space="preserve">The WA Market Review also found that costs did not suddenly rise when a provider crossed the boundary from an outer regional area to a remote area. Rather, costs rose in line with the distance from capital cities – although not necessarily in a linear manner. </w:t>
      </w:r>
    </w:p>
    <w:p w:rsidR="00C63652" w:rsidRPr="00CA1271" w:rsidRDefault="00C63652" w:rsidP="00C63652">
      <w:pPr>
        <w:pStyle w:val="Heading2"/>
      </w:pPr>
      <w:bookmarkStart w:id="115" w:name="_Toc42014753"/>
      <w:r w:rsidRPr="00CA1271">
        <w:t>Consultations</w:t>
      </w:r>
      <w:bookmarkEnd w:id="115"/>
    </w:p>
    <w:p w:rsidR="00C63652" w:rsidRPr="00CA1271" w:rsidRDefault="00C63652" w:rsidP="00C63652">
      <w:r w:rsidRPr="00CA1271">
        <w:t>Most respondents suggested that the cost of delivering supports in regional areas is more expensive due to the increased travel costs and limited transport options in regional areas, accommodation costs of workers (where applicable), and wage costs. Several submissions suggested that the issues faced in regional areas are better aligned to remote areas.</w:t>
      </w:r>
      <w:r w:rsidR="006B3887" w:rsidRPr="00CA1271">
        <w:t xml:space="preserve"> </w:t>
      </w:r>
      <w:r w:rsidRPr="00CA1271">
        <w:t xml:space="preserve">Another submission argued that providers in MMM4-5 areas face higher start-up and ongoing costs associated with establishing, supporting and sustaining a business in regional locations, particularly for small providers. </w:t>
      </w:r>
    </w:p>
    <w:p w:rsidR="00C63652" w:rsidRPr="00CA1271" w:rsidRDefault="00C63652" w:rsidP="00C63652">
      <w:r w:rsidRPr="00CA1271">
        <w:t>Respondents were asked to indicate what would be an appropriate loading to cover any additional costs associated with the delivery of services in regional areas. Submissions suggested a 10</w:t>
      </w:r>
      <w:r w:rsidR="006B3887" w:rsidRPr="00CA1271">
        <w:t>%</w:t>
      </w:r>
      <w:r w:rsidRPr="00CA1271">
        <w:t xml:space="preserve"> to 20</w:t>
      </w:r>
      <w:r w:rsidR="00E80A7C" w:rsidRPr="00CA1271">
        <w:t>%</w:t>
      </w:r>
      <w:r w:rsidRPr="00CA1271">
        <w:t xml:space="preserve"> loading, with one suggesting a 50</w:t>
      </w:r>
      <w:r w:rsidR="00E80A7C" w:rsidRPr="00CA1271">
        <w:t>%</w:t>
      </w:r>
      <w:r w:rsidRPr="00CA1271">
        <w:t xml:space="preserve"> loading. Another submission suggested quoting for regional services, rather than a loading. </w:t>
      </w:r>
      <w:r w:rsidR="006B3887" w:rsidRPr="00CA1271">
        <w:t>However, s</w:t>
      </w:r>
      <w:r w:rsidRPr="00CA1271">
        <w:t>ubmissions did not</w:t>
      </w:r>
      <w:r w:rsidR="006B3887" w:rsidRPr="00CA1271">
        <w:t xml:space="preserve"> </w:t>
      </w:r>
      <w:r w:rsidRPr="00CA1271">
        <w:t xml:space="preserve">provide </w:t>
      </w:r>
      <w:r w:rsidR="006B3887" w:rsidRPr="00CA1271">
        <w:t xml:space="preserve">strong </w:t>
      </w:r>
      <w:r w:rsidRPr="00CA1271">
        <w:t>evidence for these estimates.</w:t>
      </w:r>
    </w:p>
    <w:p w:rsidR="00C63652" w:rsidRPr="00CA1271" w:rsidRDefault="00C63652" w:rsidP="00C63652">
      <w:pPr>
        <w:pStyle w:val="Heading2"/>
      </w:pPr>
      <w:bookmarkStart w:id="116" w:name="_Toc42014754"/>
      <w:r w:rsidRPr="00CA1271">
        <w:t>Research</w:t>
      </w:r>
      <w:bookmarkEnd w:id="116"/>
      <w:r w:rsidRPr="00CA1271">
        <w:t xml:space="preserve"> </w:t>
      </w:r>
    </w:p>
    <w:p w:rsidR="00C63652" w:rsidRPr="00CA1271" w:rsidRDefault="00C63652" w:rsidP="00C63652">
      <w:r w:rsidRPr="00CA1271">
        <w:t>The Commonwealth Grants Commission (CGC) conducted research into the actual costs of placing government employees in remote locations.</w:t>
      </w:r>
      <w:r w:rsidRPr="00CA1271">
        <w:rPr>
          <w:vertAlign w:val="superscript"/>
        </w:rPr>
        <w:footnoteReference w:id="42"/>
      </w:r>
      <w:r w:rsidRPr="00CA1271">
        <w:t xml:space="preserve"> The CGC found that costs varied linearly with distance – rather than into just three discrete groups. The CGC also found that placing staff in very remote areas could cost almost double what it cost to place them in cities. </w:t>
      </w:r>
      <w:r w:rsidR="006B3887" w:rsidRPr="00CA1271">
        <w:fldChar w:fldCharType="begin"/>
      </w:r>
      <w:r w:rsidR="006B3887" w:rsidRPr="00CA1271">
        <w:instrText xml:space="preserve"> REF _Ref37972122 \h </w:instrText>
      </w:r>
      <w:r w:rsidR="006D7957" w:rsidRPr="00CA1271">
        <w:instrText xml:space="preserve"> \* MERGEFORMAT </w:instrText>
      </w:r>
      <w:r w:rsidR="006B3887" w:rsidRPr="00CA1271">
        <w:fldChar w:fldCharType="separate"/>
      </w:r>
      <w:r w:rsidR="00B621CC" w:rsidRPr="00CA1271">
        <w:t xml:space="preserve">Figure </w:t>
      </w:r>
      <w:r w:rsidR="00B621CC">
        <w:rPr>
          <w:noProof/>
        </w:rPr>
        <w:t>7</w:t>
      </w:r>
      <w:r w:rsidR="006B3887" w:rsidRPr="00CA1271">
        <w:fldChar w:fldCharType="end"/>
      </w:r>
      <w:r w:rsidR="006B3887" w:rsidRPr="00CA1271">
        <w:t xml:space="preserve"> </w:t>
      </w:r>
      <w:r w:rsidRPr="00CA1271">
        <w:t xml:space="preserve">from the WA Market Review compares the CGC’s estimates of the costs of delivering services in regional, remote and very remote areas with metropolitan areas. It also shows the price loadings that </w:t>
      </w:r>
      <w:r w:rsidR="00563D1B" w:rsidRPr="00CA1271">
        <w:t xml:space="preserve">applied at the time of the WA Market Review </w:t>
      </w:r>
      <w:r w:rsidRPr="00CA1271">
        <w:t>in the WA NDIS and in the Commonwealth’s residential and community aged care programs.</w:t>
      </w:r>
    </w:p>
    <w:p w:rsidR="006B3887" w:rsidRPr="00CA1271" w:rsidRDefault="006B3887" w:rsidP="006B3887">
      <w:pPr>
        <w:pStyle w:val="Caption"/>
      </w:pPr>
      <w:bookmarkStart w:id="117" w:name="_Ref37972122"/>
      <w:bookmarkStart w:id="118" w:name="_Toc42014779"/>
      <w:r w:rsidRPr="00CA1271">
        <w:t xml:space="preserve">Figure </w:t>
      </w:r>
      <w:r w:rsidRPr="00CA1271">
        <w:fldChar w:fldCharType="begin"/>
      </w:r>
      <w:r w:rsidRPr="00CA1271">
        <w:instrText xml:space="preserve"> SEQ Figure \* ARABIC </w:instrText>
      </w:r>
      <w:r w:rsidRPr="00CA1271">
        <w:fldChar w:fldCharType="separate"/>
      </w:r>
      <w:r w:rsidR="00B621CC">
        <w:rPr>
          <w:noProof/>
        </w:rPr>
        <w:t>7</w:t>
      </w:r>
      <w:r w:rsidRPr="00CA1271">
        <w:fldChar w:fldCharType="end"/>
      </w:r>
      <w:bookmarkEnd w:id="117"/>
      <w:r w:rsidRPr="00CA1271">
        <w:t xml:space="preserve"> - Relative Cost of Delivering Services by Remoteness Classification</w:t>
      </w:r>
      <w:bookmarkEnd w:id="118"/>
    </w:p>
    <w:p w:rsidR="00C63652" w:rsidRPr="00CA1271" w:rsidRDefault="00C63652" w:rsidP="00C63652">
      <w:pPr>
        <w:jc w:val="center"/>
        <w:rPr>
          <w:rFonts w:ascii="Arial" w:hAnsi="Arial" w:cs="Arial"/>
          <w:szCs w:val="22"/>
        </w:rPr>
      </w:pPr>
      <w:r w:rsidRPr="00CA1271">
        <w:rPr>
          <w:rFonts w:ascii="Arial" w:hAnsi="Arial" w:cs="Arial"/>
          <w:noProof/>
          <w:szCs w:val="22"/>
          <w:lang w:eastAsia="en-AU"/>
        </w:rPr>
        <w:drawing>
          <wp:inline distT="0" distB="0" distL="0" distR="0" wp14:anchorId="0FA37FF1" wp14:editId="0E7006B0">
            <wp:extent cx="5040000" cy="3535200"/>
            <wp:effectExtent l="0" t="0" r="8255" b="8255"/>
            <wp:docPr id="10" name="Picture 10" descr="The graph shows significant similarity between WANDIS, CGC Schools, CGC General, CGC Police, Aged Care Home Care and Aged Care Residential. Costs go up in a similar way the more remote the area is. " title="Relative Cost of Delivering Services by Remoteness Classification"/>
            <wp:cNvGraphicFramePr/>
            <a:graphic xmlns:a="http://schemas.openxmlformats.org/drawingml/2006/main">
              <a:graphicData uri="http://schemas.openxmlformats.org/drawingml/2006/picture">
                <pic:pic xmlns:pic="http://schemas.openxmlformats.org/drawingml/2006/picture">
                  <pic:nvPicPr>
                    <pic:cNvPr id="1" name="Picture 1" descr="The graph shows significant similarity between WANDIS, CGC Schools, CGC General, CGC Police, Aged Care Home Care and Aged Care Residential. Costs go up in a similar way the more remote the area is. " title="Relative Cost of Delivering Services by Remoteness Classification"/>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0000" cy="3535200"/>
                    </a:xfrm>
                    <a:prstGeom prst="rect">
                      <a:avLst/>
                    </a:prstGeom>
                    <a:noFill/>
                  </pic:spPr>
                </pic:pic>
              </a:graphicData>
            </a:graphic>
          </wp:inline>
        </w:drawing>
      </w:r>
    </w:p>
    <w:p w:rsidR="00C63652" w:rsidRPr="00CA1271" w:rsidRDefault="00563D1B" w:rsidP="00C63652">
      <w:r w:rsidRPr="00CA1271">
        <w:t>In all cases, the</w:t>
      </w:r>
      <w:r w:rsidR="00C63652" w:rsidRPr="00CA1271">
        <w:t xml:space="preserve"> cost loadings </w:t>
      </w:r>
      <w:r w:rsidRPr="00CA1271">
        <w:t>were</w:t>
      </w:r>
      <w:r w:rsidR="00C63652" w:rsidRPr="00CA1271">
        <w:t xml:space="preserve"> significantly greater than the price limit and plan funding loadings </w:t>
      </w:r>
      <w:r w:rsidRPr="00CA1271">
        <w:t xml:space="preserve">that were </w:t>
      </w:r>
      <w:r w:rsidR="00C63652" w:rsidRPr="00CA1271">
        <w:t>applicable in the NDIS</w:t>
      </w:r>
      <w:r w:rsidRPr="00CA1271">
        <w:t xml:space="preserve"> at the time of the WA Market Review</w:t>
      </w:r>
      <w:r w:rsidR="00C63652" w:rsidRPr="00CA1271">
        <w:t xml:space="preserve">. Because of this evidence, the </w:t>
      </w:r>
      <w:r w:rsidRPr="00CA1271">
        <w:t xml:space="preserve">WA Market Review </w:t>
      </w:r>
      <w:r w:rsidR="00C63652" w:rsidRPr="00CA1271">
        <w:t xml:space="preserve">found that the costs of delivering services in remote and very remote areas </w:t>
      </w:r>
      <w:r w:rsidRPr="00CA1271">
        <w:t>were</w:t>
      </w:r>
      <w:r w:rsidR="00C63652" w:rsidRPr="00CA1271">
        <w:t xml:space="preserve"> significantly higher than in metropolitan areas, and the difference in costs </w:t>
      </w:r>
      <w:r w:rsidRPr="00CA1271">
        <w:t>were</w:t>
      </w:r>
      <w:r w:rsidR="00C63652" w:rsidRPr="00CA1271">
        <w:t xml:space="preserve"> greater than </w:t>
      </w:r>
      <w:r w:rsidRPr="00CA1271">
        <w:t xml:space="preserve">were then </w:t>
      </w:r>
      <w:r w:rsidR="00C63652" w:rsidRPr="00CA1271">
        <w:t xml:space="preserve">provided for in the NDIS planning and pricing arrangements. The </w:t>
      </w:r>
      <w:r w:rsidRPr="00CA1271">
        <w:t xml:space="preserve">WA Market Review </w:t>
      </w:r>
      <w:r w:rsidR="00C63652" w:rsidRPr="00CA1271">
        <w:t xml:space="preserve">also found that the costs of delivering services in regional areas </w:t>
      </w:r>
      <w:r w:rsidRPr="00CA1271">
        <w:t>might</w:t>
      </w:r>
      <w:r w:rsidR="00C63652" w:rsidRPr="00CA1271">
        <w:t xml:space="preserve"> also be higher than in metropolitan areas, but that further research on the magnitude and significance of this difference was required.</w:t>
      </w:r>
      <w:r w:rsidRPr="00CA1271">
        <w:t xml:space="preserve"> This matter was referred to the Annual Price Review 2020-21 for further consideration.</w:t>
      </w:r>
    </w:p>
    <w:p w:rsidR="00D72D43" w:rsidRPr="00CA1271" w:rsidRDefault="00C63652" w:rsidP="00563D1B">
      <w:r w:rsidRPr="00CA1271">
        <w:t>The Department of Education, Employment and Workplace Relations conducted a study into their regional loadings in 2011.</w:t>
      </w:r>
      <w:r w:rsidRPr="00CA1271">
        <w:rPr>
          <w:rStyle w:val="FootnoteReference"/>
        </w:rPr>
        <w:footnoteReference w:id="43"/>
      </w:r>
      <w:r w:rsidRPr="00CA1271">
        <w:t xml:space="preserve"> That study considered the model for factoring in components of regional service delivery at regional campuses such as staff numbers, class size, total enrolment and geographic features of the locale. Their recommended hierarchy for loading was as follows: Remote and Very Remote = 20</w:t>
      </w:r>
      <w:r w:rsidR="00E80A7C" w:rsidRPr="00CA1271">
        <w:t>%</w:t>
      </w:r>
      <w:r w:rsidRPr="00CA1271">
        <w:t>; Darwin specific = 15</w:t>
      </w:r>
      <w:r w:rsidR="00E80A7C" w:rsidRPr="00CA1271">
        <w:t>%</w:t>
      </w:r>
      <w:r w:rsidRPr="00CA1271">
        <w:t>; Outer Regional = 10</w:t>
      </w:r>
      <w:r w:rsidR="00E80A7C" w:rsidRPr="00CA1271">
        <w:t>%</w:t>
      </w:r>
      <w:r w:rsidRPr="00CA1271">
        <w:t>; and Inner Regional = 5</w:t>
      </w:r>
      <w:r w:rsidR="00E80A7C" w:rsidRPr="00CA1271">
        <w:t>%</w:t>
      </w:r>
      <w:r w:rsidRPr="00CA1271">
        <w:t>.</w:t>
      </w:r>
      <w:r w:rsidR="00563D1B" w:rsidRPr="00CA1271">
        <w:t xml:space="preserve"> </w:t>
      </w:r>
    </w:p>
    <w:p w:rsidR="00C63652" w:rsidRPr="00CA1271" w:rsidRDefault="00563D1B" w:rsidP="00563D1B">
      <w:r w:rsidRPr="00CA1271">
        <w:t>A</w:t>
      </w:r>
      <w:r w:rsidR="00C63652" w:rsidRPr="00CA1271">
        <w:t xml:space="preserve"> detailed study </w:t>
      </w:r>
      <w:r w:rsidRPr="00CA1271">
        <w:t xml:space="preserve">published in 2014 </w:t>
      </w:r>
      <w:r w:rsidR="00C63652" w:rsidRPr="00CA1271">
        <w:t xml:space="preserve">by the Queensland Government Statistician, reported in </w:t>
      </w:r>
      <w:r w:rsidR="006B3887" w:rsidRPr="00CA1271">
        <w:fldChar w:fldCharType="begin"/>
      </w:r>
      <w:r w:rsidR="006B3887" w:rsidRPr="00CA1271">
        <w:instrText xml:space="preserve"> REF _Ref37972294 \h </w:instrText>
      </w:r>
      <w:r w:rsidR="006D7957" w:rsidRPr="00CA1271">
        <w:instrText xml:space="preserve"> \* MERGEFORMAT </w:instrText>
      </w:r>
      <w:r w:rsidR="006B3887" w:rsidRPr="00CA1271">
        <w:fldChar w:fldCharType="separate"/>
      </w:r>
      <w:r w:rsidR="00B621CC" w:rsidRPr="00CA1271">
        <w:t xml:space="preserve">Table </w:t>
      </w:r>
      <w:r w:rsidR="00B621CC">
        <w:rPr>
          <w:noProof/>
        </w:rPr>
        <w:t>11</w:t>
      </w:r>
      <w:r w:rsidR="006B3887" w:rsidRPr="00CA1271">
        <w:fldChar w:fldCharType="end"/>
      </w:r>
      <w:r w:rsidR="00C63652" w:rsidRPr="00CA1271">
        <w:t>, found that, in general, the cost of living in regional areas was lower than in metropolitan areas.</w:t>
      </w:r>
      <w:r w:rsidR="00C63652" w:rsidRPr="00CA1271">
        <w:rPr>
          <w:rStyle w:val="FootnoteReference"/>
        </w:rPr>
        <w:footnoteReference w:id="44"/>
      </w:r>
    </w:p>
    <w:p w:rsidR="006B3887" w:rsidRPr="00CA1271" w:rsidRDefault="006B3887" w:rsidP="006B3887">
      <w:pPr>
        <w:pStyle w:val="Caption"/>
      </w:pPr>
      <w:bookmarkStart w:id="119" w:name="_Ref37972294"/>
      <w:bookmarkStart w:id="120" w:name="_Toc42014790"/>
      <w:r w:rsidRPr="00CA1271">
        <w:t xml:space="preserve">Table </w:t>
      </w:r>
      <w:r w:rsidRPr="00CA1271">
        <w:fldChar w:fldCharType="begin"/>
      </w:r>
      <w:r w:rsidRPr="00CA1271">
        <w:instrText xml:space="preserve"> SEQ Table \* ARABIC </w:instrText>
      </w:r>
      <w:r w:rsidRPr="00CA1271">
        <w:fldChar w:fldCharType="separate"/>
      </w:r>
      <w:r w:rsidR="00B621CC">
        <w:rPr>
          <w:noProof/>
        </w:rPr>
        <w:t>11</w:t>
      </w:r>
      <w:r w:rsidRPr="00CA1271">
        <w:fldChar w:fldCharType="end"/>
      </w:r>
      <w:bookmarkEnd w:id="119"/>
      <w:r w:rsidRPr="00CA1271">
        <w:t xml:space="preserve"> - Relative </w:t>
      </w:r>
      <w:r w:rsidR="008E6A7F">
        <w:t>Cost o</w:t>
      </w:r>
      <w:r w:rsidR="008E6A7F" w:rsidRPr="00CA1271">
        <w:t xml:space="preserve">f Living </w:t>
      </w:r>
      <w:r w:rsidR="008E6A7F">
        <w:t>a</w:t>
      </w:r>
      <w:r w:rsidR="008E6A7F" w:rsidRPr="00CA1271">
        <w:t xml:space="preserve">cross </w:t>
      </w:r>
      <w:r w:rsidRPr="00CA1271">
        <w:t>Queensland</w:t>
      </w:r>
      <w:bookmarkEnd w:id="120"/>
    </w:p>
    <w:tbl>
      <w:tblPr>
        <w:tblStyle w:val="GridTable4-Accent4"/>
        <w:tblW w:w="5000" w:type="pct"/>
        <w:tblLayout w:type="fixed"/>
        <w:tblLook w:val="0420" w:firstRow="1" w:lastRow="0" w:firstColumn="0" w:lastColumn="0" w:noHBand="0" w:noVBand="1"/>
        <w:tblCaption w:val="Table 11 - Relative Cost of Living across Queensland"/>
      </w:tblPr>
      <w:tblGrid>
        <w:gridCol w:w="2174"/>
        <w:gridCol w:w="2175"/>
        <w:gridCol w:w="362"/>
        <w:gridCol w:w="2175"/>
        <w:gridCol w:w="2175"/>
      </w:tblGrid>
      <w:tr w:rsidR="00C63652" w:rsidRPr="00CA1271" w:rsidTr="00593582">
        <w:trPr>
          <w:cnfStyle w:val="100000000000" w:firstRow="1" w:lastRow="0" w:firstColumn="0" w:lastColumn="0" w:oddVBand="0" w:evenVBand="0" w:oddHBand="0" w:evenHBand="0" w:firstRowFirstColumn="0" w:firstRowLastColumn="0" w:lastRowFirstColumn="0" w:lastRowLastColumn="0"/>
          <w:trHeight w:val="255"/>
          <w:tblHeader/>
        </w:trPr>
        <w:tc>
          <w:tcPr>
            <w:tcW w:w="1200" w:type="pct"/>
            <w:noWrap/>
          </w:tcPr>
          <w:p w:rsidR="00C63652" w:rsidRPr="00CA1271" w:rsidRDefault="00C63652" w:rsidP="00B31142">
            <w:pPr>
              <w:rPr>
                <w:rFonts w:eastAsia="Times New Roman" w:cstheme="minorHAnsi"/>
                <w:b w:val="0"/>
                <w:bCs w:val="0"/>
                <w:szCs w:val="18"/>
                <w:lang w:eastAsia="en-AU"/>
              </w:rPr>
            </w:pPr>
            <w:r w:rsidRPr="00CA1271">
              <w:rPr>
                <w:rFonts w:eastAsia="Times New Roman" w:cstheme="minorHAnsi"/>
                <w:b w:val="0"/>
                <w:bCs w:val="0"/>
                <w:szCs w:val="18"/>
                <w:lang w:eastAsia="en-AU"/>
              </w:rPr>
              <w:t>City/Town</w:t>
            </w:r>
          </w:p>
        </w:tc>
        <w:tc>
          <w:tcPr>
            <w:tcW w:w="1200" w:type="pct"/>
            <w:noWrap/>
          </w:tcPr>
          <w:p w:rsidR="00C63652" w:rsidRPr="00CA1271" w:rsidRDefault="00C63652" w:rsidP="00B31142">
            <w:pPr>
              <w:jc w:val="center"/>
              <w:rPr>
                <w:rFonts w:eastAsia="Times New Roman" w:cstheme="minorHAnsi"/>
                <w:b w:val="0"/>
                <w:bCs w:val="0"/>
                <w:szCs w:val="18"/>
                <w:lang w:eastAsia="en-AU"/>
              </w:rPr>
            </w:pPr>
            <w:r w:rsidRPr="00CA1271">
              <w:rPr>
                <w:rFonts w:eastAsia="Times New Roman" w:cstheme="minorHAnsi"/>
                <w:b w:val="0"/>
                <w:bCs w:val="0"/>
                <w:szCs w:val="18"/>
                <w:lang w:eastAsia="en-AU"/>
              </w:rPr>
              <w:t>Relative Cost of Living Index</w:t>
            </w:r>
          </w:p>
        </w:tc>
        <w:tc>
          <w:tcPr>
            <w:tcW w:w="200" w:type="pct"/>
          </w:tcPr>
          <w:p w:rsidR="00C63652" w:rsidRPr="00CA1271" w:rsidRDefault="00C63652" w:rsidP="00B31142">
            <w:pPr>
              <w:jc w:val="right"/>
              <w:rPr>
                <w:rFonts w:eastAsia="Times New Roman" w:cstheme="minorHAnsi"/>
                <w:b w:val="0"/>
                <w:bCs w:val="0"/>
                <w:szCs w:val="18"/>
                <w:lang w:eastAsia="en-AU"/>
              </w:rPr>
            </w:pPr>
          </w:p>
        </w:tc>
        <w:tc>
          <w:tcPr>
            <w:tcW w:w="1200" w:type="pct"/>
          </w:tcPr>
          <w:p w:rsidR="00C63652" w:rsidRPr="00CA1271" w:rsidRDefault="00C63652" w:rsidP="00B31142">
            <w:pPr>
              <w:rPr>
                <w:rFonts w:eastAsia="Times New Roman" w:cstheme="minorHAnsi"/>
                <w:b w:val="0"/>
                <w:bCs w:val="0"/>
                <w:szCs w:val="18"/>
                <w:lang w:eastAsia="en-AU"/>
              </w:rPr>
            </w:pPr>
            <w:r w:rsidRPr="00CA1271">
              <w:rPr>
                <w:rFonts w:eastAsia="Times New Roman" w:cstheme="minorHAnsi"/>
                <w:b w:val="0"/>
                <w:bCs w:val="0"/>
                <w:szCs w:val="18"/>
                <w:lang w:eastAsia="en-AU"/>
              </w:rPr>
              <w:t>City/Town</w:t>
            </w:r>
          </w:p>
        </w:tc>
        <w:tc>
          <w:tcPr>
            <w:tcW w:w="1200" w:type="pct"/>
          </w:tcPr>
          <w:p w:rsidR="00C63652" w:rsidRPr="00CA1271" w:rsidRDefault="00C63652" w:rsidP="00B31142">
            <w:pPr>
              <w:jc w:val="center"/>
              <w:rPr>
                <w:rFonts w:eastAsia="Times New Roman" w:cstheme="minorHAnsi"/>
                <w:b w:val="0"/>
                <w:bCs w:val="0"/>
                <w:szCs w:val="18"/>
                <w:lang w:eastAsia="en-AU"/>
              </w:rPr>
            </w:pPr>
            <w:r w:rsidRPr="00CA1271">
              <w:rPr>
                <w:rFonts w:eastAsia="Times New Roman" w:cstheme="minorHAnsi"/>
                <w:b w:val="0"/>
                <w:bCs w:val="0"/>
                <w:szCs w:val="18"/>
                <w:lang w:eastAsia="en-AU"/>
              </w:rPr>
              <w:t>Relative Cost of Living Index</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rsidR="00C63652" w:rsidRPr="00CA1271" w:rsidRDefault="00C63652" w:rsidP="00B31142">
            <w:pPr>
              <w:rPr>
                <w:rFonts w:eastAsia="Times New Roman" w:cstheme="minorHAnsi"/>
                <w:b/>
                <w:bCs/>
                <w:szCs w:val="18"/>
                <w:lang w:eastAsia="en-AU"/>
              </w:rPr>
            </w:pPr>
            <w:r w:rsidRPr="00CA1271">
              <w:rPr>
                <w:rFonts w:eastAsia="Times New Roman" w:cstheme="minorHAnsi"/>
                <w:b/>
                <w:bCs/>
                <w:szCs w:val="18"/>
                <w:lang w:eastAsia="en-AU"/>
              </w:rPr>
              <w:t>Brisbane</w:t>
            </w:r>
          </w:p>
        </w:tc>
        <w:tc>
          <w:tcPr>
            <w:tcW w:w="1200" w:type="pct"/>
            <w:noWrap/>
            <w:hideMark/>
          </w:tcPr>
          <w:p w:rsidR="00C63652" w:rsidRPr="00CA1271" w:rsidRDefault="00C63652" w:rsidP="00B31142">
            <w:pPr>
              <w:jc w:val="center"/>
              <w:rPr>
                <w:rFonts w:eastAsia="Times New Roman" w:cstheme="minorHAnsi"/>
                <w:b/>
                <w:bCs/>
                <w:szCs w:val="18"/>
                <w:lang w:eastAsia="en-AU"/>
              </w:rPr>
            </w:pPr>
            <w:r w:rsidRPr="00CA1271">
              <w:rPr>
                <w:rFonts w:eastAsia="Times New Roman" w:cstheme="minorHAnsi"/>
                <w:b/>
                <w:bCs/>
                <w:szCs w:val="18"/>
                <w:lang w:eastAsia="en-AU"/>
              </w:rPr>
              <w:t>100.0</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b/>
                <w:bCs/>
                <w:szCs w:val="18"/>
                <w:lang w:eastAsia="en-AU"/>
              </w:rPr>
            </w:pPr>
            <w:r w:rsidRPr="00CA1271">
              <w:rPr>
                <w:rFonts w:eastAsia="Times New Roman" w:cstheme="minorHAnsi"/>
                <w:color w:val="000000"/>
                <w:szCs w:val="18"/>
                <w:lang w:eastAsia="en-AU"/>
              </w:rPr>
              <w:t>Gympie</w:t>
            </w:r>
          </w:p>
        </w:tc>
        <w:tc>
          <w:tcPr>
            <w:tcW w:w="1200" w:type="pct"/>
          </w:tcPr>
          <w:p w:rsidR="00C63652" w:rsidRPr="00CA1271" w:rsidRDefault="00C63652" w:rsidP="00B31142">
            <w:pPr>
              <w:jc w:val="center"/>
              <w:rPr>
                <w:rFonts w:eastAsia="Times New Roman" w:cstheme="minorHAnsi"/>
                <w:b/>
                <w:bCs/>
                <w:szCs w:val="18"/>
                <w:lang w:eastAsia="en-AU"/>
              </w:rPr>
            </w:pPr>
            <w:r w:rsidRPr="00CA1271">
              <w:rPr>
                <w:rFonts w:eastAsia="Times New Roman" w:cstheme="minorHAnsi"/>
                <w:color w:val="000000"/>
                <w:szCs w:val="18"/>
                <w:lang w:eastAsia="en-AU"/>
              </w:rPr>
              <w:t>92.1</w:t>
            </w:r>
          </w:p>
        </w:tc>
      </w:tr>
      <w:tr w:rsidR="00C63652" w:rsidRPr="00CA1271" w:rsidTr="00C63652">
        <w:trPr>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Ayr</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93.7</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Kingaroy</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89.1</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Beaudesert</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93.3</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Longreach</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94.9</w:t>
            </w:r>
          </w:p>
        </w:tc>
      </w:tr>
      <w:tr w:rsidR="00C63652" w:rsidRPr="00CA1271" w:rsidTr="00C63652">
        <w:trPr>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Bowen</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94.8</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Mackay</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99.4</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Bundaberg</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94.3</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Maryborough</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88.8</w:t>
            </w:r>
          </w:p>
        </w:tc>
      </w:tr>
      <w:tr w:rsidR="00C63652" w:rsidRPr="00CA1271" w:rsidTr="00C63652">
        <w:trPr>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Cairns</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103.6</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Moranbah</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99.4</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Cannonvale</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98.9</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Mount Isa</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102.6</w:t>
            </w:r>
          </w:p>
        </w:tc>
      </w:tr>
      <w:tr w:rsidR="00C63652" w:rsidRPr="00CA1271" w:rsidTr="00C63652">
        <w:trPr>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Charleville</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97.1</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Rockhampton</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96.6</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Charters Towers</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92.6</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Roma</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99.7</w:t>
            </w:r>
          </w:p>
        </w:tc>
      </w:tr>
      <w:tr w:rsidR="00C63652" w:rsidRPr="00CA1271" w:rsidTr="00C63652">
        <w:trPr>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Dalby</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94.5</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Sunshine Coast</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103.8</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Emerald</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91.3</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Toowoomba</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99.5</w:t>
            </w:r>
          </w:p>
        </w:tc>
      </w:tr>
      <w:tr w:rsidR="00C63652" w:rsidRPr="00CA1271" w:rsidTr="00C63652">
        <w:trPr>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Gatton</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96.1</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Townsville</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97.7</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Gladstone</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98.9</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Warwick</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92.2</w:t>
            </w:r>
          </w:p>
        </w:tc>
      </w:tr>
      <w:tr w:rsidR="00C63652" w:rsidRPr="00CA1271" w:rsidTr="00C63652">
        <w:trPr>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Gold Coast</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100.2</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Weipa</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126.4</w:t>
            </w:r>
          </w:p>
        </w:tc>
      </w:tr>
    </w:tbl>
    <w:p w:rsidR="00C63652" w:rsidRPr="00CA1271" w:rsidRDefault="00C63652" w:rsidP="00C63652">
      <w:pPr>
        <w:pStyle w:val="DotPoint"/>
        <w:numPr>
          <w:ilvl w:val="0"/>
          <w:numId w:val="0"/>
        </w:numPr>
      </w:pPr>
      <w:r w:rsidRPr="00CA1271">
        <w:t>The Regional Cost Index developed by the West</w:t>
      </w:r>
      <w:r w:rsidR="006B3887" w:rsidRPr="00CA1271">
        <w:t>ern</w:t>
      </w:r>
      <w:r w:rsidRPr="00CA1271">
        <w:t xml:space="preserve"> Australian Department of Primary Industries and Regional Development similarly shows that, in general, the cost of living in regional areas are not significantly higher than in metropolitan areas</w:t>
      </w:r>
      <w:r w:rsidR="006B3887" w:rsidRPr="00CA1271">
        <w:t xml:space="preserve"> (see </w:t>
      </w:r>
      <w:r w:rsidR="006B3887" w:rsidRPr="00CA1271">
        <w:fldChar w:fldCharType="begin"/>
      </w:r>
      <w:r w:rsidR="006B3887" w:rsidRPr="00CA1271">
        <w:instrText xml:space="preserve"> REF _Ref37972389 \h </w:instrText>
      </w:r>
      <w:r w:rsidR="006D7957" w:rsidRPr="00CA1271">
        <w:instrText xml:space="preserve"> \* MERGEFORMAT </w:instrText>
      </w:r>
      <w:r w:rsidR="006B3887" w:rsidRPr="00CA1271">
        <w:fldChar w:fldCharType="separate"/>
      </w:r>
      <w:r w:rsidR="00B621CC" w:rsidRPr="00CA1271">
        <w:t xml:space="preserve">Table </w:t>
      </w:r>
      <w:r w:rsidR="00B621CC">
        <w:rPr>
          <w:noProof/>
        </w:rPr>
        <w:t>12</w:t>
      </w:r>
      <w:r w:rsidR="006B3887" w:rsidRPr="00CA1271">
        <w:fldChar w:fldCharType="end"/>
      </w:r>
      <w:r w:rsidR="006B3887" w:rsidRPr="00CA1271">
        <w:t>)</w:t>
      </w:r>
      <w:r w:rsidRPr="00CA1271">
        <w:t>.</w:t>
      </w:r>
      <w:r w:rsidRPr="00CA1271">
        <w:rPr>
          <w:rStyle w:val="FootnoteReference"/>
        </w:rPr>
        <w:footnoteReference w:id="45"/>
      </w:r>
    </w:p>
    <w:p w:rsidR="006B3887" w:rsidRPr="00CA1271" w:rsidRDefault="006B3887" w:rsidP="006B3887">
      <w:pPr>
        <w:pStyle w:val="Caption"/>
      </w:pPr>
      <w:bookmarkStart w:id="121" w:name="_Ref37972389"/>
      <w:bookmarkStart w:id="122" w:name="_Toc42014791"/>
      <w:r w:rsidRPr="00CA1271">
        <w:t xml:space="preserve">Table </w:t>
      </w:r>
      <w:r w:rsidRPr="00CA1271">
        <w:fldChar w:fldCharType="begin"/>
      </w:r>
      <w:r w:rsidRPr="00CA1271">
        <w:instrText xml:space="preserve"> SEQ Table \* ARABIC </w:instrText>
      </w:r>
      <w:r w:rsidRPr="00CA1271">
        <w:fldChar w:fldCharType="separate"/>
      </w:r>
      <w:r w:rsidR="00B621CC">
        <w:rPr>
          <w:noProof/>
        </w:rPr>
        <w:t>12</w:t>
      </w:r>
      <w:r w:rsidRPr="00CA1271">
        <w:fldChar w:fldCharType="end"/>
      </w:r>
      <w:bookmarkEnd w:id="121"/>
      <w:r w:rsidR="008E6A7F">
        <w:t xml:space="preserve"> - Relative Cost of L</w:t>
      </w:r>
      <w:r w:rsidRPr="00CA1271">
        <w:t>iving across Western Australia</w:t>
      </w:r>
      <w:bookmarkEnd w:id="122"/>
    </w:p>
    <w:tbl>
      <w:tblPr>
        <w:tblStyle w:val="GridTable4-Accent4"/>
        <w:tblW w:w="5000" w:type="pct"/>
        <w:tblLayout w:type="fixed"/>
        <w:tblLook w:val="0420" w:firstRow="1" w:lastRow="0" w:firstColumn="0" w:lastColumn="0" w:noHBand="0" w:noVBand="1"/>
        <w:tblCaption w:val="Table 12 - Relative Cost of Living across Western Australia"/>
      </w:tblPr>
      <w:tblGrid>
        <w:gridCol w:w="2174"/>
        <w:gridCol w:w="2175"/>
        <w:gridCol w:w="362"/>
        <w:gridCol w:w="2175"/>
        <w:gridCol w:w="2175"/>
      </w:tblGrid>
      <w:tr w:rsidR="00C63652" w:rsidRPr="00CA1271" w:rsidTr="00593582">
        <w:trPr>
          <w:cnfStyle w:val="100000000000" w:firstRow="1" w:lastRow="0" w:firstColumn="0" w:lastColumn="0" w:oddVBand="0" w:evenVBand="0" w:oddHBand="0" w:evenHBand="0" w:firstRowFirstColumn="0" w:firstRowLastColumn="0" w:lastRowFirstColumn="0" w:lastRowLastColumn="0"/>
          <w:trHeight w:val="255"/>
          <w:tblHeader/>
        </w:trPr>
        <w:tc>
          <w:tcPr>
            <w:tcW w:w="1200" w:type="pct"/>
            <w:noWrap/>
          </w:tcPr>
          <w:p w:rsidR="00C63652" w:rsidRPr="00CA1271" w:rsidRDefault="00C63652" w:rsidP="00B31142">
            <w:pPr>
              <w:rPr>
                <w:rFonts w:eastAsia="Times New Roman" w:cstheme="minorHAnsi"/>
                <w:b w:val="0"/>
                <w:bCs w:val="0"/>
                <w:szCs w:val="18"/>
                <w:lang w:eastAsia="en-AU"/>
              </w:rPr>
            </w:pPr>
            <w:r w:rsidRPr="00CA1271">
              <w:rPr>
                <w:rFonts w:eastAsia="Times New Roman" w:cstheme="minorHAnsi"/>
                <w:b w:val="0"/>
                <w:bCs w:val="0"/>
                <w:szCs w:val="18"/>
                <w:lang w:eastAsia="en-AU"/>
              </w:rPr>
              <w:t>Region</w:t>
            </w:r>
          </w:p>
        </w:tc>
        <w:tc>
          <w:tcPr>
            <w:tcW w:w="1200" w:type="pct"/>
            <w:noWrap/>
          </w:tcPr>
          <w:p w:rsidR="00C63652" w:rsidRPr="00CA1271" w:rsidRDefault="00C63652" w:rsidP="00B31142">
            <w:pPr>
              <w:jc w:val="center"/>
              <w:rPr>
                <w:rFonts w:eastAsia="Times New Roman" w:cstheme="minorHAnsi"/>
                <w:b w:val="0"/>
                <w:bCs w:val="0"/>
                <w:szCs w:val="18"/>
                <w:lang w:eastAsia="en-AU"/>
              </w:rPr>
            </w:pPr>
            <w:r w:rsidRPr="00CA1271">
              <w:rPr>
                <w:rFonts w:eastAsia="Times New Roman" w:cstheme="minorHAnsi"/>
                <w:b w:val="0"/>
                <w:bCs w:val="0"/>
                <w:szCs w:val="18"/>
                <w:lang w:eastAsia="en-AU"/>
              </w:rPr>
              <w:t>Relative Cost of Living Index</w:t>
            </w:r>
          </w:p>
        </w:tc>
        <w:tc>
          <w:tcPr>
            <w:tcW w:w="200" w:type="pct"/>
          </w:tcPr>
          <w:p w:rsidR="00C63652" w:rsidRPr="00CA1271" w:rsidRDefault="00C63652" w:rsidP="00B31142">
            <w:pPr>
              <w:jc w:val="right"/>
              <w:rPr>
                <w:rFonts w:eastAsia="Times New Roman" w:cstheme="minorHAnsi"/>
                <w:b w:val="0"/>
                <w:bCs w:val="0"/>
                <w:szCs w:val="18"/>
                <w:lang w:eastAsia="en-AU"/>
              </w:rPr>
            </w:pPr>
          </w:p>
        </w:tc>
        <w:tc>
          <w:tcPr>
            <w:tcW w:w="1200" w:type="pct"/>
          </w:tcPr>
          <w:p w:rsidR="00C63652" w:rsidRPr="00CA1271" w:rsidRDefault="00C63652" w:rsidP="00B31142">
            <w:pPr>
              <w:rPr>
                <w:rFonts w:eastAsia="Times New Roman" w:cstheme="minorHAnsi"/>
                <w:b w:val="0"/>
                <w:bCs w:val="0"/>
                <w:szCs w:val="18"/>
                <w:lang w:eastAsia="en-AU"/>
              </w:rPr>
            </w:pPr>
            <w:r w:rsidRPr="00CA1271">
              <w:rPr>
                <w:rFonts w:eastAsia="Times New Roman" w:cstheme="minorHAnsi"/>
                <w:b w:val="0"/>
                <w:bCs w:val="0"/>
                <w:szCs w:val="18"/>
                <w:lang w:eastAsia="en-AU"/>
              </w:rPr>
              <w:t>City/Town</w:t>
            </w:r>
          </w:p>
        </w:tc>
        <w:tc>
          <w:tcPr>
            <w:tcW w:w="1200" w:type="pct"/>
          </w:tcPr>
          <w:p w:rsidR="00C63652" w:rsidRPr="00CA1271" w:rsidRDefault="00C63652" w:rsidP="00B31142">
            <w:pPr>
              <w:jc w:val="center"/>
              <w:rPr>
                <w:rFonts w:eastAsia="Times New Roman" w:cstheme="minorHAnsi"/>
                <w:b w:val="0"/>
                <w:bCs w:val="0"/>
                <w:szCs w:val="18"/>
                <w:lang w:eastAsia="en-AU"/>
              </w:rPr>
            </w:pPr>
            <w:r w:rsidRPr="00CA1271">
              <w:rPr>
                <w:rFonts w:eastAsia="Times New Roman" w:cstheme="minorHAnsi"/>
                <w:b w:val="0"/>
                <w:bCs w:val="0"/>
                <w:szCs w:val="18"/>
                <w:lang w:eastAsia="en-AU"/>
              </w:rPr>
              <w:t>Relative Cost of Living Index</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rsidR="00C63652" w:rsidRPr="00CA1271" w:rsidRDefault="00C63652" w:rsidP="00B31142">
            <w:pPr>
              <w:rPr>
                <w:rFonts w:eastAsia="Times New Roman" w:cstheme="minorHAnsi"/>
                <w:b/>
                <w:bCs/>
                <w:szCs w:val="18"/>
                <w:lang w:eastAsia="en-AU"/>
              </w:rPr>
            </w:pPr>
            <w:r w:rsidRPr="00CA1271">
              <w:rPr>
                <w:rFonts w:eastAsia="Times New Roman" w:cstheme="minorHAnsi"/>
                <w:b/>
                <w:bCs/>
                <w:szCs w:val="18"/>
                <w:lang w:eastAsia="en-AU"/>
              </w:rPr>
              <w:t>Perth</w:t>
            </w:r>
          </w:p>
        </w:tc>
        <w:tc>
          <w:tcPr>
            <w:tcW w:w="1200" w:type="pct"/>
            <w:noWrap/>
            <w:hideMark/>
          </w:tcPr>
          <w:p w:rsidR="00C63652" w:rsidRPr="00CA1271" w:rsidRDefault="00C63652" w:rsidP="00B31142">
            <w:pPr>
              <w:jc w:val="center"/>
              <w:rPr>
                <w:rFonts w:eastAsia="Times New Roman" w:cstheme="minorHAnsi"/>
                <w:b/>
                <w:bCs/>
                <w:szCs w:val="18"/>
                <w:lang w:eastAsia="en-AU"/>
              </w:rPr>
            </w:pPr>
            <w:r w:rsidRPr="00CA1271">
              <w:rPr>
                <w:rFonts w:eastAsia="Times New Roman" w:cstheme="minorHAnsi"/>
                <w:b/>
                <w:bCs/>
                <w:szCs w:val="18"/>
                <w:lang w:eastAsia="en-AU"/>
              </w:rPr>
              <w:t>100.0</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b/>
                <w:bCs/>
                <w:szCs w:val="18"/>
                <w:lang w:eastAsia="en-AU"/>
              </w:rPr>
            </w:pPr>
            <w:r w:rsidRPr="00CA1271">
              <w:rPr>
                <w:rFonts w:eastAsia="Times New Roman" w:cstheme="minorHAnsi"/>
                <w:color w:val="000000"/>
                <w:szCs w:val="18"/>
                <w:lang w:eastAsia="en-AU"/>
              </w:rPr>
              <w:t>Goldfields-Esperance</w:t>
            </w:r>
          </w:p>
        </w:tc>
        <w:tc>
          <w:tcPr>
            <w:tcW w:w="1200" w:type="pct"/>
          </w:tcPr>
          <w:p w:rsidR="00C63652" w:rsidRPr="00CA1271" w:rsidRDefault="00C63652" w:rsidP="00B31142">
            <w:pPr>
              <w:jc w:val="center"/>
              <w:rPr>
                <w:rFonts w:eastAsia="Times New Roman" w:cstheme="minorHAnsi"/>
                <w:b/>
                <w:bCs/>
                <w:szCs w:val="18"/>
                <w:lang w:eastAsia="en-AU"/>
              </w:rPr>
            </w:pPr>
            <w:r w:rsidRPr="00CA1271">
              <w:rPr>
                <w:rFonts w:eastAsia="Times New Roman" w:cstheme="minorHAnsi"/>
                <w:color w:val="000000"/>
                <w:szCs w:val="18"/>
                <w:lang w:eastAsia="en-AU"/>
              </w:rPr>
              <w:t>101.3</w:t>
            </w:r>
          </w:p>
        </w:tc>
      </w:tr>
      <w:tr w:rsidR="00C63652" w:rsidRPr="00CA1271" w:rsidTr="00C63652">
        <w:trPr>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Kimberly</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112.9</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proofErr w:type="spellStart"/>
            <w:r w:rsidRPr="00CA1271">
              <w:rPr>
                <w:rFonts w:eastAsia="Times New Roman" w:cstheme="minorHAnsi"/>
                <w:color w:val="000000"/>
                <w:szCs w:val="18"/>
                <w:lang w:eastAsia="en-AU"/>
              </w:rPr>
              <w:t>Wheatbelt</w:t>
            </w:r>
            <w:proofErr w:type="spellEnd"/>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101.7</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hideMark/>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Pilbara</w:t>
            </w:r>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110.7</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Peel</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97.4</w:t>
            </w:r>
          </w:p>
        </w:tc>
      </w:tr>
      <w:tr w:rsidR="00C63652" w:rsidRPr="00CA1271" w:rsidTr="00C63652">
        <w:trPr>
          <w:trHeight w:val="255"/>
        </w:trPr>
        <w:tc>
          <w:tcPr>
            <w:tcW w:w="1200" w:type="pct"/>
            <w:noWrap/>
            <w:hideMark/>
          </w:tcPr>
          <w:p w:rsidR="00C63652" w:rsidRPr="00CA1271" w:rsidRDefault="00C63652" w:rsidP="00B31142">
            <w:pPr>
              <w:rPr>
                <w:rFonts w:eastAsia="Times New Roman" w:cstheme="minorHAnsi"/>
                <w:color w:val="000000"/>
                <w:szCs w:val="18"/>
                <w:lang w:eastAsia="en-AU"/>
              </w:rPr>
            </w:pPr>
            <w:proofErr w:type="spellStart"/>
            <w:r w:rsidRPr="00CA1271">
              <w:rPr>
                <w:rFonts w:eastAsia="Times New Roman" w:cstheme="minorHAnsi"/>
                <w:color w:val="000000"/>
                <w:szCs w:val="18"/>
                <w:lang w:eastAsia="en-AU"/>
              </w:rPr>
              <w:t>Gasgoyne</w:t>
            </w:r>
            <w:proofErr w:type="spellEnd"/>
          </w:p>
        </w:tc>
        <w:tc>
          <w:tcPr>
            <w:tcW w:w="1200" w:type="pct"/>
            <w:noWrap/>
            <w:hideMark/>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109.1</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Southwest</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101.6</w:t>
            </w:r>
          </w:p>
        </w:tc>
      </w:tr>
      <w:tr w:rsidR="00C63652" w:rsidRPr="00CA1271" w:rsidTr="00C63652">
        <w:trPr>
          <w:cnfStyle w:val="000000100000" w:firstRow="0" w:lastRow="0" w:firstColumn="0" w:lastColumn="0" w:oddVBand="0" w:evenVBand="0" w:oddHBand="1" w:evenHBand="0" w:firstRowFirstColumn="0" w:firstRowLastColumn="0" w:lastRowFirstColumn="0" w:lastRowLastColumn="0"/>
          <w:trHeight w:val="255"/>
        </w:trPr>
        <w:tc>
          <w:tcPr>
            <w:tcW w:w="1200" w:type="pct"/>
            <w:noWrap/>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Midwest</w:t>
            </w:r>
          </w:p>
        </w:tc>
        <w:tc>
          <w:tcPr>
            <w:tcW w:w="1200" w:type="pct"/>
            <w:noWrap/>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101.2</w:t>
            </w:r>
          </w:p>
        </w:tc>
        <w:tc>
          <w:tcPr>
            <w:tcW w:w="200" w:type="pct"/>
          </w:tcPr>
          <w:p w:rsidR="00C63652" w:rsidRPr="00CA1271" w:rsidRDefault="00C63652" w:rsidP="00B31142">
            <w:pPr>
              <w:jc w:val="right"/>
              <w:rPr>
                <w:rFonts w:eastAsia="Times New Roman" w:cstheme="minorHAnsi"/>
                <w:color w:val="000000"/>
                <w:szCs w:val="18"/>
                <w:lang w:eastAsia="en-AU"/>
              </w:rPr>
            </w:pPr>
          </w:p>
        </w:tc>
        <w:tc>
          <w:tcPr>
            <w:tcW w:w="1200" w:type="pct"/>
          </w:tcPr>
          <w:p w:rsidR="00C63652" w:rsidRPr="00CA1271" w:rsidRDefault="00C63652" w:rsidP="00B31142">
            <w:pPr>
              <w:rPr>
                <w:rFonts w:eastAsia="Times New Roman" w:cstheme="minorHAnsi"/>
                <w:color w:val="000000"/>
                <w:szCs w:val="18"/>
                <w:lang w:eastAsia="en-AU"/>
              </w:rPr>
            </w:pPr>
            <w:r w:rsidRPr="00CA1271">
              <w:rPr>
                <w:rFonts w:eastAsia="Times New Roman" w:cstheme="minorHAnsi"/>
                <w:color w:val="000000"/>
                <w:szCs w:val="18"/>
                <w:lang w:eastAsia="en-AU"/>
              </w:rPr>
              <w:t>Great Southern</w:t>
            </w:r>
          </w:p>
        </w:tc>
        <w:tc>
          <w:tcPr>
            <w:tcW w:w="1200" w:type="pct"/>
          </w:tcPr>
          <w:p w:rsidR="00C63652" w:rsidRPr="00CA1271" w:rsidRDefault="00C63652" w:rsidP="00B31142">
            <w:pPr>
              <w:jc w:val="center"/>
              <w:rPr>
                <w:rFonts w:eastAsia="Times New Roman" w:cstheme="minorHAnsi"/>
                <w:color w:val="000000"/>
                <w:szCs w:val="18"/>
                <w:lang w:eastAsia="en-AU"/>
              </w:rPr>
            </w:pPr>
            <w:r w:rsidRPr="00CA1271">
              <w:rPr>
                <w:rFonts w:eastAsia="Times New Roman" w:cstheme="minorHAnsi"/>
                <w:color w:val="000000"/>
                <w:szCs w:val="18"/>
                <w:lang w:eastAsia="en-AU"/>
              </w:rPr>
              <w:t>100.2</w:t>
            </w:r>
          </w:p>
        </w:tc>
      </w:tr>
    </w:tbl>
    <w:p w:rsidR="00C63652" w:rsidRPr="00CA1271" w:rsidRDefault="00C63652" w:rsidP="00C63652">
      <w:pPr>
        <w:pStyle w:val="Heading2"/>
      </w:pPr>
      <w:bookmarkStart w:id="123" w:name="_Toc42014755"/>
      <w:r w:rsidRPr="00CA1271">
        <w:t>Discussion</w:t>
      </w:r>
      <w:bookmarkEnd w:id="123"/>
    </w:p>
    <w:p w:rsidR="00C63652" w:rsidRPr="00CA1271" w:rsidRDefault="00C63652" w:rsidP="00C63652">
      <w:r w:rsidRPr="00CA1271">
        <w:t>The Review does not consider that there is sufficient evidence to conclude that the costs of service delivery are higher in regional areas than in metropolitan areas, except in respect of travel costs. It therefore considers that any supply issues in these areas are better addressed through the revised travel and commissioning arrangements proposed elsewhere in the Review.</w:t>
      </w:r>
    </w:p>
    <w:p w:rsidR="00C63652" w:rsidRPr="00CA1271" w:rsidRDefault="00C63652" w:rsidP="00C63652">
      <w:pPr>
        <w:pStyle w:val="Heading1"/>
        <w:ind w:left="567" w:hanging="567"/>
        <w:sectPr w:rsidR="00C63652" w:rsidRPr="00CA1271" w:rsidSect="00CA5B7E">
          <w:pgSz w:w="11907" w:h="16839" w:code="9"/>
          <w:pgMar w:top="1418" w:right="1418" w:bottom="1418" w:left="1418" w:header="709" w:footer="709" w:gutter="0"/>
          <w:cols w:space="708"/>
          <w:titlePg/>
          <w:docGrid w:linePitch="360"/>
        </w:sectPr>
      </w:pPr>
      <w:bookmarkStart w:id="124" w:name="_Ref23256609"/>
    </w:p>
    <w:p w:rsidR="00C63652" w:rsidRPr="00CA1271" w:rsidRDefault="00C63652" w:rsidP="009B4F91">
      <w:pPr>
        <w:pStyle w:val="Heading1"/>
        <w:ind w:left="426"/>
      </w:pPr>
      <w:bookmarkStart w:id="125" w:name="_Toc42014756"/>
      <w:bookmarkStart w:id="126" w:name="_Ref42689848"/>
      <w:bookmarkStart w:id="127" w:name="_Ref42689855"/>
      <w:r w:rsidRPr="00CA1271">
        <w:t>Cancellation Rules</w:t>
      </w:r>
      <w:bookmarkEnd w:id="124"/>
      <w:bookmarkEnd w:id="125"/>
      <w:bookmarkEnd w:id="126"/>
      <w:bookmarkEnd w:id="127"/>
    </w:p>
    <w:p w:rsidR="00C63652" w:rsidRPr="00CA1271" w:rsidRDefault="00C63652" w:rsidP="00C63652">
      <w:r w:rsidRPr="00CA1271">
        <w:t>The Review was required by its Terms of Reference to examine the current price control arrangements for cancellations within the Scheme.</w:t>
      </w:r>
    </w:p>
    <w:p w:rsidR="00C63652" w:rsidRPr="00CA1271" w:rsidRDefault="00C63652" w:rsidP="00C63652">
      <w:pPr>
        <w:pStyle w:val="Heading2"/>
      </w:pPr>
      <w:bookmarkStart w:id="128" w:name="_Toc42014757"/>
      <w:r w:rsidRPr="00CA1271">
        <w:t>Current Arrangements</w:t>
      </w:r>
      <w:bookmarkEnd w:id="128"/>
      <w:r w:rsidRPr="00CA1271">
        <w:t xml:space="preserve"> </w:t>
      </w:r>
    </w:p>
    <w:p w:rsidR="00C63652" w:rsidRPr="00CA1271" w:rsidRDefault="00C63652" w:rsidP="00C63652">
      <w:r w:rsidRPr="00CA1271">
        <w:t>NDIS providers are not permitted to collect deposits or bonds from participants, or to retain these funds in the event of the participant cancelling a service booking for a support or failing to turn up for a support. However, they are permitted to charge cancellation fees against a participant’s plans in certain circumstances.</w:t>
      </w:r>
    </w:p>
    <w:p w:rsidR="00C63652" w:rsidRPr="00CA1271" w:rsidRDefault="00C63652" w:rsidP="00C63652">
      <w:pPr>
        <w:rPr>
          <w:rFonts w:cs="Arial"/>
        </w:rPr>
      </w:pPr>
      <w:r w:rsidRPr="00CA1271">
        <w:rPr>
          <w:rFonts w:cs="Arial"/>
        </w:rPr>
        <w:t xml:space="preserve">The </w:t>
      </w:r>
      <w:r w:rsidRPr="00CA1271">
        <w:rPr>
          <w:rFonts w:cs="Arial"/>
          <w:i/>
        </w:rPr>
        <w:t xml:space="preserve">NDIS Price Guide </w:t>
      </w:r>
      <w:r w:rsidRPr="00CA1271">
        <w:rPr>
          <w:rFonts w:cs="Arial"/>
        </w:rPr>
        <w:t>currently says:</w:t>
      </w:r>
    </w:p>
    <w:p w:rsidR="00C63652" w:rsidRPr="00CA1271" w:rsidRDefault="00C63652" w:rsidP="00C63652">
      <w:pPr>
        <w:pStyle w:val="Quote1"/>
      </w:pPr>
      <w:r w:rsidRPr="00CA1271">
        <w:t>Where a provider has a short notice cancellation (or no show) they are able to recover 90% of the fee associated with the activity, subject to the terms of the service agreement with the participant. Providers are only permitted to charge for a short notice cancellation (or no show) if they have not found alternative billable work for the relevant worker and are required to pay the worker for the time that would have been spent providing the support.</w:t>
      </w:r>
    </w:p>
    <w:p w:rsidR="00C63652" w:rsidRPr="00CA1271" w:rsidRDefault="00C63652" w:rsidP="00C63652">
      <w:pPr>
        <w:pStyle w:val="Quote1"/>
      </w:pPr>
      <w:r w:rsidRPr="00CA1271">
        <w:t>A cancellation is a short notice cancellation if the participant:</w:t>
      </w:r>
    </w:p>
    <w:p w:rsidR="00C63652" w:rsidRPr="00CA1271" w:rsidRDefault="00C63652" w:rsidP="007A045B">
      <w:pPr>
        <w:pStyle w:val="Quote1"/>
        <w:numPr>
          <w:ilvl w:val="1"/>
          <w:numId w:val="17"/>
        </w:numPr>
        <w:ind w:left="851"/>
      </w:pPr>
      <w:r w:rsidRPr="00CA1271">
        <w:t>does not show up for a scheduled support within a reasonable time, or is not present at the agreed place and within a reasonable time when the provider is travelling to deliver the support; or</w:t>
      </w:r>
    </w:p>
    <w:p w:rsidR="00C63652" w:rsidRPr="00CA1271" w:rsidRDefault="00C63652" w:rsidP="007A045B">
      <w:pPr>
        <w:pStyle w:val="Quote1"/>
        <w:numPr>
          <w:ilvl w:val="1"/>
          <w:numId w:val="17"/>
        </w:numPr>
        <w:ind w:left="851"/>
      </w:pPr>
      <w:r w:rsidRPr="00CA1271">
        <w:t>has given less than two (2) clear business days’ notice for a support that meets both of the following conditions:</w:t>
      </w:r>
    </w:p>
    <w:p w:rsidR="00C63652" w:rsidRPr="00CA1271" w:rsidRDefault="00C63652" w:rsidP="007A045B">
      <w:pPr>
        <w:pStyle w:val="Quote1"/>
        <w:numPr>
          <w:ilvl w:val="1"/>
          <w:numId w:val="18"/>
        </w:numPr>
        <w:ind w:left="1134"/>
      </w:pPr>
      <w:r w:rsidRPr="00CA1271">
        <w:t>the support is less than 8 hours continuous duration; AND</w:t>
      </w:r>
    </w:p>
    <w:p w:rsidR="00C63652" w:rsidRPr="00CA1271" w:rsidRDefault="00C63652" w:rsidP="007A045B">
      <w:pPr>
        <w:pStyle w:val="Quote1"/>
        <w:numPr>
          <w:ilvl w:val="1"/>
          <w:numId w:val="18"/>
        </w:numPr>
        <w:ind w:left="1134"/>
      </w:pPr>
      <w:r w:rsidRPr="00CA1271">
        <w:t>the agreed total price for the support is less than $1000; or</w:t>
      </w:r>
    </w:p>
    <w:p w:rsidR="00C63652" w:rsidRPr="00CA1271" w:rsidRDefault="00C63652" w:rsidP="007A045B">
      <w:pPr>
        <w:pStyle w:val="Quote1"/>
        <w:numPr>
          <w:ilvl w:val="1"/>
          <w:numId w:val="17"/>
        </w:numPr>
        <w:ind w:left="851"/>
      </w:pPr>
      <w:proofErr w:type="gramStart"/>
      <w:r w:rsidRPr="00CA1271">
        <w:t>has</w:t>
      </w:r>
      <w:proofErr w:type="gramEnd"/>
      <w:r w:rsidRPr="00CA1271">
        <w:t xml:space="preserve"> given less than five (5) clear business days’ notice for any other support.</w:t>
      </w:r>
      <w:r w:rsidRPr="00CA1271">
        <w:rPr>
          <w:rStyle w:val="FootnoteReference"/>
        </w:rPr>
        <w:footnoteReference w:id="46"/>
      </w:r>
    </w:p>
    <w:p w:rsidR="00C63652" w:rsidRPr="00CA1271" w:rsidRDefault="00C63652" w:rsidP="00C63652">
      <w:r w:rsidRPr="00CA1271">
        <w:t>In 2018-19, cancellation payments totalled $12.</w:t>
      </w:r>
      <w:r w:rsidR="003406C9" w:rsidRPr="00CA1271">
        <w:t xml:space="preserve">4 </w:t>
      </w:r>
      <w:r w:rsidRPr="00CA1271">
        <w:t>million or 0.1</w:t>
      </w:r>
      <w:r w:rsidR="00E80A7C" w:rsidRPr="00CA1271">
        <w:t>%</w:t>
      </w:r>
      <w:r w:rsidRPr="00CA1271">
        <w:t xml:space="preserve"> of Scheme expenditure. Only 27.</w:t>
      </w:r>
      <w:r w:rsidR="003406C9" w:rsidRPr="00CA1271">
        <w:t>2</w:t>
      </w:r>
      <w:r w:rsidR="00E80A7C" w:rsidRPr="00CA1271">
        <w:t>%</w:t>
      </w:r>
      <w:r w:rsidRPr="00CA1271">
        <w:t xml:space="preserve"> of providers made a cancellation claim. For these providers, cancellation claims represented, on average, 4.9</w:t>
      </w:r>
      <w:r w:rsidR="00E80A7C" w:rsidRPr="00CA1271">
        <w:t>%</w:t>
      </w:r>
      <w:r w:rsidRPr="00CA1271">
        <w:t xml:space="preserve"> of all their claims (by number) and 3.6</w:t>
      </w:r>
      <w:r w:rsidR="00E80A7C" w:rsidRPr="00CA1271">
        <w:t>%</w:t>
      </w:r>
      <w:r w:rsidRPr="00CA1271">
        <w:t xml:space="preserve"> of all their claims (by value). For 1 in 10 providers who claimed for cancellations, cancellation claims represented, more than 11.1</w:t>
      </w:r>
      <w:r w:rsidR="00E80A7C" w:rsidRPr="00CA1271">
        <w:t>%</w:t>
      </w:r>
      <w:r w:rsidRPr="00CA1271">
        <w:t xml:space="preserve"> of all their claims (by number) and 8.3</w:t>
      </w:r>
      <w:r w:rsidR="00E80A7C" w:rsidRPr="00CA1271">
        <w:t>%</w:t>
      </w:r>
      <w:r w:rsidRPr="00CA1271">
        <w:t xml:space="preserve"> of all their claims (by value).</w:t>
      </w:r>
    </w:p>
    <w:p w:rsidR="00C63652" w:rsidRPr="00CA1271" w:rsidRDefault="00C63652" w:rsidP="00C63652">
      <w:pPr>
        <w:pStyle w:val="Heading2"/>
      </w:pPr>
      <w:bookmarkStart w:id="129" w:name="_Toc42014758"/>
      <w:r w:rsidRPr="00CA1271">
        <w:t>Consultations</w:t>
      </w:r>
      <w:bookmarkEnd w:id="129"/>
    </w:p>
    <w:p w:rsidR="00C63652" w:rsidRPr="00CA1271" w:rsidRDefault="00CB4B0A" w:rsidP="00C63652">
      <w:pPr>
        <w:rPr>
          <w:rFonts w:cs="Arial"/>
        </w:rPr>
      </w:pPr>
      <w:r w:rsidRPr="00CA1271">
        <w:rPr>
          <w:rFonts w:cs="Arial"/>
        </w:rPr>
        <w:t xml:space="preserve">The </w:t>
      </w:r>
      <w:r w:rsidRPr="00CA1271">
        <w:rPr>
          <w:rFonts w:cs="Arial"/>
          <w:i/>
        </w:rPr>
        <w:t>Issues P</w:t>
      </w:r>
      <w:r w:rsidR="00C63652" w:rsidRPr="00CA1271">
        <w:rPr>
          <w:rFonts w:cs="Arial"/>
          <w:i/>
        </w:rPr>
        <w:t>aper</w:t>
      </w:r>
      <w:r w:rsidR="00C63652" w:rsidRPr="00CA1271">
        <w:rPr>
          <w:rFonts w:cs="Arial"/>
        </w:rPr>
        <w:t xml:space="preserve"> presented a number of issues with the current arrangements that had been raised by the sector, including:</w:t>
      </w:r>
    </w:p>
    <w:p w:rsidR="00C63652" w:rsidRPr="00CA1271" w:rsidRDefault="00C63652" w:rsidP="00C63652">
      <w:pPr>
        <w:pStyle w:val="DotPoint"/>
      </w:pPr>
      <w:r w:rsidRPr="00CA1271">
        <w:t xml:space="preserve">Some providers have argued that the current arrangements </w:t>
      </w:r>
      <w:r w:rsidRPr="00CA1271">
        <w:noBreakHyphen/>
        <w:t xml:space="preserve"> whereby they are required to </w:t>
      </w:r>
      <w:r w:rsidR="00C4242B" w:rsidRPr="00CA1271">
        <w:t>claim</w:t>
      </w:r>
      <w:r w:rsidRPr="00CA1271">
        <w:t xml:space="preserve"> for 100</w:t>
      </w:r>
      <w:r w:rsidR="00E80A7C" w:rsidRPr="00CA1271">
        <w:t>%</w:t>
      </w:r>
      <w:r w:rsidRPr="00CA1271">
        <w:t xml:space="preserve"> of the agreed fee for a cancelled service but the NDIS only pays them 90</w:t>
      </w:r>
      <w:r w:rsidR="00E80A7C" w:rsidRPr="00CA1271">
        <w:t>%</w:t>
      </w:r>
      <w:r w:rsidRPr="00CA1271">
        <w:t xml:space="preserve"> of the agreed fee </w:t>
      </w:r>
      <w:r w:rsidRPr="00CA1271">
        <w:noBreakHyphen/>
        <w:t xml:space="preserve"> results in accounting anomalies in their accounts showing the NDIS as bad debtor. </w:t>
      </w:r>
    </w:p>
    <w:p w:rsidR="00C63652" w:rsidRPr="00CA1271" w:rsidRDefault="00C63652" w:rsidP="00C63652">
      <w:pPr>
        <w:pStyle w:val="DotPoint"/>
      </w:pPr>
      <w:r w:rsidRPr="00CA1271">
        <w:t xml:space="preserve">Plan managers have also reported that they face difficulties in balancing their accounts when the invoices presented by providers, which they pass onto the NDIS, do not match the payments made by the NDIS. </w:t>
      </w:r>
    </w:p>
    <w:p w:rsidR="00C63652" w:rsidRPr="00CA1271" w:rsidRDefault="00C63652" w:rsidP="00C63652">
      <w:pPr>
        <w:pStyle w:val="DotPoint"/>
      </w:pPr>
      <w:r w:rsidRPr="00CA1271">
        <w:t>Some providers have also argued that they should be able to recover the full cost of the service that was cancelled, where they have not been able to replace the participant, as they face all of the costs associated with the appointment.</w:t>
      </w:r>
    </w:p>
    <w:p w:rsidR="00C63652" w:rsidRPr="00CA1271" w:rsidRDefault="00C63652" w:rsidP="00C63652">
      <w:pPr>
        <w:pStyle w:val="DotPoint"/>
      </w:pPr>
      <w:r w:rsidRPr="00CA1271">
        <w:t>Some stakeholders have questioned whether the NDIS cancellation rules should not be better aligned to those that apply in the general economy.</w:t>
      </w:r>
    </w:p>
    <w:p w:rsidR="00C63652" w:rsidRPr="00CA1271" w:rsidRDefault="00C63652" w:rsidP="00C63652">
      <w:pPr>
        <w:rPr>
          <w:rFonts w:cs="Arial"/>
        </w:rPr>
      </w:pPr>
      <w:r w:rsidRPr="00CA1271">
        <w:rPr>
          <w:rFonts w:cs="Arial"/>
        </w:rPr>
        <w:t>It was noted by many respondents that it was difficult to make alternative arrangements when a short-notice cancellation occurs, particularly when this occurs last minute (i.e. no show). Common concerns raised included:</w:t>
      </w:r>
    </w:p>
    <w:p w:rsidR="00C63652" w:rsidRPr="00CA1271" w:rsidRDefault="00C63652" w:rsidP="00C63652">
      <w:pPr>
        <w:numPr>
          <w:ilvl w:val="0"/>
          <w:numId w:val="9"/>
        </w:numPr>
        <w:spacing w:before="0"/>
        <w:rPr>
          <w:rFonts w:cs="Arial"/>
        </w:rPr>
      </w:pPr>
      <w:r w:rsidRPr="00CA1271">
        <w:rPr>
          <w:rFonts w:cs="Arial"/>
        </w:rPr>
        <w:t>Difficulty replacing participants due to nature of support;</w:t>
      </w:r>
    </w:p>
    <w:p w:rsidR="00C63652" w:rsidRPr="00CA1271" w:rsidRDefault="00C63652" w:rsidP="00C63652">
      <w:pPr>
        <w:numPr>
          <w:ilvl w:val="0"/>
          <w:numId w:val="9"/>
        </w:numPr>
        <w:spacing w:before="0"/>
        <w:rPr>
          <w:rFonts w:cs="Arial"/>
        </w:rPr>
      </w:pPr>
      <w:r w:rsidRPr="00CA1271">
        <w:rPr>
          <w:rFonts w:cs="Arial"/>
        </w:rPr>
        <w:t>If no replacement found, staff were allocated other types of tasks internally (i.e. administration); and</w:t>
      </w:r>
    </w:p>
    <w:p w:rsidR="00C63652" w:rsidRPr="00CA1271" w:rsidRDefault="00C63652" w:rsidP="00C63652">
      <w:pPr>
        <w:numPr>
          <w:ilvl w:val="0"/>
          <w:numId w:val="9"/>
        </w:numPr>
        <w:spacing w:before="0"/>
        <w:rPr>
          <w:rFonts w:cs="Arial"/>
        </w:rPr>
      </w:pPr>
      <w:r w:rsidRPr="00CA1271">
        <w:rPr>
          <w:rFonts w:cs="Arial"/>
        </w:rPr>
        <w:t>Depending on the customer base and rostering, it may be difficult to replace cancelled appointments.</w:t>
      </w:r>
    </w:p>
    <w:p w:rsidR="00C63652" w:rsidRPr="00CA1271" w:rsidRDefault="00C63652" w:rsidP="00C63652">
      <w:pPr>
        <w:rPr>
          <w:rFonts w:cs="Arial"/>
        </w:rPr>
      </w:pPr>
      <w:r w:rsidRPr="00CA1271">
        <w:rPr>
          <w:rFonts w:cs="Arial"/>
        </w:rPr>
        <w:t>A few submissions provided approximate numbers of how often alternative arrangements could be made following a cancellation, which included some noting 25 to 30</w:t>
      </w:r>
      <w:r w:rsidR="00E80A7C" w:rsidRPr="00CA1271">
        <w:rPr>
          <w:rFonts w:cs="Arial"/>
        </w:rPr>
        <w:t>%</w:t>
      </w:r>
      <w:r w:rsidRPr="00CA1271">
        <w:rPr>
          <w:rFonts w:cs="Arial"/>
        </w:rPr>
        <w:t xml:space="preserve"> of the time, others noting up to 70 and 95</w:t>
      </w:r>
      <w:r w:rsidR="00E80A7C" w:rsidRPr="00CA1271">
        <w:rPr>
          <w:rFonts w:cs="Arial"/>
        </w:rPr>
        <w:t>%</w:t>
      </w:r>
      <w:r w:rsidRPr="00CA1271">
        <w:rPr>
          <w:rFonts w:cs="Arial"/>
        </w:rPr>
        <w:t xml:space="preserve"> of the time. One respondent mentioned it can often be done, but depends on individual circumstances. Almost all submissions indicated that they spent a lengthy time attempting to replace a short-notice cancellation. A few submissions noted that associated administration time could range between 30 minutes to two hours, and even up to a day to reschedule a worker.</w:t>
      </w:r>
    </w:p>
    <w:p w:rsidR="00C63652" w:rsidRPr="00CA1271" w:rsidRDefault="00C63652" w:rsidP="00C63652">
      <w:r w:rsidRPr="00CA1271">
        <w:t>Most providers argued that it was inappropriate to reduce the fee claimable for a short notice cancellation because the cost structures were the same whether or not the service was delivered.</w:t>
      </w:r>
      <w:r w:rsidR="00647B74" w:rsidRPr="00CA1271">
        <w:t xml:space="preserve"> </w:t>
      </w:r>
      <w:r w:rsidRPr="00CA1271">
        <w:t xml:space="preserve">This view was not unanimous, however. Other respondents commented that the current arrangement was a fair balance between participant and provider. One suggested the removal of the cancellation fee. </w:t>
      </w:r>
    </w:p>
    <w:p w:rsidR="00C63652" w:rsidRPr="00CA1271" w:rsidRDefault="00C63652" w:rsidP="00C63652">
      <w:r w:rsidRPr="00CA1271">
        <w:t>A particular problem with the current arrangements noted by several providers was that providers were required to claim for 100</w:t>
      </w:r>
      <w:r w:rsidR="00E80A7C" w:rsidRPr="00CA1271">
        <w:t>%</w:t>
      </w:r>
      <w:r w:rsidRPr="00CA1271">
        <w:t xml:space="preserve"> of the fee but were only paid for 90</w:t>
      </w:r>
      <w:r w:rsidR="00E80A7C" w:rsidRPr="00CA1271">
        <w:t>%</w:t>
      </w:r>
      <w:r w:rsidRPr="00CA1271">
        <w:t xml:space="preserve"> of this. Thus meant that their financial systems were showing a debt by the NDIS of 10</w:t>
      </w:r>
      <w:r w:rsidR="00E80A7C" w:rsidRPr="00CA1271">
        <w:t>%</w:t>
      </w:r>
      <w:r w:rsidRPr="00CA1271">
        <w:t xml:space="preserve"> of the fee and additional administrative work was required to balance their books to satisfy their auditors.</w:t>
      </w:r>
    </w:p>
    <w:p w:rsidR="00C63652" w:rsidRPr="00CA1271" w:rsidRDefault="00C63652" w:rsidP="00C63652">
      <w:pPr>
        <w:rPr>
          <w:rFonts w:cs="Arial"/>
        </w:rPr>
      </w:pPr>
      <w:r w:rsidRPr="00CA1271">
        <w:rPr>
          <w:rFonts w:cs="Arial"/>
        </w:rPr>
        <w:t>Some providers indicated that two days’ notice was typically adequate. Others argued that this is insufficient notice when the respondent also coordinates with schools, day programs, and other service providers. Another issue was that rostering may be complex and that two days’ notice may not provide adequate time for adjustment. Some respondents suggested shortening the timeframe to 24 hours while others suggested expansion with proposals ranging from three days to five days.</w:t>
      </w:r>
    </w:p>
    <w:p w:rsidR="00C63652" w:rsidRPr="00CA1271" w:rsidRDefault="00C63652" w:rsidP="00C63652">
      <w:pPr>
        <w:rPr>
          <w:rFonts w:cs="Arial"/>
        </w:rPr>
      </w:pPr>
      <w:r w:rsidRPr="00CA1271">
        <w:rPr>
          <w:rFonts w:cs="Arial"/>
        </w:rPr>
        <w:t>The majority of responses indicated that the same cancellation rules should apply to all supports. One submission noted cancellations should also apply to interpreter service under the NDIS, as organisations are still required to pay an interpreter for short notice cancellations, yet cannot charge a cancellation fee under the NDIS. Other respondents asked for clarity around cancellations for Supported Independent Living (SIL) and group supports as this impacts other participants and more difficult to arrange available resource.</w:t>
      </w:r>
    </w:p>
    <w:p w:rsidR="00C63652" w:rsidRPr="00CA1271" w:rsidRDefault="00C63652" w:rsidP="00C63652">
      <w:pPr>
        <w:pStyle w:val="Heading2"/>
      </w:pPr>
      <w:bookmarkStart w:id="130" w:name="_Toc42014759"/>
      <w:r w:rsidRPr="00CA1271">
        <w:t>Discussion</w:t>
      </w:r>
      <w:bookmarkEnd w:id="130"/>
    </w:p>
    <w:p w:rsidR="00C63652" w:rsidRPr="00CA1271" w:rsidRDefault="00C63652" w:rsidP="00C63652">
      <w:r w:rsidRPr="00CA1271">
        <w:t xml:space="preserve">There was little consensus among submissions as to whether the current cancellation periods were adequate. It is therefore not proposed to change these at this time. </w:t>
      </w:r>
    </w:p>
    <w:p w:rsidR="00C63652" w:rsidRPr="00CA1271" w:rsidRDefault="00C63652" w:rsidP="00C63652">
      <w:r w:rsidRPr="00CA1271">
        <w:t>The arguments for changing the payment rate to 100</w:t>
      </w:r>
      <w:r w:rsidR="00E80A7C" w:rsidRPr="00CA1271">
        <w:t>%</w:t>
      </w:r>
      <w:r w:rsidRPr="00CA1271">
        <w:t xml:space="preserve"> of the agreed fee are much stronger. The Review considered whether it might also be able to resolve provider’s accounting difficulties by improved claiming arrangements in the NDIS systems, but on balance considered that providers’ arguments about their incurred costs being invariable if they could not find alternative work were considered to be stronger. Especially as providers can incur additional costs after no shows or prolonged cancellations through their duty of care</w:t>
      </w:r>
      <w:r w:rsidR="006660EA" w:rsidRPr="00CA1271">
        <w:t>,</w:t>
      </w:r>
      <w:r w:rsidRPr="00CA1271">
        <w:t xml:space="preserve"> which requires then to assure themselves that the cancelling participant is not incapacitated.</w:t>
      </w:r>
    </w:p>
    <w:p w:rsidR="00C63652" w:rsidRPr="00CA1271" w:rsidRDefault="00C63652" w:rsidP="00C63652">
      <w:pPr>
        <w:pStyle w:val="Heading2"/>
      </w:pPr>
      <w:bookmarkStart w:id="131" w:name="_Toc42014760"/>
      <w:r w:rsidRPr="00CA1271">
        <w:t>Recommendation</w:t>
      </w:r>
      <w:bookmarkEnd w:id="131"/>
    </w:p>
    <w:p w:rsidR="00C63652" w:rsidRPr="00CA1271" w:rsidRDefault="00C63652" w:rsidP="00C63652">
      <w:pPr>
        <w:pStyle w:val="REcommendation"/>
        <w:rPr>
          <w:b/>
        </w:rPr>
      </w:pPr>
      <w:r w:rsidRPr="00CA1271">
        <w:rPr>
          <w:b/>
        </w:rPr>
        <w:t>Cancellation Fees</w:t>
      </w:r>
    </w:p>
    <w:p w:rsidR="00C63652" w:rsidRPr="00CA1271" w:rsidRDefault="0008512C" w:rsidP="00C63652">
      <w:pPr>
        <w:pStyle w:val="REcommendation"/>
        <w:numPr>
          <w:ilvl w:val="0"/>
          <w:numId w:val="0"/>
        </w:numPr>
        <w:ind w:left="851"/>
      </w:pPr>
      <w:r w:rsidRPr="00CA1271">
        <w:t>The NDIA</w:t>
      </w:r>
      <w:r w:rsidR="00C63652" w:rsidRPr="00CA1271">
        <w:t xml:space="preserve"> should permanently amend the </w:t>
      </w:r>
      <w:r w:rsidR="00C4242B" w:rsidRPr="00CA1271">
        <w:t>claim</w:t>
      </w:r>
      <w:r w:rsidR="00C63652" w:rsidRPr="00CA1271">
        <w:t xml:space="preserve">ing rules in the </w:t>
      </w:r>
      <w:r w:rsidR="00C63652" w:rsidRPr="00CA1271">
        <w:rPr>
          <w:i/>
        </w:rPr>
        <w:t>NDIS Price Guide</w:t>
      </w:r>
      <w:r w:rsidR="00C63652" w:rsidRPr="00CA1271">
        <w:t xml:space="preserve"> to allow providers to claim for 100</w:t>
      </w:r>
      <w:r w:rsidR="00E80A7C" w:rsidRPr="00CA1271">
        <w:t>%</w:t>
      </w:r>
      <w:r w:rsidR="00C63652" w:rsidRPr="00CA1271">
        <w:t xml:space="preserve"> of the agreed fee for a short-notice cancellation.</w:t>
      </w:r>
    </w:p>
    <w:p w:rsidR="00C63652" w:rsidRPr="00CA1271" w:rsidRDefault="00C63652" w:rsidP="00C63652">
      <w:pPr>
        <w:sectPr w:rsidR="00C63652" w:rsidRPr="00CA1271" w:rsidSect="00CA5B7E">
          <w:pgSz w:w="11907" w:h="16839" w:code="9"/>
          <w:pgMar w:top="1418" w:right="1418" w:bottom="1418" w:left="1418" w:header="709" w:footer="709" w:gutter="0"/>
          <w:cols w:space="708"/>
          <w:titlePg/>
          <w:docGrid w:linePitch="360"/>
        </w:sectPr>
      </w:pPr>
    </w:p>
    <w:p w:rsidR="00C63652" w:rsidRPr="00CA1271" w:rsidRDefault="00C63652" w:rsidP="00C63652">
      <w:pPr>
        <w:pStyle w:val="Heading1"/>
        <w:ind w:left="567" w:hanging="567"/>
      </w:pPr>
      <w:bookmarkStart w:id="132" w:name="_Toc42014761"/>
      <w:bookmarkStart w:id="133" w:name="_Ref42689871"/>
      <w:bookmarkStart w:id="134" w:name="_Ref42689882"/>
      <w:r w:rsidRPr="00CA1271">
        <w:t>Provider Travel Rules</w:t>
      </w:r>
      <w:bookmarkEnd w:id="132"/>
      <w:bookmarkEnd w:id="133"/>
      <w:bookmarkEnd w:id="134"/>
    </w:p>
    <w:p w:rsidR="00C63652" w:rsidRPr="00CA1271" w:rsidRDefault="00C63652" w:rsidP="00C63652">
      <w:r w:rsidRPr="00CA1271">
        <w:t xml:space="preserve">The Review was required by its Terms of Reference to examine the current </w:t>
      </w:r>
      <w:r w:rsidR="00C4242B" w:rsidRPr="00CA1271">
        <w:t>claim</w:t>
      </w:r>
      <w:r w:rsidRPr="00CA1271">
        <w:t>ing rules for provider travel within the Scheme, including:</w:t>
      </w:r>
    </w:p>
    <w:p w:rsidR="00C63652" w:rsidRPr="00CA1271" w:rsidRDefault="00C63652" w:rsidP="00C63652">
      <w:pPr>
        <w:pStyle w:val="DotPoint"/>
      </w:pPr>
      <w:r w:rsidRPr="00CA1271">
        <w:t>Provider travel time limits, including examining whether it is possible to develop an approach that is more sensitive to local conditions; and</w:t>
      </w:r>
    </w:p>
    <w:p w:rsidR="00C63652" w:rsidRPr="00CA1271" w:rsidRDefault="00C63652" w:rsidP="00C63652">
      <w:pPr>
        <w:pStyle w:val="DotPoint"/>
      </w:pPr>
      <w:r w:rsidRPr="00CA1271">
        <w:t>Non-labour costs associated with provider travel.</w:t>
      </w:r>
    </w:p>
    <w:p w:rsidR="00C63652" w:rsidRPr="00CA1271" w:rsidRDefault="00C63652" w:rsidP="00C63652">
      <w:pPr>
        <w:pStyle w:val="Heading2"/>
      </w:pPr>
      <w:bookmarkStart w:id="135" w:name="_Toc42014762"/>
      <w:r w:rsidRPr="00CA1271">
        <w:t>Current Arrangements</w:t>
      </w:r>
      <w:bookmarkEnd w:id="135"/>
      <w:r w:rsidRPr="00CA1271">
        <w:t xml:space="preserve"> </w:t>
      </w:r>
    </w:p>
    <w:p w:rsidR="00C63652" w:rsidRPr="00CA1271" w:rsidRDefault="00C63652" w:rsidP="00C63652">
      <w:r w:rsidRPr="00CA1271">
        <w:t xml:space="preserve">The NDIA recognises that supports are often best delivered in the community or the participant’s own home. The price control arrangements therefore allow providers to charge for the time spent travelling to participants to deliver supports in some case. </w:t>
      </w:r>
    </w:p>
    <w:p w:rsidR="00C63652" w:rsidRPr="00CA1271" w:rsidRDefault="00C63652" w:rsidP="00C63652">
      <w:r w:rsidRPr="00CA1271">
        <w:t xml:space="preserve">The </w:t>
      </w:r>
      <w:r w:rsidRPr="00CA1271">
        <w:rPr>
          <w:i/>
        </w:rPr>
        <w:t>NDIS Price Guide</w:t>
      </w:r>
      <w:r w:rsidRPr="00CA1271">
        <w:t xml:space="preserve"> currently says:</w:t>
      </w:r>
    </w:p>
    <w:p w:rsidR="00C63652" w:rsidRPr="00CA1271" w:rsidRDefault="00C63652" w:rsidP="00C63652">
      <w:pPr>
        <w:pStyle w:val="Quote1"/>
      </w:pPr>
      <w:r w:rsidRPr="00CA1271">
        <w:t xml:space="preserve">Providers can only claim travel costs from a participant in respect of the delivery of a support item if: </w:t>
      </w:r>
    </w:p>
    <w:p w:rsidR="00C63652" w:rsidRPr="00CA1271" w:rsidRDefault="00C63652" w:rsidP="00BC7CF0">
      <w:pPr>
        <w:pStyle w:val="DotPoint"/>
      </w:pPr>
      <w:r w:rsidRPr="00CA1271">
        <w:t xml:space="preserve">the Support Catalogue indicates that providers can claim for Provider Travel in respect of that support item; </w:t>
      </w:r>
    </w:p>
    <w:p w:rsidR="00C63652" w:rsidRPr="00CA1271" w:rsidRDefault="00C63652" w:rsidP="00BC7CF0">
      <w:pPr>
        <w:pStyle w:val="DotPoint"/>
      </w:pPr>
      <w:r w:rsidRPr="00CA1271">
        <w:t xml:space="preserve">the provider has the agreement of the participant in advance (i.e. the service agreement between the participant and provider should specify the travel costs that can be claimed); and </w:t>
      </w:r>
    </w:p>
    <w:p w:rsidR="00C63652" w:rsidRPr="00CA1271" w:rsidRDefault="00C63652" w:rsidP="00BC7CF0">
      <w:pPr>
        <w:pStyle w:val="DotPoint"/>
      </w:pPr>
      <w:proofErr w:type="gramStart"/>
      <w:r w:rsidRPr="00CA1271">
        <w:t>the</w:t>
      </w:r>
      <w:proofErr w:type="gramEnd"/>
      <w:r w:rsidRPr="00CA1271">
        <w:t xml:space="preserv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 </w:t>
      </w:r>
    </w:p>
    <w:p w:rsidR="00C63652" w:rsidRPr="00CA1271" w:rsidRDefault="00C63652" w:rsidP="00C63652">
      <w:pPr>
        <w:pStyle w:val="Quote1"/>
      </w:pPr>
      <w:r w:rsidRPr="00CA1271">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support is delivered.) </w:t>
      </w:r>
    </w:p>
    <w:p w:rsidR="00C63652" w:rsidRPr="00CA1271" w:rsidRDefault="00C63652" w:rsidP="00C63652">
      <w:pPr>
        <w:pStyle w:val="Quote1"/>
      </w:pPr>
      <w:r w:rsidRPr="00CA1271">
        <w:t xml:space="preserve">In addition to the above travel, capacity building providers who are permitted to claim for provider travel can also claim for the time spent travelling from the last participant to their usual place of work. The maximum amount of travel time that they can claim for the time spent on return travel (for each eligible worker) is 30 minutes in MMM1-3 areas and 60 minutes in MMM4-5 areas. (Note the relevant MMM classification is the classification of the area where the support is delivered.) </w:t>
      </w:r>
    </w:p>
    <w:p w:rsidR="00C63652" w:rsidRPr="00CA1271" w:rsidRDefault="00C63652" w:rsidP="00C63652">
      <w:pPr>
        <w:pStyle w:val="Quote1"/>
      </w:pPr>
      <w:r w:rsidRPr="00CA1271">
        <w:t>Where a worker is travelling to provide services to more than one participant in a ‘region’ then the provider can apportion that travel time (including the return journey where applicable) between the participants, with the agreement of each participant in advance.</w:t>
      </w:r>
    </w:p>
    <w:p w:rsidR="00C63652" w:rsidRPr="00CA1271" w:rsidRDefault="00C63652" w:rsidP="00C63652">
      <w:pPr>
        <w:pStyle w:val="Quote1"/>
      </w:pPr>
      <w:r w:rsidRPr="00CA1271">
        <w:t xml:space="preserve">Claims for travel in respect of a support must be made separately to the claim for the primary support (the support for which the travel is necessary) using the same line item as the primary support and the “Provider Travel” option in the </w:t>
      </w:r>
      <w:proofErr w:type="spellStart"/>
      <w:r w:rsidRPr="00CA1271">
        <w:t>Myplace</w:t>
      </w:r>
      <w:proofErr w:type="spellEnd"/>
      <w:r w:rsidRPr="00CA1271">
        <w:t xml:space="preserv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 </w:t>
      </w:r>
    </w:p>
    <w:p w:rsidR="00C63652" w:rsidRPr="00CA1271" w:rsidRDefault="00C63652" w:rsidP="00C63652">
      <w:pPr>
        <w:pStyle w:val="Heading2"/>
      </w:pPr>
      <w:bookmarkStart w:id="136" w:name="_Toc42014763"/>
      <w:r w:rsidRPr="00CA1271">
        <w:t>Consultations</w:t>
      </w:r>
      <w:bookmarkEnd w:id="136"/>
    </w:p>
    <w:p w:rsidR="00C63652" w:rsidRPr="00CA1271" w:rsidRDefault="00C63652" w:rsidP="00C63652">
      <w:pPr>
        <w:rPr>
          <w:rFonts w:cs="Arial"/>
        </w:rPr>
      </w:pPr>
      <w:r w:rsidRPr="00CA1271">
        <w:rPr>
          <w:rFonts w:cs="Arial"/>
        </w:rPr>
        <w:t>The issues paper presented a number of issues with the current arrangements that had been raised by the sector, including:</w:t>
      </w:r>
    </w:p>
    <w:p w:rsidR="00C63652" w:rsidRPr="00CA1271" w:rsidRDefault="00C63652" w:rsidP="00C63652">
      <w:pPr>
        <w:numPr>
          <w:ilvl w:val="0"/>
          <w:numId w:val="1"/>
        </w:numPr>
      </w:pPr>
      <w:r w:rsidRPr="00CA1271">
        <w:t xml:space="preserve">That the current limits on the </w:t>
      </w:r>
      <w:r w:rsidR="00C4242B" w:rsidRPr="00CA1271">
        <w:t>claim</w:t>
      </w:r>
      <w:r w:rsidRPr="00CA1271">
        <w:t>able travel time may restrict services to participants because providers will be unwilling to deliver services if they are unable to recover their travel costs.</w:t>
      </w:r>
    </w:p>
    <w:p w:rsidR="00C63652" w:rsidRPr="00CA1271" w:rsidRDefault="00C63652" w:rsidP="00C63652">
      <w:pPr>
        <w:numPr>
          <w:ilvl w:val="0"/>
          <w:numId w:val="1"/>
        </w:numPr>
      </w:pPr>
      <w:r w:rsidRPr="00CA1271">
        <w:t>That providers are not currently permitted to claim for unavoidable non-labour travel costs, which include the overall general cost for running and maintaining the cost of the vehicle, including allowances payable to workers for the use of their own cars, or the cost of maintaining fleet vehicles and road tolls.</w:t>
      </w:r>
    </w:p>
    <w:p w:rsidR="00C63652" w:rsidRPr="00CA1271" w:rsidRDefault="00C63652" w:rsidP="00C63652">
      <w:r w:rsidRPr="00CA1271">
        <w:t xml:space="preserve">Providers were asked to indicate the proportion of travel episodes related to the delivery of NDIS supports by their organisation that exceeded the claimable time limits specified in the </w:t>
      </w:r>
      <w:r w:rsidRPr="00CA1271">
        <w:rPr>
          <w:i/>
        </w:rPr>
        <w:t>NDIS Price Guide</w:t>
      </w:r>
      <w:r w:rsidRPr="00CA1271">
        <w:t xml:space="preserve"> and the </w:t>
      </w:r>
      <w:r w:rsidRPr="00CA1271">
        <w:rPr>
          <w:i/>
        </w:rPr>
        <w:t>NDIS Support Catalogue</w:t>
      </w:r>
      <w:r w:rsidRPr="00CA1271">
        <w:t xml:space="preserve">. Some respondents indicated that they were able to work within the limits through selecting participants in serviceable areas. However, other respondents indicated that they stopped delivering services to participants in their home or place of residence if the cost of travel far outweighed the financial incentive for the business to do so. </w:t>
      </w:r>
    </w:p>
    <w:p w:rsidR="00C63652" w:rsidRPr="00CA1271" w:rsidRDefault="00C63652" w:rsidP="00C63652">
      <w:r w:rsidRPr="00CA1271">
        <w:t xml:space="preserve">Some respondents who provided an estimate on the amount of travel to participants that exceeded the </w:t>
      </w:r>
      <w:r w:rsidRPr="00CA1271">
        <w:rPr>
          <w:i/>
        </w:rPr>
        <w:t>NDIS Price Guide</w:t>
      </w:r>
      <w:r w:rsidRPr="00CA1271">
        <w:t xml:space="preserve"> limits suggested that this occurs for five (5) to 10</w:t>
      </w:r>
      <w:r w:rsidR="00E80A7C" w:rsidRPr="00CA1271">
        <w:t>%</w:t>
      </w:r>
      <w:r w:rsidRPr="00CA1271">
        <w:t xml:space="preserve"> of services delivered. Others indicated it might go up to 30 and 50</w:t>
      </w:r>
      <w:r w:rsidR="00E80A7C" w:rsidRPr="00CA1271">
        <w:t>%</w:t>
      </w:r>
      <w:r w:rsidRPr="00CA1271">
        <w:t xml:space="preserve"> in some instances. Several respondents noted that travel limits were mostly exceeded in regional areas, and in areas that are dispersed (not necessarily regional, remote or very remote). An example was given of travel occur in an MMM1-3 zone that took an hour, but for which only up to 30 minutes was claimable. Some respondents said they generally absorbed travel costs (not charging the participants) where long travel distances are required and there are no alternative supports available. </w:t>
      </w:r>
    </w:p>
    <w:p w:rsidR="00C63652" w:rsidRPr="00CA1271" w:rsidRDefault="00C63652" w:rsidP="00C63652">
      <w:r w:rsidRPr="00CA1271">
        <w:t>Some submissions argued that the distances within a MMM classification can vary substantially and are not reflective of the kilometres travelled. Others argued that there is an increasing travel cost associated with metropolitan areas, due to traffic congestion, road tolls and lack of adequate parking availability, compared to kilometres travelled in regional and remote areas.</w:t>
      </w:r>
    </w:p>
    <w:p w:rsidR="00C63652" w:rsidRPr="00CA1271" w:rsidRDefault="00C63652" w:rsidP="00C63652">
      <w:r w:rsidRPr="00CA1271">
        <w:t xml:space="preserve">Respondents identified outer regional areas are particularly difficult to service due to travel costs. One submission requested that the travel limit for therapy services should be removed for regional areas. Some respondents </w:t>
      </w:r>
      <w:r w:rsidR="002B751F" w:rsidRPr="00CA1271">
        <w:t xml:space="preserve">indicated that </w:t>
      </w:r>
      <w:r w:rsidRPr="00CA1271">
        <w:t xml:space="preserve">it was not viable for them to provide service to participants living more than 45 minutes away. Further, </w:t>
      </w:r>
      <w:r w:rsidR="002B751F" w:rsidRPr="00CA1271">
        <w:t xml:space="preserve">travel to </w:t>
      </w:r>
      <w:r w:rsidRPr="00CA1271">
        <w:t>some locations further away from the organisation base required overnight accommodation or alternative travel such as flights or ferries, which add to the travel costs.</w:t>
      </w:r>
    </w:p>
    <w:p w:rsidR="00C63652" w:rsidRPr="00CA1271" w:rsidRDefault="00C63652" w:rsidP="00C63652">
      <w:r w:rsidRPr="00CA1271">
        <w:t>Provider submissions also raised concerns relating to isolated communities that are classified as MMM6-7. Respondents were concerned that the NDIS planning arrangements for remote and very remote participants do not adequately provide for the high cost of travelling in those regions, which could leave the participant with minimal funding for support hours, or make it financially unviable to deliver services. There were also issues of efficiency with the current arr</w:t>
      </w:r>
      <w:r w:rsidR="002B751F" w:rsidRPr="00CA1271">
        <w:t>an</w:t>
      </w:r>
      <w:r w:rsidRPr="00CA1271">
        <w:t>gements, with each participant individually organising expensive travel from providers which might be a better shared cost. Some support coordinators tried to perform the role of maximising the number of participants seen by a visiting providers but they were not always best placed to do this.</w:t>
      </w:r>
    </w:p>
    <w:p w:rsidR="00C63652" w:rsidRPr="00CA1271" w:rsidRDefault="00C63652" w:rsidP="00C63652">
      <w:r w:rsidRPr="00CA1271">
        <w:t>Providers argued that in order to make the delivery of supports viable in thin markets they need to find and group other participants in an area to defray costs. This can work very well as semi-regular arrangements. As an example, in the Tiwi Islands there are 12 children on the main island, Melville Island. Therapists worked with the school to establish service agreements for all 12 participants. A therapist visits six times during the school term, on average 8 children are present. Fees are charge</w:t>
      </w:r>
      <w:r w:rsidR="00BC7CF0" w:rsidRPr="00CA1271">
        <w:t>d</w:t>
      </w:r>
      <w:r w:rsidRPr="00CA1271">
        <w:t xml:space="preserve"> on that basis. However, considerable non-</w:t>
      </w:r>
      <w:r w:rsidR="00C4242B" w:rsidRPr="00CA1271">
        <w:t>claim</w:t>
      </w:r>
      <w:r w:rsidRPr="00CA1271">
        <w:t>able hours are needed in preparation for a trip to remote areas - organise on ground support, appropriate times, communicate with people in communities, accommodation etc. For each individual remote trip, there are up to six hours of planning.</w:t>
      </w:r>
    </w:p>
    <w:p w:rsidR="00C63652" w:rsidRPr="00CA1271" w:rsidRDefault="00C63652" w:rsidP="00C63652">
      <w:r w:rsidRPr="00CA1271">
        <w:t xml:space="preserve">Respondents were also asked to indicate what proportion of the travel costs </w:t>
      </w:r>
      <w:r w:rsidR="00BC7CF0" w:rsidRPr="00CA1271">
        <w:t xml:space="preserve">associated </w:t>
      </w:r>
      <w:r w:rsidRPr="00CA1271">
        <w:t>with the delivery of an NDIS support (labour and non-labour costs) that they currently recovered from the NDIS. One submission indicated that they are able to recover all costs related to travel. Another respondent suggested that 80</w:t>
      </w:r>
      <w:r w:rsidR="00E80A7C" w:rsidRPr="00CA1271">
        <w:t>%</w:t>
      </w:r>
      <w:r w:rsidRPr="00CA1271">
        <w:t xml:space="preserve"> of travel costs were recovered from the NDIS. The principal issues raised by respondents was that they were only able to claim for the worker’s time currently, and that they had to absorb non-labour costs such as vehicle fleets and mileage. These providers pointed out that the SCHADS Award requires them</w:t>
      </w:r>
      <w:r w:rsidR="00BC7CF0" w:rsidRPr="00CA1271">
        <w:t xml:space="preserve"> to</w:t>
      </w:r>
      <w:r w:rsidRPr="00CA1271">
        <w:t xml:space="preserve"> pay their workers 78 cents per kilometre when the worker used their own car for provide</w:t>
      </w:r>
      <w:r w:rsidR="00BC7CF0" w:rsidRPr="00CA1271">
        <w:t>r</w:t>
      </w:r>
      <w:r w:rsidRPr="00CA1271">
        <w:t xml:space="preserve"> travel, yet the </w:t>
      </w:r>
      <w:r w:rsidR="00BC7CF0" w:rsidRPr="00CA1271">
        <w:rPr>
          <w:i/>
        </w:rPr>
        <w:t>NDIS P</w:t>
      </w:r>
      <w:r w:rsidRPr="00CA1271">
        <w:rPr>
          <w:i/>
        </w:rPr>
        <w:t xml:space="preserve">rice </w:t>
      </w:r>
      <w:r w:rsidR="00BC7CF0" w:rsidRPr="00CA1271">
        <w:rPr>
          <w:i/>
        </w:rPr>
        <w:t>G</w:t>
      </w:r>
      <w:r w:rsidRPr="00CA1271">
        <w:rPr>
          <w:i/>
        </w:rPr>
        <w:t>uide</w:t>
      </w:r>
      <w:r w:rsidRPr="00CA1271">
        <w:t xml:space="preserve"> does not allow this to be claimed. Providers also indicated that it was, in general, less expensive and often safer, to maintain a fleet of vehicles of their support workers to </w:t>
      </w:r>
      <w:r w:rsidR="00BC7CF0" w:rsidRPr="00CA1271">
        <w:t>us</w:t>
      </w:r>
      <w:r w:rsidRPr="00CA1271">
        <w:t>e, but that these costs added significantly to the level of their overheads as they were not claimable from the NDIS. One respondent noted that for travel, their costs were 29</w:t>
      </w:r>
      <w:r w:rsidR="00E80A7C" w:rsidRPr="00CA1271">
        <w:t>%</w:t>
      </w:r>
      <w:r w:rsidRPr="00CA1271">
        <w:t xml:space="preserve"> non-labour and 71</w:t>
      </w:r>
      <w:r w:rsidR="00E80A7C" w:rsidRPr="00CA1271">
        <w:t>%</w:t>
      </w:r>
      <w:r w:rsidRPr="00CA1271">
        <w:t xml:space="preserve"> labour.</w:t>
      </w:r>
    </w:p>
    <w:p w:rsidR="00C63652" w:rsidRPr="00CA1271" w:rsidRDefault="00C63652" w:rsidP="00C63652">
      <w:r w:rsidRPr="00CA1271">
        <w:t>Respondents also indicated that the non-labour costs associated with provider travel depended on the type of vehicle and were higher for disability</w:t>
      </w:r>
      <w:r w:rsidR="00BC7CF0" w:rsidRPr="00CA1271">
        <w:t>-</w:t>
      </w:r>
      <w:r w:rsidRPr="00CA1271">
        <w:t xml:space="preserve">modified vehicles. One submission noted that the cost of fuel in regional areas are typically higher than metropolitan areas. Other submissions noted that the costs of travelling </w:t>
      </w:r>
      <w:r w:rsidR="00BC7CF0" w:rsidRPr="00CA1271">
        <w:t xml:space="preserve">to </w:t>
      </w:r>
      <w:r w:rsidRPr="00CA1271">
        <w:t>remote areas can be much higher given the poor state of the roads in those areas.</w:t>
      </w:r>
    </w:p>
    <w:p w:rsidR="00C63652" w:rsidRPr="00CA1271" w:rsidRDefault="00C63652" w:rsidP="00C63652">
      <w:r w:rsidRPr="00CA1271">
        <w:t xml:space="preserve">The majority of submissions suggested a per kilometre basis as the most appropriate and consistent method for claiming non-labour travel costs. It was suggested that this is the most transparent for participants receiving travel for their support, as well as being the administratively efficient method for providers. </w:t>
      </w:r>
    </w:p>
    <w:p w:rsidR="00F471BB" w:rsidRPr="00CA1271" w:rsidRDefault="00F471BB" w:rsidP="00C63652">
      <w:pPr>
        <w:pStyle w:val="Heading2"/>
      </w:pPr>
      <w:bookmarkStart w:id="137" w:name="_Toc42014764"/>
      <w:r w:rsidRPr="00CA1271">
        <w:t>Research</w:t>
      </w:r>
      <w:bookmarkEnd w:id="137"/>
    </w:p>
    <w:p w:rsidR="00F471BB" w:rsidRPr="00CA1271" w:rsidRDefault="00F471BB" w:rsidP="00F471BB">
      <w:r w:rsidRPr="00CA1271">
        <w:t>There is no common approach to provider travel across comparable schemes.</w:t>
      </w:r>
    </w:p>
    <w:p w:rsidR="00F471BB" w:rsidRPr="00CA1271" w:rsidRDefault="00F471BB" w:rsidP="00F471BB">
      <w:pPr>
        <w:pStyle w:val="DotPoint"/>
      </w:pPr>
      <w:r w:rsidRPr="00CA1271">
        <w:t xml:space="preserve">WorkCover Queensland </w:t>
      </w:r>
      <w:r w:rsidR="009A2E8A" w:rsidRPr="00CA1271">
        <w:t>allows t</w:t>
      </w:r>
      <w:r w:rsidRPr="00CA1271">
        <w:t>herapy providers to bill for travel time at a reduced rate equal to about 72% of the standard hourly rate “where the provider is required to leave their normal place of practice to provide a service to a worker at their place of residence, rehabilitation facility, hospital or the workplace; for visits to multiple workers or facilities, divide the travel charge accordingly between workers assessed/treated at each location”.</w:t>
      </w:r>
      <w:r w:rsidR="001A6530" w:rsidRPr="00CA1271">
        <w:rPr>
          <w:rStyle w:val="FootnoteReference"/>
        </w:rPr>
        <w:t xml:space="preserve"> </w:t>
      </w:r>
      <w:r w:rsidR="001A6530" w:rsidRPr="00CA1271">
        <w:rPr>
          <w:rStyle w:val="FootnoteReference"/>
        </w:rPr>
        <w:footnoteReference w:id="47"/>
      </w:r>
      <w:r w:rsidR="001A6530" w:rsidRPr="00CA1271">
        <w:t xml:space="preserve"> </w:t>
      </w:r>
      <w:r w:rsidR="009A2E8A" w:rsidRPr="00CA1271">
        <w:t>There is no provision for provider travel costs associated with the delivery of attendant care services.</w:t>
      </w:r>
    </w:p>
    <w:p w:rsidR="00186A73" w:rsidRPr="00CA1271" w:rsidRDefault="00186A73" w:rsidP="001F74D2">
      <w:pPr>
        <w:pStyle w:val="DotPoint"/>
      </w:pPr>
      <w:r w:rsidRPr="00CA1271">
        <w:t>Victorian Transport Accident Commission (TAC)</w:t>
      </w:r>
      <w:r w:rsidR="009A2E8A" w:rsidRPr="00CA1271">
        <w:t xml:space="preserve"> </w:t>
      </w:r>
      <w:r w:rsidRPr="00CA1271">
        <w:t>will pay for the time therapists spend travelling to conduct treatment in the community, where this is clinically justified, but only from the provider’s practice address and the patient's residence. Where more than one patient is visited in a single travel period, total travel costs is required to be apportioned equally between patients. The TAC does not pay for provider travel time for attendant care supports, except for the reasonable cost of attendant carer travel when accompanying a client to a transport accident injury related hospital, medical or rehabilitation appointment.</w:t>
      </w:r>
      <w:r w:rsidR="001A6530" w:rsidRPr="00CA1271">
        <w:t xml:space="preserve"> (Note, within the NDIS this would be classified as Activity Based Transport rather than Provider Travel.)</w:t>
      </w:r>
    </w:p>
    <w:p w:rsidR="009A2E8A" w:rsidRPr="00CA1271" w:rsidRDefault="009A2E8A" w:rsidP="009A2E8A">
      <w:pPr>
        <w:pStyle w:val="DotPoint"/>
      </w:pPr>
      <w:r w:rsidRPr="00CA1271">
        <w:t>The State Insurance Regulatory Authority of New South Wales does not in general, allow therapists to charge for the time that they spend travelling. They do allow the reimbursement of vehicle costs “in accordance with the "Use of private motor vehicle" set out in Item 6 of Table 1 (Rates and Allowances) to Part B (Monetary Rates) of the Crown Employees (Public Service Conditions of Employment) Reviewed Award 2009, at 68 cents per kilometre.</w:t>
      </w:r>
    </w:p>
    <w:p w:rsidR="00186A73" w:rsidRPr="00CA1271" w:rsidRDefault="00B00290" w:rsidP="001F74D2">
      <w:pPr>
        <w:pStyle w:val="DotPoint"/>
      </w:pPr>
      <w:r w:rsidRPr="00CA1271">
        <w:t>Re</w:t>
      </w:r>
      <w:r w:rsidR="001A6530" w:rsidRPr="00CA1271">
        <w:t xml:space="preserve">turn to Work South Australia allows therapy providers </w:t>
      </w:r>
      <w:r w:rsidRPr="00CA1271">
        <w:t>to bill for travel time at a reduced rate equal to about 85% of the standard hourly rate.</w:t>
      </w:r>
      <w:r w:rsidRPr="00CA1271">
        <w:rPr>
          <w:rStyle w:val="FootnoteReference"/>
        </w:rPr>
        <w:footnoteReference w:id="48"/>
      </w:r>
    </w:p>
    <w:p w:rsidR="00C63652" w:rsidRPr="00CA1271" w:rsidRDefault="00C63652" w:rsidP="00C63652">
      <w:pPr>
        <w:pStyle w:val="Heading2"/>
      </w:pPr>
      <w:bookmarkStart w:id="138" w:name="_Toc42014765"/>
      <w:r w:rsidRPr="00CA1271">
        <w:t>Discussion</w:t>
      </w:r>
      <w:bookmarkEnd w:id="138"/>
    </w:p>
    <w:p w:rsidR="00C63652" w:rsidRPr="00CA1271" w:rsidRDefault="00C63652" w:rsidP="00C63652">
      <w:pPr>
        <w:pStyle w:val="Heading3"/>
      </w:pPr>
      <w:r w:rsidRPr="00CA1271">
        <w:t>Travel Time Limits</w:t>
      </w:r>
    </w:p>
    <w:p w:rsidR="00C63652" w:rsidRPr="00CA1271" w:rsidRDefault="00C63652" w:rsidP="00C63652">
      <w:r w:rsidRPr="00CA1271">
        <w:t>The Modified Monash Model geographical classification is based on distance from labour supply centres. In general, therefore, it should form a reasonable basis for the time limits on provider travel, which are meant to encourage participants to access providers closer to them where possible.</w:t>
      </w:r>
    </w:p>
    <w:p w:rsidR="00C63652" w:rsidRPr="00CA1271" w:rsidRDefault="00C63652" w:rsidP="00C63652">
      <w:pPr>
        <w:pStyle w:val="DotPoint"/>
      </w:pPr>
      <w:r w:rsidRPr="00CA1271">
        <w:t>MM</w:t>
      </w:r>
      <w:r w:rsidR="00BC7CF0" w:rsidRPr="00CA1271">
        <w:t>M</w:t>
      </w:r>
      <w:r w:rsidRPr="00CA1271">
        <w:t xml:space="preserve">1 regions – The Review understands that traffic congestion can make travel in metropolitan areas time consuming. However, the Review considers that it is important to continue to encourage participants to seek services from providers closer them to improve Scheme sustainability and notes that the market for disability services is continuing to show strong growth, especially in metropolitan areas. </w:t>
      </w:r>
    </w:p>
    <w:p w:rsidR="00C63652" w:rsidRPr="00CA1271" w:rsidRDefault="00C63652" w:rsidP="00C63652">
      <w:pPr>
        <w:pStyle w:val="DotPoint"/>
      </w:pPr>
      <w:r w:rsidRPr="00CA1271">
        <w:t xml:space="preserve">MMM2-4 regions – The Review notes that: </w:t>
      </w:r>
    </w:p>
    <w:p w:rsidR="00C63652" w:rsidRPr="00CA1271" w:rsidRDefault="00C63652" w:rsidP="007A045B">
      <w:pPr>
        <w:pStyle w:val="DotPoint"/>
        <w:numPr>
          <w:ilvl w:val="1"/>
          <w:numId w:val="13"/>
        </w:numPr>
      </w:pPr>
      <w:r w:rsidRPr="00CA1271">
        <w:t>Locations in regions classified as MMM2 are in, or within 20km road distance, of a town with population &gt;50,000;</w:t>
      </w:r>
    </w:p>
    <w:p w:rsidR="00C63652" w:rsidRPr="00CA1271" w:rsidRDefault="00C63652" w:rsidP="007A045B">
      <w:pPr>
        <w:pStyle w:val="DotPoint"/>
        <w:numPr>
          <w:ilvl w:val="1"/>
          <w:numId w:val="13"/>
        </w:numPr>
      </w:pPr>
      <w:r w:rsidRPr="00CA1271">
        <w:t>Locations in regions classified as MMM3 are in, or within 15km road distance, of a town with population between 15,000 and 50,000; and</w:t>
      </w:r>
    </w:p>
    <w:p w:rsidR="00C63652" w:rsidRPr="00CA1271" w:rsidRDefault="00C63652" w:rsidP="007A045B">
      <w:pPr>
        <w:pStyle w:val="DotPoint"/>
        <w:numPr>
          <w:ilvl w:val="1"/>
          <w:numId w:val="13"/>
        </w:numPr>
      </w:pPr>
      <w:r w:rsidRPr="00CA1271">
        <w:t>Locations in regions classified as MMM4 are in, or within 10km road distance, of a town with population between 5,000 and 15,000.</w:t>
      </w:r>
    </w:p>
    <w:p w:rsidR="00C63652" w:rsidRPr="00CA1271" w:rsidRDefault="00C63652" w:rsidP="00C63652">
      <w:pPr>
        <w:pStyle w:val="DotPoint"/>
        <w:numPr>
          <w:ilvl w:val="0"/>
          <w:numId w:val="0"/>
        </w:numPr>
        <w:ind w:left="567"/>
      </w:pPr>
      <w:r w:rsidRPr="00CA1271">
        <w:t xml:space="preserve">The Review considers that in each of these cases this means that participants are sufficiently close to a labour supply source that non-specialist services should be able to be delivered to them within the time limits set out in the </w:t>
      </w:r>
      <w:r w:rsidRPr="00CA1271">
        <w:rPr>
          <w:i/>
        </w:rPr>
        <w:t>NDIS Price Guide</w:t>
      </w:r>
      <w:r w:rsidRPr="00CA1271">
        <w:t>.</w:t>
      </w:r>
    </w:p>
    <w:p w:rsidR="00C63652" w:rsidRPr="00CA1271" w:rsidRDefault="00C63652" w:rsidP="00C63652">
      <w:pPr>
        <w:pStyle w:val="DotPoint"/>
      </w:pPr>
      <w:r w:rsidRPr="00CA1271">
        <w:t>MMM 5 regions – The Review notes that some people living in regions classified as MMM5 may live a considerable distance from services, but considers that this issue is best resolved through the more target</w:t>
      </w:r>
      <w:r w:rsidR="00BC7CF0" w:rsidRPr="00CA1271">
        <w:t>ed</w:t>
      </w:r>
      <w:r w:rsidRPr="00CA1271">
        <w:t xml:space="preserve"> approaches suggested below rather than through an increase in the provider travel time limits.</w:t>
      </w:r>
    </w:p>
    <w:p w:rsidR="00C63652" w:rsidRPr="00CA1271" w:rsidRDefault="00C63652" w:rsidP="00C63652">
      <w:pPr>
        <w:pStyle w:val="DotPoint"/>
        <w:numPr>
          <w:ilvl w:val="0"/>
          <w:numId w:val="0"/>
        </w:numPr>
      </w:pPr>
      <w:r w:rsidRPr="00CA1271">
        <w:t>The Review also understand</w:t>
      </w:r>
      <w:r w:rsidR="00BC7CF0" w:rsidRPr="00CA1271">
        <w:t>s</w:t>
      </w:r>
      <w:r w:rsidRPr="00CA1271">
        <w:t xml:space="preserve"> that more specialised services often require more travel than other services, given that they are located in fewer locations. Again, however, the Review considers that this issue is best resolved through the more target</w:t>
      </w:r>
      <w:r w:rsidR="00BC7CF0" w:rsidRPr="00CA1271">
        <w:t>ed</w:t>
      </w:r>
      <w:r w:rsidRPr="00CA1271">
        <w:t xml:space="preserve"> approaches suggested below rather than through an increase in the provider travel time limits, noting that capacity building providers are already permitted to make a separate claim for the </w:t>
      </w:r>
      <w:r w:rsidR="00BC7CF0" w:rsidRPr="00CA1271">
        <w:t xml:space="preserve">return </w:t>
      </w:r>
      <w:r w:rsidRPr="00CA1271">
        <w:t>travel from the last client of the day.</w:t>
      </w:r>
    </w:p>
    <w:p w:rsidR="00C63652" w:rsidRPr="00CA1271" w:rsidRDefault="00C63652" w:rsidP="00C63652">
      <w:pPr>
        <w:pStyle w:val="Heading3"/>
      </w:pPr>
      <w:r w:rsidRPr="00CA1271">
        <w:t>C</w:t>
      </w:r>
      <w:r w:rsidR="00954693" w:rsidRPr="00CA1271">
        <w:t>oordinated C</w:t>
      </w:r>
      <w:r w:rsidRPr="00CA1271">
        <w:t>ommissioning</w:t>
      </w:r>
    </w:p>
    <w:p w:rsidR="00C63652" w:rsidRPr="00CA1271" w:rsidRDefault="00C63652" w:rsidP="00C63652">
      <w:r w:rsidRPr="00CA1271">
        <w:t>The Review considers that the fundamental difficulty in the supply of services in outer regional, remote and very remote areas is the sparsity of participants requiring services. This is a problem not best resolved through increasing price limits or provider travel time limits as these solutions do nothing to aggregate demand and ensure efficient delivery of services.</w:t>
      </w:r>
    </w:p>
    <w:p w:rsidR="00C63652" w:rsidRPr="00CA1271" w:rsidRDefault="00C63652" w:rsidP="00C63652">
      <w:r w:rsidRPr="00CA1271">
        <w:t xml:space="preserve">A model for an alternative approach to managing the costs of travel and improving the efficiency of service provision in remote and very remote areas is provided by </w:t>
      </w:r>
      <w:proofErr w:type="spellStart"/>
      <w:r w:rsidRPr="00CA1271">
        <w:t>CheckUp</w:t>
      </w:r>
      <w:proofErr w:type="spellEnd"/>
      <w:r w:rsidRPr="00CA1271">
        <w:t xml:space="preserve">, a Queensland Fund Holder for the Commonwealth’s Rural Health Outreach Fund. </w:t>
      </w:r>
      <w:proofErr w:type="spellStart"/>
      <w:r w:rsidRPr="00CA1271">
        <w:t>Fundholders</w:t>
      </w:r>
      <w:proofErr w:type="spellEnd"/>
      <w:r w:rsidRPr="00CA1271">
        <w:t xml:space="preserve"> for the Rural Health Outreach Fund are appointed through a competitive process and are then required to undertake detailed needs assessment and planning in consultation with communities and local organisations.</w:t>
      </w:r>
      <w:r w:rsidR="00647B74" w:rsidRPr="00CA1271">
        <w:t xml:space="preserve"> </w:t>
      </w:r>
      <w:r w:rsidRPr="00CA1271">
        <w:t xml:space="preserve">Based on the outcomes of the planning, </w:t>
      </w:r>
      <w:proofErr w:type="spellStart"/>
      <w:r w:rsidRPr="00CA1271">
        <w:t>Fundholders</w:t>
      </w:r>
      <w:proofErr w:type="spellEnd"/>
      <w:r w:rsidRPr="00CA1271">
        <w:t xml:space="preserve"> develop proposals for service delivery and once proposals are approved, </w:t>
      </w:r>
      <w:proofErr w:type="spellStart"/>
      <w:r w:rsidRPr="00CA1271">
        <w:t>Fundholders</w:t>
      </w:r>
      <w:proofErr w:type="spellEnd"/>
      <w:r w:rsidRPr="00CA1271">
        <w:t xml:space="preserve"> are responsible for the delivery of services in accordance with the approved plans.</w:t>
      </w:r>
      <w:r w:rsidR="00647B74" w:rsidRPr="00CA1271">
        <w:t xml:space="preserve"> </w:t>
      </w:r>
    </w:p>
    <w:p w:rsidR="00C63652" w:rsidRPr="00CA1271" w:rsidRDefault="00C63652" w:rsidP="00C63652">
      <w:r w:rsidRPr="00CA1271">
        <w:t>Under these arrangements</w:t>
      </w:r>
      <w:r w:rsidR="00BC7CF0" w:rsidRPr="00CA1271">
        <w:t>,</w:t>
      </w:r>
      <w:r w:rsidRPr="00CA1271">
        <w:t xml:space="preserve"> </w:t>
      </w:r>
      <w:proofErr w:type="spellStart"/>
      <w:r w:rsidRPr="00CA1271">
        <w:t>CheckUp</w:t>
      </w:r>
      <w:proofErr w:type="spellEnd"/>
      <w:r w:rsidRPr="00CA1271">
        <w:t xml:space="preserve"> provides funding to health professionals visiting eligible locations to cover out of pocket expenses relating to the following </w:t>
      </w:r>
    </w:p>
    <w:p w:rsidR="00C63652" w:rsidRPr="00CA1271" w:rsidRDefault="00C63652" w:rsidP="00C63652">
      <w:pPr>
        <w:pStyle w:val="DotPoint"/>
      </w:pPr>
      <w:r w:rsidRPr="00CA1271">
        <w:t>Travel costs: airfares, car hire, mileage for use of personal car, taxi hire;</w:t>
      </w:r>
    </w:p>
    <w:p w:rsidR="00C63652" w:rsidRPr="00CA1271" w:rsidRDefault="00C63652" w:rsidP="00C63652">
      <w:pPr>
        <w:pStyle w:val="DotPoint"/>
      </w:pPr>
      <w:r w:rsidRPr="00CA1271">
        <w:t>Accommodation (per night);</w:t>
      </w:r>
    </w:p>
    <w:p w:rsidR="00C63652" w:rsidRPr="00CA1271" w:rsidRDefault="00C63652" w:rsidP="00C63652">
      <w:pPr>
        <w:pStyle w:val="DotPoint"/>
      </w:pPr>
      <w:r w:rsidRPr="00CA1271">
        <w:t>Meals Allowance (per meal): Breakfast, Lunch, Dinner and Incidentals;</w:t>
      </w:r>
    </w:p>
    <w:p w:rsidR="00C63652" w:rsidRPr="00CA1271" w:rsidRDefault="00C63652" w:rsidP="00C63652">
      <w:pPr>
        <w:pStyle w:val="DotPoint"/>
      </w:pPr>
      <w:r w:rsidRPr="00CA1271">
        <w:t>Administration Support (daily rate):</w:t>
      </w:r>
      <w:r w:rsidR="00647B74" w:rsidRPr="00CA1271">
        <w:t xml:space="preserve"> </w:t>
      </w:r>
      <w:r w:rsidRPr="00CA1271">
        <w:t>administrative costs associated with the delivery of outreach services, such as the organisation of appointments, processing of correspondence and follow up with patients, at the outreach location;</w:t>
      </w:r>
    </w:p>
    <w:p w:rsidR="00C63652" w:rsidRPr="00CA1271" w:rsidRDefault="00C63652" w:rsidP="00C63652">
      <w:pPr>
        <w:pStyle w:val="DotPoint"/>
      </w:pPr>
      <w:r w:rsidRPr="00CA1271">
        <w:t>Upskilling: informal or formal educational and upskilling activities that are provided at the outreach service location;</w:t>
      </w:r>
    </w:p>
    <w:p w:rsidR="00C63652" w:rsidRPr="00CA1271" w:rsidRDefault="00C63652" w:rsidP="00C63652">
      <w:pPr>
        <w:pStyle w:val="DotPoint"/>
      </w:pPr>
      <w:r w:rsidRPr="00CA1271">
        <w:t xml:space="preserve">Cultural awareness and safety training: support to undertake this training, if required; </w:t>
      </w:r>
    </w:p>
    <w:p w:rsidR="00C63652" w:rsidRPr="00CA1271" w:rsidRDefault="00C63652" w:rsidP="00C63652">
      <w:pPr>
        <w:pStyle w:val="DotPoint"/>
      </w:pPr>
      <w:r w:rsidRPr="00CA1271">
        <w:t>Equipment lease: Subject to approval; and</w:t>
      </w:r>
    </w:p>
    <w:p w:rsidR="00C63652" w:rsidRPr="00CA1271" w:rsidRDefault="00C63652" w:rsidP="00C63652">
      <w:pPr>
        <w:pStyle w:val="DotPoint"/>
      </w:pPr>
      <w:r w:rsidRPr="00CA1271">
        <w:t>Telehealth services:</w:t>
      </w:r>
      <w:r w:rsidR="00647B74" w:rsidRPr="00CA1271">
        <w:t xml:space="preserve"> </w:t>
      </w:r>
      <w:r w:rsidRPr="00CA1271">
        <w:t>hire of venue and equipment.</w:t>
      </w:r>
      <w:r w:rsidRPr="00CA1271">
        <w:rPr>
          <w:rStyle w:val="FootnoteReference"/>
        </w:rPr>
        <w:footnoteReference w:id="49"/>
      </w:r>
    </w:p>
    <w:p w:rsidR="00C63652" w:rsidRPr="00CA1271" w:rsidRDefault="00C63652" w:rsidP="00C63652">
      <w:r w:rsidRPr="00CA1271">
        <w:t>These payments are on top of any fees that may be charged to the patient or the MBS and reduce costs for the patient and increase the availability of services.</w:t>
      </w:r>
    </w:p>
    <w:p w:rsidR="00C63652" w:rsidRPr="00CA1271" w:rsidRDefault="00C63652" w:rsidP="00C63652">
      <w:r w:rsidRPr="00CA1271">
        <w:t>Return to Work South Australia also provides a schedule for travel reimbursement arguing that this allows for more flexibility in addressing the unique travel challenges of regions located further away to deliver services:</w:t>
      </w:r>
    </w:p>
    <w:p w:rsidR="00C63652" w:rsidRPr="00CA1271" w:rsidRDefault="00C63652" w:rsidP="00C63652">
      <w:pPr>
        <w:pStyle w:val="Quote1"/>
      </w:pPr>
      <w:r w:rsidRPr="00CA1271">
        <w:t>A case manager may require a service to be delivered at a location greater than 100km from the provider’s closest place of business. In these circumstances, a case manage</w:t>
      </w:r>
      <w:r w:rsidR="00BC7CF0" w:rsidRPr="00CA1271">
        <w:t>r</w:t>
      </w:r>
      <w:r w:rsidRPr="00CA1271">
        <w:t xml:space="preserve"> may approve reimbursement of the following travel expenses: economy airfares, overnight accommodation and reasonable cost for meals associated with the overnight stay, taxi fares, car parking and car hire expenses (excluding fuel costs and vehicle mileage).</w:t>
      </w:r>
      <w:r w:rsidRPr="00CA1271">
        <w:rPr>
          <w:rStyle w:val="FootnoteReference"/>
        </w:rPr>
        <w:footnoteReference w:id="50"/>
      </w:r>
    </w:p>
    <w:p w:rsidR="00C63652" w:rsidRPr="00CA1271" w:rsidRDefault="00C63652" w:rsidP="00C63652">
      <w:proofErr w:type="spellStart"/>
      <w:r w:rsidRPr="00CA1271">
        <w:t>Checkup</w:t>
      </w:r>
      <w:proofErr w:type="spellEnd"/>
      <w:r w:rsidRPr="00CA1271">
        <w:t xml:space="preserve"> also has a role in improving the coordination of services at the location where the service is provided. They aggregate the needs of individuals and match these to visiting professionals to ensure the most efficient use of resources.</w:t>
      </w:r>
    </w:p>
    <w:p w:rsidR="00C63652" w:rsidRPr="00CA1271" w:rsidRDefault="00C63652" w:rsidP="00C63652">
      <w:r w:rsidRPr="00CA1271">
        <w:t xml:space="preserve">The Review considers that there would be considerable advantages in the NDIS adopting a similar </w:t>
      </w:r>
      <w:r w:rsidR="00872D59" w:rsidRPr="00CA1271">
        <w:t xml:space="preserve">coordinated </w:t>
      </w:r>
      <w:r w:rsidRPr="00CA1271">
        <w:t>commissioning approach for the provision of travel funding to visiting service providers in outer regional, remote and very remote areas and other thin markets. This approach could ameliorate the need to commission other services, or assist in the commissioning of those services.</w:t>
      </w:r>
      <w:r w:rsidR="00954693" w:rsidRPr="00CA1271">
        <w:rPr>
          <w:rStyle w:val="FootnoteReference"/>
        </w:rPr>
        <w:footnoteReference w:id="51"/>
      </w:r>
      <w:r w:rsidRPr="00CA1271">
        <w:t xml:space="preserve"> It could also simplify the planning process</w:t>
      </w:r>
      <w:r w:rsidR="00BC7CF0" w:rsidRPr="00CA1271">
        <w:t xml:space="preserve">, </w:t>
      </w:r>
      <w:r w:rsidRPr="00CA1271">
        <w:t>as it would not be necessary for planners to work out travel amounts for plans.</w:t>
      </w:r>
    </w:p>
    <w:p w:rsidR="00C63652" w:rsidRPr="00CA1271" w:rsidRDefault="00C63652" w:rsidP="00C63652">
      <w:pPr>
        <w:pStyle w:val="Heading3"/>
        <w:keepNext w:val="0"/>
      </w:pPr>
      <w:r w:rsidRPr="00CA1271">
        <w:t>Non-labour travel costs</w:t>
      </w:r>
    </w:p>
    <w:p w:rsidR="00C63652" w:rsidRPr="00CA1271" w:rsidRDefault="00C63652" w:rsidP="00C63652">
      <w:r w:rsidRPr="00CA1271">
        <w:t xml:space="preserve">Providers incur significant non-labour costs associated with provider travel either because they maintain their own fleets or because they are required by the SCHADS Award </w:t>
      </w:r>
      <w:r w:rsidR="00BC7CF0" w:rsidRPr="00CA1271">
        <w:t xml:space="preserve">to </w:t>
      </w:r>
      <w:r w:rsidRPr="00CA1271">
        <w:t xml:space="preserve">reimburse their employees when they use their own cars to deliver supports to participants. </w:t>
      </w:r>
    </w:p>
    <w:p w:rsidR="00BC7CF0" w:rsidRPr="00CA1271" w:rsidRDefault="00C63652" w:rsidP="00C63652">
      <w:r w:rsidRPr="00CA1271">
        <w:t>Absent commissioning arrangements for travel in thin markets as discussed above, these costs can either be recognised within the overheads of providers or as a separate expense similar to the arrangements for non-labour costs of Activity Based Transport</w:t>
      </w:r>
      <w:r w:rsidR="00BC7CF0" w:rsidRPr="00CA1271">
        <w:t xml:space="preserve"> as set out in the </w:t>
      </w:r>
      <w:r w:rsidR="00BC7CF0" w:rsidRPr="00CA1271">
        <w:rPr>
          <w:i/>
        </w:rPr>
        <w:t xml:space="preserve">NDIS Price </w:t>
      </w:r>
      <w:proofErr w:type="gramStart"/>
      <w:r w:rsidR="00BC7CF0" w:rsidRPr="00CA1271">
        <w:rPr>
          <w:i/>
        </w:rPr>
        <w:t>Guide</w:t>
      </w:r>
      <w:r w:rsidR="00BC7CF0" w:rsidRPr="00CA1271">
        <w:t>:</w:t>
      </w:r>
      <w:proofErr w:type="gramEnd"/>
      <w:r w:rsidRPr="00CA1271">
        <w:t xml:space="preserve"> </w:t>
      </w:r>
    </w:p>
    <w:p w:rsidR="00BC7CF0" w:rsidRPr="00CA1271" w:rsidRDefault="00BC7CF0" w:rsidP="00BC7CF0">
      <w:pPr>
        <w:pStyle w:val="Quote1"/>
      </w:pPr>
      <w:r w:rsidRPr="00CA1271">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rsidR="00BC7CF0" w:rsidRPr="00CA1271" w:rsidRDefault="00BC7CF0" w:rsidP="00BC7CF0">
      <w:pPr>
        <w:pStyle w:val="DotPoint"/>
      </w:pPr>
      <w:r w:rsidRPr="00CA1271">
        <w:t>up to $0.85 a kilometre for a vehicle that is not modified for accessibility</w:t>
      </w:r>
    </w:p>
    <w:p w:rsidR="00BC7CF0" w:rsidRPr="00CA1271" w:rsidRDefault="00BC7CF0" w:rsidP="00BC7CF0">
      <w:pPr>
        <w:pStyle w:val="DotPoint"/>
      </w:pPr>
      <w:r w:rsidRPr="00CA1271">
        <w:t>up to $2.40 a kilometre for a vehicle that is modified for accessibility or a bus</w:t>
      </w:r>
    </w:p>
    <w:p w:rsidR="00BC7CF0" w:rsidRPr="00CA1271" w:rsidRDefault="00BC7CF0" w:rsidP="00BC7CF0">
      <w:pPr>
        <w:pStyle w:val="DotPoint"/>
      </w:pPr>
      <w:proofErr w:type="gramStart"/>
      <w:r w:rsidRPr="00CA1271">
        <w:t>other</w:t>
      </w:r>
      <w:proofErr w:type="gramEnd"/>
      <w:r w:rsidRPr="00CA1271">
        <w:t xml:space="preserve"> forms of transport or associated costs up to the full amount, such as road tolls, parking, public transport fares.</w:t>
      </w:r>
    </w:p>
    <w:p w:rsidR="00C63652" w:rsidRPr="00CA1271" w:rsidRDefault="00C63652" w:rsidP="00C63652">
      <w:r w:rsidRPr="00CA1271">
        <w:t>On balance</w:t>
      </w:r>
      <w:r w:rsidR="004B10C1" w:rsidRPr="00CA1271">
        <w:t>,</w:t>
      </w:r>
      <w:r w:rsidRPr="00CA1271">
        <w:t xml:space="preserve"> the Review considers that it is more appropriate to recognise </w:t>
      </w:r>
      <w:r w:rsidR="00BC7CF0" w:rsidRPr="00CA1271">
        <w:t xml:space="preserve">non-labour provider travel </w:t>
      </w:r>
      <w:r w:rsidRPr="00CA1271">
        <w:t>costs as they occur</w:t>
      </w:r>
      <w:r w:rsidR="00BD14D1" w:rsidRPr="00CA1271">
        <w:t xml:space="preserve"> rather than within the overhead</w:t>
      </w:r>
      <w:r w:rsidR="00F0327C" w:rsidRPr="00CA1271">
        <w:t>s</w:t>
      </w:r>
      <w:r w:rsidR="00BD14D1" w:rsidRPr="00CA1271">
        <w:t xml:space="preserve"> assumption</w:t>
      </w:r>
      <w:r w:rsidRPr="00CA1271">
        <w:t>, since they are not evenly distributed between providers. Recognising these costs separately also ensures that providers do not have an incentive to cut community based supports in order to lower their overheads.</w:t>
      </w:r>
      <w:r w:rsidR="004B10C1" w:rsidRPr="00CA1271">
        <w:t xml:space="preserve"> Providers, should however, only be able to claim for the non-labour costs associated with provider travel where the rules governing provider travel allow a claim for provider travel to be made. That is, when 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rsidR="00C63652" w:rsidRPr="00CA1271" w:rsidRDefault="00C63652" w:rsidP="00C63652">
      <w:pPr>
        <w:pStyle w:val="Heading2"/>
      </w:pPr>
      <w:bookmarkStart w:id="139" w:name="_Toc42014766"/>
      <w:r w:rsidRPr="00CA1271">
        <w:t>Recommendation</w:t>
      </w:r>
      <w:bookmarkEnd w:id="139"/>
    </w:p>
    <w:p w:rsidR="00C63652" w:rsidRPr="00CA1271" w:rsidRDefault="00C63652" w:rsidP="00C63652">
      <w:pPr>
        <w:pStyle w:val="REcommendation"/>
        <w:rPr>
          <w:b/>
        </w:rPr>
      </w:pPr>
      <w:r w:rsidRPr="00CA1271">
        <w:rPr>
          <w:b/>
        </w:rPr>
        <w:t>Provider Travel</w:t>
      </w:r>
    </w:p>
    <w:p w:rsidR="00C63652" w:rsidRPr="00CA1271" w:rsidRDefault="00C63652" w:rsidP="007A045B">
      <w:pPr>
        <w:pStyle w:val="REcommendation"/>
        <w:numPr>
          <w:ilvl w:val="1"/>
          <w:numId w:val="11"/>
        </w:numPr>
      </w:pPr>
      <w:r w:rsidRPr="00CA1271">
        <w:t xml:space="preserve">The </w:t>
      </w:r>
      <w:r w:rsidRPr="00CA1271">
        <w:rPr>
          <w:i/>
        </w:rPr>
        <w:t>NDIS Price Guide</w:t>
      </w:r>
      <w:r w:rsidRPr="00CA1271">
        <w:t xml:space="preserve"> and the </w:t>
      </w:r>
      <w:r w:rsidRPr="00CA1271">
        <w:rPr>
          <w:i/>
        </w:rPr>
        <w:t>NDIS Support Catalogue</w:t>
      </w:r>
      <w:r w:rsidRPr="00CA1271">
        <w:t xml:space="preserve"> should be amended from 1</w:t>
      </w:r>
      <w:r w:rsidR="004B10C1" w:rsidRPr="00CA1271">
        <w:t> </w:t>
      </w:r>
      <w:r w:rsidRPr="00CA1271">
        <w:t>July 2020 so that providers can claim for the non-labour costs associated with provider travel in line with the activity based transport arrangements.</w:t>
      </w:r>
      <w:r w:rsidR="007C46C9" w:rsidRPr="00CA1271">
        <w:t xml:space="preserve"> Claims </w:t>
      </w:r>
      <w:r w:rsidR="004B10C1" w:rsidRPr="00CA1271">
        <w:t xml:space="preserve">should </w:t>
      </w:r>
      <w:r w:rsidR="007C46C9" w:rsidRPr="00CA1271">
        <w:t xml:space="preserve">only be </w:t>
      </w:r>
      <w:r w:rsidR="004B10C1" w:rsidRPr="00CA1271">
        <w:t xml:space="preserve">able to be </w:t>
      </w:r>
      <w:r w:rsidR="007C46C9" w:rsidRPr="00CA1271">
        <w:t>made for the non-labour costs associated with provider travel where the rules governing provider travel allow a claim for provider travel to be made.</w:t>
      </w:r>
    </w:p>
    <w:p w:rsidR="0002418C" w:rsidRPr="00CA1271" w:rsidRDefault="0002418C" w:rsidP="0002418C">
      <w:pPr>
        <w:pStyle w:val="REcommendation"/>
        <w:keepNext w:val="0"/>
        <w:numPr>
          <w:ilvl w:val="1"/>
          <w:numId w:val="11"/>
        </w:numPr>
      </w:pPr>
      <w:bookmarkStart w:id="140" w:name="_Ref23256570"/>
      <w:bookmarkStart w:id="141" w:name="_Ref23256857"/>
      <w:bookmarkStart w:id="142" w:name="_Ref24368307"/>
      <w:r w:rsidRPr="00CA1271">
        <w:t>The NDIA should further examine the option of the commissioning of travel broker arrangements to coordinate participants and providers and pay for travel costs.</w:t>
      </w:r>
    </w:p>
    <w:p w:rsidR="00C63652" w:rsidRPr="00CA1271" w:rsidRDefault="00C63652" w:rsidP="00C63652">
      <w:pPr>
        <w:sectPr w:rsidR="00C63652" w:rsidRPr="00CA1271" w:rsidSect="00CA5B7E">
          <w:pgSz w:w="11907" w:h="16839" w:code="9"/>
          <w:pgMar w:top="1418" w:right="1418" w:bottom="1418" w:left="1418" w:header="709" w:footer="709" w:gutter="0"/>
          <w:cols w:space="708"/>
          <w:titlePg/>
          <w:docGrid w:linePitch="360"/>
        </w:sectPr>
      </w:pPr>
    </w:p>
    <w:p w:rsidR="00C63652" w:rsidRPr="00CA1271" w:rsidRDefault="00C63652" w:rsidP="00C63652">
      <w:pPr>
        <w:pStyle w:val="Heading1"/>
        <w:ind w:left="567" w:hanging="567"/>
      </w:pPr>
      <w:bookmarkStart w:id="143" w:name="_Toc42014767"/>
      <w:bookmarkStart w:id="144" w:name="_Ref42689946"/>
      <w:bookmarkStart w:id="145" w:name="_Ref42689952"/>
      <w:r w:rsidRPr="00CA1271">
        <w:t>Establishment Fees</w:t>
      </w:r>
      <w:bookmarkEnd w:id="140"/>
      <w:bookmarkEnd w:id="141"/>
      <w:bookmarkEnd w:id="142"/>
      <w:bookmarkEnd w:id="143"/>
      <w:bookmarkEnd w:id="144"/>
      <w:bookmarkEnd w:id="145"/>
    </w:p>
    <w:p w:rsidR="00C63652" w:rsidRPr="00CA1271" w:rsidRDefault="00C63652" w:rsidP="00C63652">
      <w:r w:rsidRPr="00CA1271">
        <w:t>The Review was required by its Terms of Reference to examine the current arrangements for Establishment Fees within the Scheme.</w:t>
      </w:r>
    </w:p>
    <w:p w:rsidR="00C63652" w:rsidRPr="00CA1271" w:rsidRDefault="00C63652" w:rsidP="00C63652">
      <w:pPr>
        <w:pStyle w:val="Heading2"/>
      </w:pPr>
      <w:bookmarkStart w:id="146" w:name="_Toc42014768"/>
      <w:r w:rsidRPr="00CA1271">
        <w:t>Current Arrangements</w:t>
      </w:r>
      <w:bookmarkEnd w:id="146"/>
      <w:r w:rsidRPr="00CA1271">
        <w:t xml:space="preserve"> </w:t>
      </w:r>
    </w:p>
    <w:p w:rsidR="00C63652" w:rsidRPr="00CA1271" w:rsidRDefault="00C63652" w:rsidP="00C63652">
      <w:r w:rsidRPr="00CA1271">
        <w:t xml:space="preserve">NDIS providers who are providing a significant amount (at least 20 hours per month) of daily activity and community participation supports to a participant are permitted to charge that participant’s plan an Establishment Fee when they commence providing services to the participant. This recognises the non-ongoing and not otherwise </w:t>
      </w:r>
      <w:r w:rsidR="00C4242B" w:rsidRPr="00CA1271">
        <w:t>claim</w:t>
      </w:r>
      <w:r w:rsidRPr="00CA1271">
        <w:t>able costs that providers incur in establishing arrangements and assisting participants in implementing their plan, including assessing the participant’s needs, agreeing a service agreement with the participant and setting up service bookings in the NDIA system.</w:t>
      </w:r>
    </w:p>
    <w:p w:rsidR="00C63652" w:rsidRPr="00CA1271" w:rsidRDefault="00C63652" w:rsidP="00C63652">
      <w:r w:rsidRPr="00CA1271">
        <w:t xml:space="preserve">The </w:t>
      </w:r>
      <w:r w:rsidRPr="00CA1271">
        <w:rPr>
          <w:i/>
        </w:rPr>
        <w:t>NDIS Price Guide</w:t>
      </w:r>
      <w:r w:rsidRPr="00CA1271">
        <w:t xml:space="preserve"> currently says that</w:t>
      </w:r>
      <w:r w:rsidR="00CE5CD6" w:rsidRPr="00CA1271">
        <w:t xml:space="preserve"> the Establishment Fee arrangements apply</w:t>
      </w:r>
      <w:r w:rsidRPr="00CA1271">
        <w:t>:</w:t>
      </w:r>
    </w:p>
    <w:p w:rsidR="00C63652" w:rsidRPr="00CA1271" w:rsidRDefault="00CE5CD6" w:rsidP="00C63652">
      <w:pPr>
        <w:pStyle w:val="Quote1"/>
      </w:pPr>
      <w:r w:rsidRPr="00CA1271">
        <w:t xml:space="preserve">… </w:t>
      </w:r>
      <w:r w:rsidR="00C63652" w:rsidRPr="00CA1271">
        <w:t xml:space="preserve">to all new NDIS participants in their first plan where they receive at least 20 hours of personal care/community access support per month. This payment is to cover non-ongoing costs for providers establishing arrangements and assisting participants in implementing their plan. </w:t>
      </w:r>
    </w:p>
    <w:p w:rsidR="00C63652" w:rsidRPr="00CA1271" w:rsidRDefault="00C63652" w:rsidP="00C63652">
      <w:pPr>
        <w:pStyle w:val="Quote1"/>
      </w:pPr>
      <w:r w:rsidRPr="00CA1271">
        <w:t xml:space="preserve">An Establishment Fee is claimable by the provider who assists the participant with the implementation of their NDIS Plan, delivers a minimum of 20 hours per month of personal care/community access support and has made an agreement with the participant to supply these services. </w:t>
      </w:r>
    </w:p>
    <w:p w:rsidR="00C63652" w:rsidRPr="00CA1271" w:rsidRDefault="00C63652" w:rsidP="00C63652">
      <w:pPr>
        <w:pStyle w:val="Quote1"/>
      </w:pPr>
      <w:r w:rsidRPr="00CA1271">
        <w:t>A budget of $750 is included in the first plan for NDIS participants, in case they need this type of assistance from providers to design and implement support arrangements. Providers can draw against this budget as follows:</w:t>
      </w:r>
    </w:p>
    <w:p w:rsidR="00C63652" w:rsidRPr="00CA1271" w:rsidRDefault="00C63652" w:rsidP="007A045B">
      <w:pPr>
        <w:pStyle w:val="Quote1"/>
        <w:numPr>
          <w:ilvl w:val="1"/>
          <w:numId w:val="14"/>
        </w:numPr>
        <w:ind w:hanging="284"/>
      </w:pPr>
      <w:r w:rsidRPr="00CA1271">
        <w:t>If the participant is new to the NDIS and new to the provider, then the provider can charge a maximum of $500 against the participant’s plan;</w:t>
      </w:r>
    </w:p>
    <w:p w:rsidR="00C63652" w:rsidRPr="00CA1271" w:rsidRDefault="00C63652" w:rsidP="007A045B">
      <w:pPr>
        <w:pStyle w:val="Quote1"/>
        <w:numPr>
          <w:ilvl w:val="1"/>
          <w:numId w:val="14"/>
        </w:numPr>
        <w:ind w:hanging="284"/>
      </w:pPr>
      <w:r w:rsidRPr="00CA1271">
        <w:t>If the participant is new to the NDIS but is an existing client of the provider, then the provider can charge a maximum of $250 against the participant’s plan; and</w:t>
      </w:r>
    </w:p>
    <w:p w:rsidR="00C63652" w:rsidRPr="00CA1271" w:rsidRDefault="00C63652" w:rsidP="007A045B">
      <w:pPr>
        <w:pStyle w:val="Quote1"/>
        <w:numPr>
          <w:ilvl w:val="1"/>
          <w:numId w:val="14"/>
        </w:numPr>
        <w:ind w:hanging="284"/>
      </w:pPr>
      <w:r w:rsidRPr="00CA1271">
        <w:t>If the participant is choosing to change providers, then the new provider can charge a maximum of $250 against the participant’s plan to assist the participant in changing providers.</w:t>
      </w:r>
    </w:p>
    <w:p w:rsidR="00C63652" w:rsidRPr="00CA1271" w:rsidRDefault="00C63652" w:rsidP="00C63652">
      <w:r w:rsidRPr="00CA1271">
        <w:t xml:space="preserve">The </w:t>
      </w:r>
      <w:r w:rsidRPr="00CA1271">
        <w:rPr>
          <w:i/>
        </w:rPr>
        <w:t>NDIS Support Catalogue</w:t>
      </w:r>
      <w:r w:rsidRPr="00CA1271">
        <w:t xml:space="preserve"> provides the following support item for eligible providers to claim an Establishment Fee.</w:t>
      </w:r>
    </w:p>
    <w:tbl>
      <w:tblPr>
        <w:tblStyle w:val="GridTable4-Accent4"/>
        <w:tblW w:w="5000" w:type="pct"/>
        <w:tblLook w:val="0420" w:firstRow="1" w:lastRow="0" w:firstColumn="0" w:lastColumn="0" w:noHBand="0" w:noVBand="1"/>
        <w:tblCaption w:val="Establishment Fee for Personal Care/Community Access"/>
      </w:tblPr>
      <w:tblGrid>
        <w:gridCol w:w="2439"/>
        <w:gridCol w:w="2562"/>
        <w:gridCol w:w="4060"/>
      </w:tblGrid>
      <w:tr w:rsidR="00C63652" w:rsidRPr="00CA1271" w:rsidTr="00593582">
        <w:trPr>
          <w:cnfStyle w:val="100000000000" w:firstRow="1" w:lastRow="0" w:firstColumn="0" w:lastColumn="0" w:oddVBand="0" w:evenVBand="0" w:oddHBand="0" w:evenHBand="0" w:firstRowFirstColumn="0" w:firstRowLastColumn="0" w:lastRowFirstColumn="0" w:lastRowLastColumn="0"/>
          <w:tblHeader/>
        </w:trPr>
        <w:tc>
          <w:tcPr>
            <w:tcW w:w="2439" w:type="dxa"/>
            <w:hideMark/>
          </w:tcPr>
          <w:p w:rsidR="00C63652" w:rsidRPr="00CA1271" w:rsidRDefault="00C63652" w:rsidP="00C63652">
            <w:pPr>
              <w:spacing w:before="0"/>
              <w:rPr>
                <w:rFonts w:ascii="Calibri" w:eastAsia="Times New Roman" w:hAnsi="Calibri" w:cs="Calibri"/>
                <w:b w:val="0"/>
                <w:bCs w:val="0"/>
                <w:color w:val="FFFFFF"/>
                <w:szCs w:val="18"/>
                <w:lang w:eastAsia="en-AU"/>
              </w:rPr>
            </w:pPr>
            <w:r w:rsidRPr="00CA1271">
              <w:rPr>
                <w:rFonts w:ascii="Calibri" w:eastAsia="Times New Roman" w:hAnsi="Calibri" w:cs="Calibri"/>
                <w:color w:val="FFFFFF"/>
                <w:szCs w:val="18"/>
                <w:lang w:eastAsia="en-AU"/>
              </w:rPr>
              <w:t>Support Item Number</w:t>
            </w:r>
          </w:p>
        </w:tc>
        <w:tc>
          <w:tcPr>
            <w:tcW w:w="2562" w:type="dxa"/>
            <w:hideMark/>
          </w:tcPr>
          <w:p w:rsidR="00C63652" w:rsidRPr="00CA1271" w:rsidRDefault="00C63652" w:rsidP="00C63652">
            <w:pPr>
              <w:spacing w:before="0"/>
              <w:rPr>
                <w:rFonts w:ascii="Calibri" w:eastAsia="Times New Roman" w:hAnsi="Calibri" w:cs="Calibri"/>
                <w:b w:val="0"/>
                <w:bCs w:val="0"/>
                <w:color w:val="FFFFFF"/>
                <w:szCs w:val="18"/>
                <w:lang w:eastAsia="en-AU"/>
              </w:rPr>
            </w:pPr>
            <w:r w:rsidRPr="00CA1271">
              <w:rPr>
                <w:rFonts w:ascii="Calibri" w:eastAsia="Times New Roman" w:hAnsi="Calibri" w:cs="Calibri"/>
                <w:color w:val="FFFFFF"/>
                <w:szCs w:val="18"/>
                <w:lang w:eastAsia="en-AU"/>
              </w:rPr>
              <w:t>Support Item Name</w:t>
            </w:r>
          </w:p>
        </w:tc>
        <w:tc>
          <w:tcPr>
            <w:tcW w:w="4060" w:type="dxa"/>
            <w:hideMark/>
          </w:tcPr>
          <w:p w:rsidR="00C63652" w:rsidRPr="00CA1271" w:rsidRDefault="00C63652" w:rsidP="00C63652">
            <w:pPr>
              <w:spacing w:before="0"/>
              <w:rPr>
                <w:rFonts w:ascii="Calibri" w:eastAsia="Times New Roman" w:hAnsi="Calibri" w:cs="Calibri"/>
                <w:b w:val="0"/>
                <w:bCs w:val="0"/>
                <w:color w:val="FFFFFF"/>
                <w:szCs w:val="18"/>
                <w:lang w:eastAsia="en-AU"/>
              </w:rPr>
            </w:pPr>
            <w:r w:rsidRPr="00CA1271">
              <w:rPr>
                <w:rFonts w:ascii="Calibri" w:eastAsia="Times New Roman" w:hAnsi="Calibri" w:cs="Calibri"/>
                <w:color w:val="FFFFFF"/>
                <w:szCs w:val="18"/>
                <w:lang w:eastAsia="en-AU"/>
              </w:rPr>
              <w:t>Support Item Description</w:t>
            </w:r>
          </w:p>
        </w:tc>
      </w:tr>
      <w:tr w:rsidR="00C63652" w:rsidRPr="00CA1271" w:rsidTr="006660EA">
        <w:trPr>
          <w:cnfStyle w:val="000000100000" w:firstRow="0" w:lastRow="0" w:firstColumn="0" w:lastColumn="0" w:oddVBand="0" w:evenVBand="0" w:oddHBand="1" w:evenHBand="0" w:firstRowFirstColumn="0" w:firstRowLastColumn="0" w:lastRowFirstColumn="0" w:lastRowLastColumn="0"/>
        </w:trPr>
        <w:tc>
          <w:tcPr>
            <w:tcW w:w="2439" w:type="dxa"/>
          </w:tcPr>
          <w:p w:rsidR="00C63652" w:rsidRPr="00CA1271" w:rsidRDefault="00C63652" w:rsidP="00C63652">
            <w:pPr>
              <w:spacing w:before="0"/>
              <w:rPr>
                <w:rFonts w:ascii="Calibri" w:eastAsia="Times New Roman" w:hAnsi="Calibri" w:cs="Calibri"/>
                <w:color w:val="000000"/>
                <w:szCs w:val="18"/>
                <w:lang w:eastAsia="en-AU"/>
              </w:rPr>
            </w:pPr>
            <w:r w:rsidRPr="00CA1271">
              <w:rPr>
                <w:rFonts w:ascii="Calibri" w:hAnsi="Calibri" w:cs="Calibri"/>
                <w:color w:val="000000"/>
                <w:szCs w:val="18"/>
                <w:lang w:eastAsia="en-AU"/>
              </w:rPr>
              <w:t>01_049_0107_1_1</w:t>
            </w:r>
          </w:p>
        </w:tc>
        <w:tc>
          <w:tcPr>
            <w:tcW w:w="2562" w:type="dxa"/>
          </w:tcPr>
          <w:p w:rsidR="00C63652" w:rsidRPr="00CA1271" w:rsidRDefault="00C63652" w:rsidP="00C63652">
            <w:pPr>
              <w:spacing w:before="0"/>
              <w:rPr>
                <w:rFonts w:ascii="Calibri" w:hAnsi="Calibri" w:cs="Calibri"/>
                <w:color w:val="000000"/>
                <w:szCs w:val="18"/>
              </w:rPr>
            </w:pPr>
            <w:r w:rsidRPr="00CA1271">
              <w:rPr>
                <w:rFonts w:ascii="Calibri" w:hAnsi="Calibri" w:cs="Calibri"/>
                <w:color w:val="000000"/>
                <w:szCs w:val="18"/>
                <w:lang w:eastAsia="en-AU"/>
              </w:rPr>
              <w:t>Establishment Fee For Personal Care/Community Access</w:t>
            </w:r>
          </w:p>
        </w:tc>
        <w:tc>
          <w:tcPr>
            <w:tcW w:w="4060" w:type="dxa"/>
          </w:tcPr>
          <w:p w:rsidR="00C63652" w:rsidRPr="00CA1271" w:rsidRDefault="00C63652" w:rsidP="00C63652">
            <w:pPr>
              <w:spacing w:before="0"/>
              <w:rPr>
                <w:rFonts w:ascii="Calibri" w:eastAsia="Times New Roman" w:hAnsi="Calibri" w:cs="Calibri"/>
                <w:color w:val="000000"/>
                <w:szCs w:val="18"/>
                <w:lang w:eastAsia="en-AU"/>
              </w:rPr>
            </w:pPr>
            <w:r w:rsidRPr="00CA1271">
              <w:rPr>
                <w:rFonts w:ascii="Calibri" w:hAnsi="Calibri" w:cs="Calibri"/>
                <w:color w:val="000000"/>
                <w:szCs w:val="18"/>
                <w:lang w:eastAsia="en-AU"/>
              </w:rPr>
              <w:t>Establishment Fee for Personal Care/Community Access (20 hours per month).</w:t>
            </w:r>
          </w:p>
        </w:tc>
      </w:tr>
    </w:tbl>
    <w:p w:rsidR="006660EA" w:rsidRPr="00CA1271" w:rsidRDefault="006660EA" w:rsidP="006660EA">
      <w:r w:rsidRPr="00CA1271">
        <w:t xml:space="preserve">In 2018-19, Establishment Fees were claimed by 984 different providers. Some 88 providers claimed 50 or more Establishment Fees. These providers accounted for 54.3% of the total number of Establishment Fees claimed by providers and for 51.8% of the total value of all Establishment Fees claimed by providers. Establishment Fees were claimed in respect of 17,157 participants, at a total cost of $6.39 million (19,357 total individual claims). </w:t>
      </w:r>
    </w:p>
    <w:p w:rsidR="006660EA" w:rsidRPr="00CA1271" w:rsidRDefault="006660EA" w:rsidP="006660EA">
      <w:pPr>
        <w:numPr>
          <w:ilvl w:val="0"/>
          <w:numId w:val="2"/>
        </w:numPr>
        <w:ind w:left="567" w:hanging="283"/>
      </w:pPr>
      <w:r w:rsidRPr="00CA1271">
        <w:t>15,480 participants had one Establishment Fee claimed from their plans in 2018-19. This accounted for 90.2% of those participants who had one or more Establishment Fees deducted from their plan in 2018-19.</w:t>
      </w:r>
    </w:p>
    <w:p w:rsidR="006660EA" w:rsidRPr="00CA1271" w:rsidRDefault="006660EA" w:rsidP="006660EA">
      <w:pPr>
        <w:numPr>
          <w:ilvl w:val="0"/>
          <w:numId w:val="2"/>
        </w:numPr>
        <w:ind w:left="567" w:hanging="283"/>
      </w:pPr>
      <w:r w:rsidRPr="00CA1271">
        <w:t>1,390 participants had two Establishment Fees claimed from their plans in 2018-19. This accounted for 8.1% of those participants who had one or more Establishment Fees deducted from their plan in 2018-19.</w:t>
      </w:r>
    </w:p>
    <w:p w:rsidR="006660EA" w:rsidRPr="00CA1271" w:rsidRDefault="006660EA" w:rsidP="006660EA">
      <w:pPr>
        <w:numPr>
          <w:ilvl w:val="0"/>
          <w:numId w:val="2"/>
        </w:numPr>
        <w:ind w:left="567" w:hanging="283"/>
      </w:pPr>
      <w:r w:rsidRPr="00CA1271">
        <w:t>287 participants had three or more three or more Establishment Fees claimed from their plans in 2018-19. This accounted for 1.7% of those participants who had one or more Establishment Fees deducted from their plan in 2018-19.</w:t>
      </w:r>
    </w:p>
    <w:p w:rsidR="00C63652" w:rsidRPr="00CA1271" w:rsidRDefault="00C63652" w:rsidP="00C63652">
      <w:pPr>
        <w:pStyle w:val="Heading2"/>
        <w:rPr>
          <w:rFonts w:cs="Arial"/>
        </w:rPr>
      </w:pPr>
      <w:bookmarkStart w:id="147" w:name="_Toc42014769"/>
      <w:r w:rsidRPr="00CA1271">
        <w:rPr>
          <w:rFonts w:cs="Times New Roman"/>
        </w:rPr>
        <w:t>Consultations</w:t>
      </w:r>
      <w:bookmarkEnd w:id="147"/>
    </w:p>
    <w:p w:rsidR="00C63652" w:rsidRPr="00CA1271" w:rsidRDefault="00C63652" w:rsidP="00C63652">
      <w:pPr>
        <w:rPr>
          <w:rFonts w:cs="Arial"/>
        </w:rPr>
      </w:pPr>
      <w:r w:rsidRPr="00CA1271">
        <w:rPr>
          <w:rFonts w:cs="Arial"/>
        </w:rPr>
        <w:t xml:space="preserve">The </w:t>
      </w:r>
      <w:r w:rsidRPr="00CA1271">
        <w:rPr>
          <w:rFonts w:cs="Arial"/>
          <w:i/>
        </w:rPr>
        <w:t>Issues Paper</w:t>
      </w:r>
      <w:r w:rsidRPr="00CA1271">
        <w:rPr>
          <w:rFonts w:cs="Arial"/>
        </w:rPr>
        <w:t xml:space="preserve"> sought feedback on a number of issues with the current arrangements that had been raised by stakeholders, including:</w:t>
      </w:r>
    </w:p>
    <w:p w:rsidR="00C63652" w:rsidRPr="00CA1271" w:rsidRDefault="00C63652" w:rsidP="00C63652">
      <w:pPr>
        <w:pStyle w:val="DotPoint"/>
      </w:pPr>
      <w:r w:rsidRPr="00CA1271">
        <w:t>Whether providers should be able to charge an Establishment Fee to a participant if they commence to provide services to the participant in their second or subsequent plan?</w:t>
      </w:r>
    </w:p>
    <w:p w:rsidR="00C63652" w:rsidRPr="00CA1271" w:rsidRDefault="00C63652" w:rsidP="00C63652">
      <w:pPr>
        <w:pStyle w:val="DotPoint"/>
      </w:pPr>
      <w:r w:rsidRPr="00CA1271">
        <w:t>Whether more than one provider should be able to charge an Establishment Fee at the same time – if, for example, a participant has more than one provider who is supplying at least 20 hours per month of daily activity and community participation supports?</w:t>
      </w:r>
    </w:p>
    <w:p w:rsidR="00C63652" w:rsidRPr="00CA1271" w:rsidRDefault="00C63652" w:rsidP="00C63652">
      <w:pPr>
        <w:pStyle w:val="DotPoint"/>
      </w:pPr>
      <w:r w:rsidRPr="00CA1271">
        <w:t>Whether a third or subsequent provider in a given year should be able to charge an Establishment Fee if a participant chooses to change provider more than once?</w:t>
      </w:r>
    </w:p>
    <w:p w:rsidR="00C63652" w:rsidRPr="00CA1271" w:rsidRDefault="00C63652" w:rsidP="00C63652">
      <w:pPr>
        <w:pStyle w:val="DotPoint"/>
      </w:pPr>
      <w:r w:rsidRPr="00CA1271">
        <w:t>Whether the current amount payable for Establishment Fees represented value for money for participants and allowed providers to recover the costs of establishing services for participants, including establishing service bookings in the NDIA payment system?</w:t>
      </w:r>
    </w:p>
    <w:p w:rsidR="00C63652" w:rsidRPr="00CA1271" w:rsidRDefault="00C63652" w:rsidP="00C63652">
      <w:pPr>
        <w:pStyle w:val="DotPoint"/>
      </w:pPr>
      <w:r w:rsidRPr="00CA1271">
        <w:t>Whether other types of providers should be able to charge an Establishment Fee?</w:t>
      </w:r>
    </w:p>
    <w:p w:rsidR="00C63652" w:rsidRPr="00CA1271" w:rsidRDefault="00C63652" w:rsidP="00C63652">
      <w:pPr>
        <w:rPr>
          <w:rFonts w:cs="Arial"/>
        </w:rPr>
      </w:pPr>
      <w:r w:rsidRPr="00CA1271">
        <w:t xml:space="preserve">In response to the </w:t>
      </w:r>
      <w:r w:rsidRPr="00CA1271">
        <w:rPr>
          <w:i/>
        </w:rPr>
        <w:t>Issues Paper</w:t>
      </w:r>
      <w:r w:rsidRPr="00CA1271">
        <w:t xml:space="preserve">, some submissions from providers argued that Establishment Fees should be payable whenever a participant starts receiving services from a provider, regardless on whether the participant was on their first or subsequent NDIS plan. </w:t>
      </w:r>
      <w:r w:rsidRPr="00CA1271">
        <w:rPr>
          <w:rFonts w:cs="Arial"/>
        </w:rPr>
        <w:t>Submissions suggested that it was the need to establish arrangements for a new participant to the provider that triggered the relevant costs.</w:t>
      </w:r>
    </w:p>
    <w:p w:rsidR="00C63652" w:rsidRPr="00CA1271" w:rsidRDefault="00C63652" w:rsidP="00C63652">
      <w:r w:rsidRPr="00CA1271">
        <w:t>Some submissions also argued that the current rules were not clear and appeared complex, and could be simplified. Submissions also argued that providers should also be able to charge an Establishment Fee, perhaps at a reduced rate, for second and subsequent plans</w:t>
      </w:r>
      <w:r w:rsidR="00554B9C" w:rsidRPr="00CA1271">
        <w:t>,</w:t>
      </w:r>
      <w:r w:rsidRPr="00CA1271">
        <w:t xml:space="preserve"> as providers have to re-establish service agreements with participants and service bookings in the NDIA system at the start of each plan.</w:t>
      </w:r>
    </w:p>
    <w:p w:rsidR="00C63652" w:rsidRPr="00CA1271" w:rsidRDefault="00C63652" w:rsidP="00C63652">
      <w:r w:rsidRPr="00CA1271">
        <w:t xml:space="preserve">Other submissions suggested that Establishment Fees should also be payable in respect of other supports in the </w:t>
      </w:r>
      <w:r w:rsidRPr="00CA1271">
        <w:rPr>
          <w:i/>
        </w:rPr>
        <w:t>NDIS Support Catalogue</w:t>
      </w:r>
      <w:r w:rsidRPr="00CA1271">
        <w:t xml:space="preserve">. Suggestions ranged from specific capacity building supports (‘Improved Learning’, ‘Support Coordination’ and ‘Improved Relationships’), to all capacity-building supports and even all support categories. </w:t>
      </w:r>
    </w:p>
    <w:p w:rsidR="00C63652" w:rsidRPr="00CA1271" w:rsidRDefault="00C63652" w:rsidP="00C63652">
      <w:r w:rsidRPr="00CA1271">
        <w:t xml:space="preserve">There </w:t>
      </w:r>
      <w:r w:rsidR="002636C2" w:rsidRPr="00CA1271">
        <w:t xml:space="preserve">were mixed views on </w:t>
      </w:r>
      <w:r w:rsidRPr="00CA1271">
        <w:t>the adequacy of the current Establishment Fee arrangement</w:t>
      </w:r>
      <w:r w:rsidR="002636C2" w:rsidRPr="00CA1271">
        <w:t>s</w:t>
      </w:r>
      <w:r w:rsidRPr="00CA1271">
        <w:t xml:space="preserve">. </w:t>
      </w:r>
      <w:r w:rsidR="002636C2" w:rsidRPr="00CA1271">
        <w:t xml:space="preserve">Respondents who indicated that the </w:t>
      </w:r>
      <w:r w:rsidRPr="00CA1271">
        <w:t xml:space="preserve">current price limits were adequate, suggested that the same price limit should apply to all new and revised plans or that to </w:t>
      </w:r>
      <w:r w:rsidR="002636C2" w:rsidRPr="00CA1271">
        <w:t xml:space="preserve">all </w:t>
      </w:r>
      <w:r w:rsidRPr="00CA1271">
        <w:t xml:space="preserve">new participants to </w:t>
      </w:r>
      <w:r w:rsidR="002636C2" w:rsidRPr="00CA1271">
        <w:t xml:space="preserve">a </w:t>
      </w:r>
      <w:r w:rsidRPr="00CA1271">
        <w:t>provider.</w:t>
      </w:r>
      <w:r w:rsidR="00197153" w:rsidRPr="00CA1271">
        <w:t xml:space="preserve"> </w:t>
      </w:r>
      <w:r w:rsidR="002636C2" w:rsidRPr="00CA1271">
        <w:t xml:space="preserve">Some respondents who indicated that the current price limits were </w:t>
      </w:r>
      <w:r w:rsidRPr="00CA1271">
        <w:t xml:space="preserve">inadequate, suggested </w:t>
      </w:r>
      <w:r w:rsidR="002636C2" w:rsidRPr="00CA1271">
        <w:t xml:space="preserve">that the price limit should be </w:t>
      </w:r>
      <w:r w:rsidRPr="00CA1271">
        <w:t>increase</w:t>
      </w:r>
      <w:r w:rsidR="002636C2" w:rsidRPr="00CA1271">
        <w:t>d</w:t>
      </w:r>
      <w:r w:rsidRPr="00CA1271">
        <w:t xml:space="preserve"> by $250</w:t>
      </w:r>
      <w:r w:rsidR="002636C2" w:rsidRPr="00CA1271">
        <w:t xml:space="preserve">. Others suggested </w:t>
      </w:r>
      <w:r w:rsidRPr="00CA1271">
        <w:t>an increase in the minimum price limit to establish supports for a new customer, or a tiered system based on higher intensity needs of participants. Other submissions suggested that the current arrangements do not adequately consider the number of hours required to establish services for a participant or the service type of support.</w:t>
      </w:r>
    </w:p>
    <w:p w:rsidR="00C63652" w:rsidRPr="00CA1271" w:rsidRDefault="00C63652" w:rsidP="00C63652">
      <w:r w:rsidRPr="00CA1271">
        <w:t xml:space="preserve">Almost all submissions suggested that the amount of the Establishment Fee should be indexed. It was suggested that the most appropriate way to index Establishment Fees was to link it to the type of support that it best aligns. </w:t>
      </w:r>
    </w:p>
    <w:p w:rsidR="00C63652" w:rsidRPr="00CA1271" w:rsidRDefault="00C63652" w:rsidP="00C63652">
      <w:r w:rsidRPr="00CA1271">
        <w:t xml:space="preserve">Several submissions raised concerns such as inconsistencies across the </w:t>
      </w:r>
      <w:r w:rsidR="002636C2" w:rsidRPr="00CA1271">
        <w:rPr>
          <w:i/>
        </w:rPr>
        <w:t xml:space="preserve">NDIS </w:t>
      </w:r>
      <w:r w:rsidRPr="00CA1271">
        <w:rPr>
          <w:i/>
        </w:rPr>
        <w:t>Price Guide</w:t>
      </w:r>
      <w:r w:rsidRPr="00CA1271">
        <w:t xml:space="preserve"> and the </w:t>
      </w:r>
      <w:r w:rsidR="002636C2" w:rsidRPr="00CA1271">
        <w:rPr>
          <w:i/>
        </w:rPr>
        <w:t xml:space="preserve">NDIS </w:t>
      </w:r>
      <w:r w:rsidRPr="00CA1271">
        <w:rPr>
          <w:i/>
        </w:rPr>
        <w:t>Support Catalogue</w:t>
      </w:r>
      <w:r w:rsidRPr="00CA1271">
        <w:t xml:space="preserve"> and that the Establishment Fee only appears in the Daily Activities support category for claiming, limiting claiming by community access providers.</w:t>
      </w:r>
    </w:p>
    <w:p w:rsidR="00C63652" w:rsidRPr="00CA1271" w:rsidRDefault="00C63652" w:rsidP="00C63652">
      <w:pPr>
        <w:pStyle w:val="Heading2"/>
      </w:pPr>
      <w:bookmarkStart w:id="148" w:name="_Toc42014770"/>
      <w:r w:rsidRPr="00CA1271">
        <w:t>Research</w:t>
      </w:r>
      <w:bookmarkEnd w:id="148"/>
    </w:p>
    <w:p w:rsidR="00C63652" w:rsidRPr="00CA1271" w:rsidRDefault="00C63652" w:rsidP="00C63652">
      <w:pPr>
        <w:rPr>
          <w:rFonts w:cs="Arial"/>
        </w:rPr>
      </w:pPr>
      <w:r w:rsidRPr="00CA1271">
        <w:rPr>
          <w:rFonts w:cs="Arial"/>
        </w:rPr>
        <w:t xml:space="preserve">The NDIA has identified that Establishment Fees for </w:t>
      </w:r>
      <w:r w:rsidR="00CE5CD6" w:rsidRPr="00CA1271">
        <w:rPr>
          <w:rFonts w:cs="Arial"/>
        </w:rPr>
        <w:t>similar services</w:t>
      </w:r>
      <w:r w:rsidRPr="00CA1271">
        <w:rPr>
          <w:rFonts w:cs="Arial"/>
        </w:rPr>
        <w:t xml:space="preserve"> are payable in some other schemes, including</w:t>
      </w:r>
      <w:r w:rsidR="00560CFB" w:rsidRPr="00CA1271">
        <w:rPr>
          <w:rFonts w:cs="Arial"/>
        </w:rPr>
        <w:t xml:space="preserve"> (as at 1 July 2019)</w:t>
      </w:r>
      <w:r w:rsidRPr="00CA1271">
        <w:rPr>
          <w:rFonts w:cs="Arial"/>
        </w:rPr>
        <w:t>:</w:t>
      </w:r>
    </w:p>
    <w:p w:rsidR="00D72D43" w:rsidRPr="00CA1271" w:rsidRDefault="00D72D43" w:rsidP="00D72D43">
      <w:pPr>
        <w:pStyle w:val="DotPoint"/>
      </w:pPr>
      <w:proofErr w:type="spellStart"/>
      <w:proofErr w:type="gramStart"/>
      <w:r w:rsidRPr="00CA1271">
        <w:t>icare</w:t>
      </w:r>
      <w:proofErr w:type="spellEnd"/>
      <w:proofErr w:type="gramEnd"/>
      <w:r w:rsidRPr="00CA1271">
        <w:t xml:space="preserve"> New South Wales – A one-off Program Establishment Fee for participants who receive support from a provider for more than three months of $1,214.06 for participants receiving up to 34 hours of support per week and $1,517.58 for participants receiving more than 34 hours of support per week. The payment is intended to assist with the costs associated with recruitment campaigns, the organisation of additional training for support workers, and time to visit and collaborate with the participant to develop the attendant care program.</w:t>
      </w:r>
    </w:p>
    <w:p w:rsidR="00560CFB" w:rsidRPr="00CA1271" w:rsidRDefault="00C63652" w:rsidP="001A6530">
      <w:pPr>
        <w:pStyle w:val="DotPoint"/>
      </w:pPr>
      <w:r w:rsidRPr="00CA1271">
        <w:t>Victorian Transport Accident Commission</w:t>
      </w:r>
      <w:r w:rsidR="006132F7" w:rsidRPr="00CA1271">
        <w:t xml:space="preserve"> (TAC) – </w:t>
      </w:r>
      <w:r w:rsidR="009C7822" w:rsidRPr="00CA1271">
        <w:t>A</w:t>
      </w:r>
      <w:r w:rsidRPr="00CA1271">
        <w:t xml:space="preserve"> one-off Establishment Fee of </w:t>
      </w:r>
      <w:r w:rsidR="009C7822" w:rsidRPr="00CA1271">
        <w:t xml:space="preserve">up to </w:t>
      </w:r>
      <w:r w:rsidRPr="00CA1271">
        <w:t>$1,</w:t>
      </w:r>
      <w:r w:rsidR="006132F7" w:rsidRPr="00CA1271">
        <w:t>328.17 is payable to a s</w:t>
      </w:r>
      <w:r w:rsidRPr="00CA1271">
        <w:t xml:space="preserve">ervice </w:t>
      </w:r>
      <w:r w:rsidR="006132F7" w:rsidRPr="00CA1271">
        <w:t>p</w:t>
      </w:r>
      <w:r w:rsidRPr="00CA1271">
        <w:t xml:space="preserve">rovider </w:t>
      </w:r>
      <w:r w:rsidR="002636C2" w:rsidRPr="00CA1271">
        <w:t>who provides</w:t>
      </w:r>
      <w:r w:rsidRPr="00CA1271">
        <w:t xml:space="preserve"> </w:t>
      </w:r>
      <w:r w:rsidR="006132F7" w:rsidRPr="00CA1271">
        <w:t xml:space="preserve">a </w:t>
      </w:r>
      <w:r w:rsidRPr="00CA1271">
        <w:t xml:space="preserve">TAC Client with </w:t>
      </w:r>
      <w:r w:rsidR="006132F7" w:rsidRPr="00CA1271">
        <w:t>four</w:t>
      </w:r>
      <w:r w:rsidRPr="00CA1271">
        <w:t xml:space="preserve"> hours or more of services per billing period, for more than three consecutive months</w:t>
      </w:r>
      <w:r w:rsidR="009C7822" w:rsidRPr="00CA1271">
        <w:t>.</w:t>
      </w:r>
      <w:r w:rsidR="002636C2" w:rsidRPr="00CA1271">
        <w:t xml:space="preserve"> </w:t>
      </w:r>
      <w:r w:rsidR="009C7822" w:rsidRPr="00CA1271">
        <w:t>The payment is intended</w:t>
      </w:r>
      <w:r w:rsidRPr="00CA1271">
        <w:t xml:space="preserve"> to assist </w:t>
      </w:r>
      <w:r w:rsidR="009C7822" w:rsidRPr="00CA1271">
        <w:t>with the costs of the</w:t>
      </w:r>
      <w:r w:rsidRPr="00CA1271">
        <w:t xml:space="preserve"> recruitment of new personnel, </w:t>
      </w:r>
      <w:r w:rsidR="009C7822" w:rsidRPr="00CA1271">
        <w:t xml:space="preserve">the </w:t>
      </w:r>
      <w:r w:rsidRPr="00CA1271">
        <w:t>development of a care plan and training plan, as well as compliance with Occupational Health and Safety site audit requirements.</w:t>
      </w:r>
      <w:r w:rsidR="008215B2" w:rsidRPr="00CA1271">
        <w:rPr>
          <w:rStyle w:val="FootnoteReference"/>
        </w:rPr>
        <w:t xml:space="preserve"> </w:t>
      </w:r>
    </w:p>
    <w:p w:rsidR="00560CFB" w:rsidRPr="00CA1271" w:rsidRDefault="00560CFB" w:rsidP="001A6530">
      <w:pPr>
        <w:pStyle w:val="DotPoint"/>
      </w:pPr>
      <w:r w:rsidRPr="00CA1271">
        <w:t>Worksafe Victoria</w:t>
      </w:r>
      <w:r w:rsidR="009C7822" w:rsidRPr="00CA1271">
        <w:t xml:space="preserve"> – An </w:t>
      </w:r>
      <w:r w:rsidR="008215B2" w:rsidRPr="00CA1271">
        <w:t xml:space="preserve">Establishment Fee of up to $1,207.32 payable after a provider has provided at least four hours of attendant care in three consecutive billing periods to assist with the costs of the </w:t>
      </w:r>
      <w:r w:rsidR="009C7822" w:rsidRPr="00CA1271">
        <w:t>recruitment of new personnel.</w:t>
      </w:r>
      <w:r w:rsidR="002636C2" w:rsidRPr="00CA1271">
        <w:t xml:space="preserve"> </w:t>
      </w:r>
      <w:r w:rsidR="009C7822" w:rsidRPr="00CA1271">
        <w:t>The payment is intended to assist with the costs of t</w:t>
      </w:r>
      <w:r w:rsidR="008215B2" w:rsidRPr="00CA1271">
        <w:t>he development of support and training plans; and compliance with OHS site requirements.</w:t>
      </w:r>
      <w:r w:rsidR="008215B2" w:rsidRPr="00CA1271">
        <w:rPr>
          <w:rStyle w:val="FootnoteReference"/>
        </w:rPr>
        <w:footnoteReference w:id="52"/>
      </w:r>
    </w:p>
    <w:p w:rsidR="00C63652" w:rsidRPr="00CA1271" w:rsidRDefault="00C63652" w:rsidP="00C63652">
      <w:pPr>
        <w:rPr>
          <w:rFonts w:cs="Arial"/>
        </w:rPr>
      </w:pPr>
      <w:r w:rsidRPr="00CA1271">
        <w:rPr>
          <w:rFonts w:cs="Arial"/>
        </w:rPr>
        <w:t xml:space="preserve">Note, however, that NDIS Establishment Fees are not intended to cover </w:t>
      </w:r>
      <w:r w:rsidR="00C806B4" w:rsidRPr="00CA1271">
        <w:rPr>
          <w:rFonts w:cs="Arial"/>
        </w:rPr>
        <w:t>many of the costs identified above (potential recruitment costs of new personnel, training of staff and development of a care plan). In general the NDIS arrangements view these costs as part of the normal operating costs of providers. P</w:t>
      </w:r>
      <w:r w:rsidRPr="00CA1271">
        <w:rPr>
          <w:rFonts w:cs="Arial"/>
        </w:rPr>
        <w:t>articipant specific training is claimable through the NDIS non-face-to-face claiming arrangements.</w:t>
      </w:r>
    </w:p>
    <w:p w:rsidR="00C63652" w:rsidRPr="00CA1271" w:rsidRDefault="00C63652" w:rsidP="00C63652">
      <w:pPr>
        <w:pStyle w:val="Heading2"/>
      </w:pPr>
      <w:bookmarkStart w:id="149" w:name="_Toc42014771"/>
      <w:r w:rsidRPr="00CA1271">
        <w:t>Discussion</w:t>
      </w:r>
      <w:bookmarkEnd w:id="149"/>
    </w:p>
    <w:p w:rsidR="00C63652" w:rsidRPr="00CA1271" w:rsidRDefault="00C63652" w:rsidP="00C63652">
      <w:pPr>
        <w:pStyle w:val="Heading3"/>
      </w:pPr>
      <w:r w:rsidRPr="00CA1271">
        <w:t>Who should be able to claim for Establishment Fees?</w:t>
      </w:r>
    </w:p>
    <w:p w:rsidR="00C63652" w:rsidRPr="00CA1271" w:rsidRDefault="00C63652" w:rsidP="00C63652">
      <w:r w:rsidRPr="00CA1271">
        <w:t xml:space="preserve">There are technical deficiencies in the current arrangements. First, the </w:t>
      </w:r>
      <w:r w:rsidRPr="00CA1271">
        <w:rPr>
          <w:i/>
        </w:rPr>
        <w:t>NDIS Price Guide</w:t>
      </w:r>
      <w:r w:rsidRPr="00CA1271">
        <w:t xml:space="preserve"> says that Establishment Fees may be claimed by providers in respect of “all new NDIS participants in their first plan where they receive at least 20 hours of personal care/community access support per month.” However, the terms “personal care” and “community access” are not defined in the </w:t>
      </w:r>
      <w:r w:rsidRPr="00CA1271">
        <w:rPr>
          <w:i/>
        </w:rPr>
        <w:t>NDIS Price Guide</w:t>
      </w:r>
      <w:r w:rsidRPr="00CA1271">
        <w:t xml:space="preserve">. Moreover, because the Establishment Fee support item is linked to Registration Group 0107 (Daily Personal Activities) only providers registered in that Registration Group can currently claim for Establishment Fees. In particular, providers in the Registration Groups 0104 (High Intensity Daily Personal Activities), 0125 (Participation in community, social and civic activities) and 0136 (Group and Centre Based Activities) </w:t>
      </w:r>
      <w:r w:rsidR="00026096" w:rsidRPr="00CA1271">
        <w:t xml:space="preserve">cannot </w:t>
      </w:r>
      <w:r w:rsidR="00CE5CD6" w:rsidRPr="00CA1271">
        <w:t xml:space="preserve">currently </w:t>
      </w:r>
      <w:r w:rsidR="00026096" w:rsidRPr="00CA1271">
        <w:t>claim Establishment Fees</w:t>
      </w:r>
      <w:r w:rsidR="00CE5CD6" w:rsidRPr="00CA1271">
        <w:t xml:space="preserve"> unless they are also in Registration Group 0107</w:t>
      </w:r>
      <w:r w:rsidR="00026096" w:rsidRPr="00CA1271">
        <w:t>.</w:t>
      </w:r>
    </w:p>
    <w:p w:rsidR="00C63652" w:rsidRPr="00CA1271" w:rsidRDefault="00C63652" w:rsidP="00C63652">
      <w:r w:rsidRPr="00CA1271">
        <w:t>Th</w:t>
      </w:r>
      <w:r w:rsidR="0008512C" w:rsidRPr="00CA1271">
        <w:t>e</w:t>
      </w:r>
      <w:r w:rsidRPr="00CA1271">
        <w:t xml:space="preserve"> Review considers that this issue should be addressed by more clearly specifying in the </w:t>
      </w:r>
      <w:r w:rsidRPr="00CA1271">
        <w:rPr>
          <w:i/>
        </w:rPr>
        <w:t>NDIS Price Guide</w:t>
      </w:r>
      <w:r w:rsidRPr="00CA1271">
        <w:t xml:space="preserve"> that providers in these four Registration groups are entitled to claim for Establishment Fees if they meet the relevant eligibility requirements. It would also be necessary to create new Establishment Fee support items in Support Category 1 (Assistance with Daily Life) and Support Category 4 (Assistance with Social and Community Participation) for the relevant Registration Groups.</w:t>
      </w:r>
    </w:p>
    <w:p w:rsidR="00C63652" w:rsidRPr="00CA1271" w:rsidRDefault="00C63652" w:rsidP="00C63652">
      <w:pPr>
        <w:rPr>
          <w:rFonts w:cs="Arial"/>
        </w:rPr>
      </w:pPr>
      <w:r w:rsidRPr="00CA1271">
        <w:t xml:space="preserve">Although several submissions suggested that </w:t>
      </w:r>
      <w:r w:rsidR="0008512C" w:rsidRPr="00CA1271">
        <w:t xml:space="preserve">providers of </w:t>
      </w:r>
      <w:r w:rsidRPr="00CA1271">
        <w:t xml:space="preserve">other types of </w:t>
      </w:r>
      <w:r w:rsidR="0008512C" w:rsidRPr="00CA1271">
        <w:t xml:space="preserve">support </w:t>
      </w:r>
      <w:r w:rsidRPr="00CA1271">
        <w:t xml:space="preserve">should also be able to claim for Establishment Fees, the Review does not consider that the arguments for this change were strong. </w:t>
      </w:r>
      <w:r w:rsidRPr="00CA1271">
        <w:rPr>
          <w:rFonts w:cs="Arial"/>
        </w:rPr>
        <w:t xml:space="preserve">Most other types of support are unlikely to meet the eligibility requirement of at least 20 hours a month for the duration of the plan. In addition, most capacity building supports already have a considerable allowance for non-billable hours built into their price limits and the ability to </w:t>
      </w:r>
      <w:r w:rsidR="00C4242B" w:rsidRPr="00CA1271">
        <w:rPr>
          <w:rFonts w:cs="Arial"/>
        </w:rPr>
        <w:t xml:space="preserve">claim </w:t>
      </w:r>
      <w:r w:rsidRPr="00CA1271">
        <w:rPr>
          <w:rFonts w:cs="Arial"/>
        </w:rPr>
        <w:t>for non-face-to-face supports.</w:t>
      </w:r>
    </w:p>
    <w:p w:rsidR="00C63652" w:rsidRPr="00CA1271" w:rsidRDefault="00C63652" w:rsidP="00C63652">
      <w:pPr>
        <w:pStyle w:val="Heading3"/>
      </w:pPr>
      <w:r w:rsidRPr="00CA1271">
        <w:t>When should Establishment Fees be claimable?</w:t>
      </w:r>
    </w:p>
    <w:p w:rsidR="00C63652" w:rsidRPr="00CA1271" w:rsidRDefault="00C63652" w:rsidP="00C63652">
      <w:r w:rsidRPr="00CA1271">
        <w:t>Currently, Establishment Fees are only claimable during a participant’s first plan and are only claimable by “the provider who assists the participant with the implementation of their NDIS Plan” and “delivers a minimum of 20 hours per month”.</w:t>
      </w:r>
      <w:r w:rsidR="00197153" w:rsidRPr="00CA1271">
        <w:t xml:space="preserve"> </w:t>
      </w:r>
    </w:p>
    <w:p w:rsidR="00C63652" w:rsidRPr="00CA1271" w:rsidRDefault="00C63652" w:rsidP="00C63652">
      <w:r w:rsidRPr="00CA1271">
        <w:t xml:space="preserve">There is some evidence that providers face additional establishment (or maintenance) costs in second and subsequent plans. First, whether or not a participant is on their first or a later plan, if they are new to a provider then that provider will still face the usual establishment costs. Second, even if a participant stays with a provider for their second or subsequent plan, the provider </w:t>
      </w:r>
      <w:r w:rsidR="0008512C" w:rsidRPr="00CA1271">
        <w:t xml:space="preserve">may </w:t>
      </w:r>
      <w:r w:rsidRPr="00CA1271">
        <w:t>still face</w:t>
      </w:r>
      <w:r w:rsidR="0008512C" w:rsidRPr="00CA1271">
        <w:t xml:space="preserve"> some</w:t>
      </w:r>
      <w:r w:rsidRPr="00CA1271">
        <w:t xml:space="preserve"> establishment costs with each plan as they must negotiate a service offering and agreement with the participant and enter new service bookings into the NDIS system. Currently providers need to absorb these costs into their overheads.</w:t>
      </w:r>
    </w:p>
    <w:p w:rsidR="00C63652" w:rsidRPr="00CA1271" w:rsidRDefault="00C63652" w:rsidP="00C63652">
      <w:r w:rsidRPr="00CA1271">
        <w:t>On balance, the Review considers that Establishment Fees should be able to be claimed from a participant’s plan in second and subsequent plans if they choose to change providers. This will also help empower participants w</w:t>
      </w:r>
      <w:r w:rsidR="00026096" w:rsidRPr="00CA1271">
        <w:t>ithin the NDIS provider market.</w:t>
      </w:r>
      <w:r w:rsidR="00560CFB" w:rsidRPr="00CA1271">
        <w:t xml:space="preserve"> The Review does not consider that </w:t>
      </w:r>
      <w:r w:rsidR="00197153" w:rsidRPr="00CA1271">
        <w:t>there is a strong argument for providers to be able to claim a second Establishment Fee in respect of a participant. A provider’s relations</w:t>
      </w:r>
      <w:r w:rsidR="0008512C" w:rsidRPr="00CA1271">
        <w:t>hip with a participant should continually evolve</w:t>
      </w:r>
      <w:r w:rsidR="00197153" w:rsidRPr="00CA1271">
        <w:t xml:space="preserve"> and the costs of managing that relationship are part of the normal cost structure of delivering services.</w:t>
      </w:r>
    </w:p>
    <w:p w:rsidR="00C63652" w:rsidRPr="00CA1271" w:rsidRDefault="00C63652" w:rsidP="00C63652">
      <w:pPr>
        <w:pStyle w:val="Heading3"/>
      </w:pPr>
      <w:r w:rsidRPr="00CA1271">
        <w:t>How much should the Establishment Fee be?</w:t>
      </w:r>
    </w:p>
    <w:p w:rsidR="00C63652" w:rsidRPr="00CA1271" w:rsidRDefault="00C63652" w:rsidP="00C63652">
      <w:r w:rsidRPr="00CA1271">
        <w:t xml:space="preserve">Currently, the base rate of the Establishment Fee is $500, but this is only payable if the participant is both new to the NDIS and new to the provider. A lower Establishment Fee </w:t>
      </w:r>
      <w:r w:rsidR="00554B9C" w:rsidRPr="00CA1271">
        <w:t xml:space="preserve">of </w:t>
      </w:r>
      <w:r w:rsidRPr="00CA1271">
        <w:t>$250 is payable If the participant is new to the NDIS but is an existing client of the provider, o</w:t>
      </w:r>
      <w:r w:rsidR="00554B9C" w:rsidRPr="00CA1271">
        <w:t>r</w:t>
      </w:r>
      <w:r w:rsidRPr="00CA1271">
        <w:t xml:space="preserve"> if the participant is choosing to change providers. These amounts have not been changed since the Scheme’s commencement. </w:t>
      </w:r>
    </w:p>
    <w:p w:rsidR="00C63652" w:rsidRPr="00CA1271" w:rsidRDefault="00C63652" w:rsidP="00C63652">
      <w:r w:rsidRPr="00CA1271">
        <w:t xml:space="preserve">There are a number of deficiencies in the current arrangements. First, the class of participants who are new to the NDIS but known to the provider, while an important consideration in the roll out of the NDIS, when many participants transitioned into the NDIS from other schemes while staying with their former providers, is now increasingly less relevant given that the Scheme is almost fully rolled </w:t>
      </w:r>
      <w:r w:rsidR="00554B9C" w:rsidRPr="00CA1271">
        <w:t>out.</w:t>
      </w:r>
      <w:r w:rsidR="00197153" w:rsidRPr="00CA1271">
        <w:t xml:space="preserve"> </w:t>
      </w:r>
      <w:r w:rsidRPr="00CA1271">
        <w:t>Second, the amount of the Establishment Fee has not been increased since the Scheme’s commencement. Although there is no explicit evidence that the current level of the Establishment Fee is inadequate it is clear that the costs of establishing clients, as a labour based activity, will have increased and will continue to increase over time. Third, as noted above, the cost of establishing a participant with a provider depends on whether or not the participant and provider have had a previous relationship much more than whether or not the participant is new to the NDIS. Finally, the current arrangements are not in line with the participant</w:t>
      </w:r>
      <w:r w:rsidR="00554B9C" w:rsidRPr="00CA1271">
        <w:t>-</w:t>
      </w:r>
      <w:r w:rsidRPr="00CA1271">
        <w:t>centric focus of the Scheme as they specify the amount of the Establishment Fee rather than allow participants and providers to agree that fee. It would be more appropriate to price regulate these items, given the immaturity of the overall market for disability supports and the information asymmetries between providers and participants.</w:t>
      </w:r>
    </w:p>
    <w:p w:rsidR="00C63652" w:rsidRPr="00CA1271" w:rsidRDefault="00C63652" w:rsidP="00C63652">
      <w:r w:rsidRPr="00CA1271">
        <w:t xml:space="preserve">The Review </w:t>
      </w:r>
      <w:r w:rsidR="00560CFB" w:rsidRPr="00CA1271">
        <w:t xml:space="preserve">therefore </w:t>
      </w:r>
      <w:r w:rsidRPr="00CA1271">
        <w:t>considers that there is a strong argument that the Establishment Fee items should be more clearly indicate</w:t>
      </w:r>
      <w:r w:rsidR="00560CFB" w:rsidRPr="00CA1271">
        <w:t>d</w:t>
      </w:r>
      <w:r w:rsidRPr="00CA1271">
        <w:t xml:space="preserve"> to be price regulated. The Review </w:t>
      </w:r>
      <w:r w:rsidR="00197153" w:rsidRPr="00CA1271">
        <w:t xml:space="preserve">also </w:t>
      </w:r>
      <w:r w:rsidRPr="00CA1271">
        <w:t xml:space="preserve">considers that the current level of the Establishment Fee is </w:t>
      </w:r>
      <w:r w:rsidR="005215B6" w:rsidRPr="00CA1271">
        <w:t>appropriate</w:t>
      </w:r>
      <w:r w:rsidRPr="00CA1271">
        <w:t xml:space="preserve">, but that it would be better expressed through a link to the standard hourly rate of Disability Support Worker support items. </w:t>
      </w:r>
    </w:p>
    <w:p w:rsidR="00C63652" w:rsidRPr="00CA1271" w:rsidRDefault="00C63652" w:rsidP="00C63652">
      <w:pPr>
        <w:pStyle w:val="Heading3"/>
      </w:pPr>
      <w:r w:rsidRPr="00CA1271">
        <w:t>Should the amount of the Establishment Fee be indexed annually?</w:t>
      </w:r>
    </w:p>
    <w:p w:rsidR="00C63652" w:rsidRPr="00CA1271" w:rsidRDefault="00C63652" w:rsidP="00C63652">
      <w:r w:rsidRPr="00CA1271">
        <w:t>As noted above, it is clear that establishment costs, as a labour</w:t>
      </w:r>
      <w:r w:rsidR="00554B9C" w:rsidRPr="00CA1271">
        <w:t>-</w:t>
      </w:r>
      <w:r w:rsidRPr="00CA1271">
        <w:t>based activity, will increase over time. A simple way to ensure that the Establishment Fee maintains it</w:t>
      </w:r>
      <w:r w:rsidR="00554B9C" w:rsidRPr="00CA1271">
        <w:t>s</w:t>
      </w:r>
      <w:r w:rsidRPr="00CA1271">
        <w:t xml:space="preserve"> value would be to link it to other price limits within the support category that are increased annually in line with provider input costs.</w:t>
      </w:r>
    </w:p>
    <w:p w:rsidR="00C63652" w:rsidRPr="00CA1271" w:rsidRDefault="00C63652" w:rsidP="00C63652">
      <w:pPr>
        <w:pStyle w:val="Heading2"/>
      </w:pPr>
      <w:bookmarkStart w:id="150" w:name="_Toc42014772"/>
      <w:r w:rsidRPr="00CA1271">
        <w:t>Recommendation</w:t>
      </w:r>
      <w:bookmarkEnd w:id="150"/>
    </w:p>
    <w:p w:rsidR="00C63652" w:rsidRPr="00CA1271" w:rsidRDefault="00C63652" w:rsidP="00C63652">
      <w:pPr>
        <w:pStyle w:val="REcommendation"/>
        <w:rPr>
          <w:b/>
        </w:rPr>
      </w:pPr>
      <w:r w:rsidRPr="00CA1271">
        <w:rPr>
          <w:b/>
        </w:rPr>
        <w:t>Establishment Fees</w:t>
      </w:r>
    </w:p>
    <w:p w:rsidR="00C63652" w:rsidRPr="00CA1271" w:rsidRDefault="00C63652" w:rsidP="007A045B">
      <w:pPr>
        <w:pStyle w:val="REcommendation"/>
        <w:keepNext w:val="0"/>
        <w:numPr>
          <w:ilvl w:val="1"/>
          <w:numId w:val="11"/>
        </w:numPr>
      </w:pPr>
      <w:r w:rsidRPr="00CA1271">
        <w:t>T</w:t>
      </w:r>
      <w:r w:rsidR="0008512C" w:rsidRPr="00CA1271">
        <w:t>h</w:t>
      </w:r>
      <w:r w:rsidRPr="00CA1271">
        <w:t xml:space="preserve">e NDIA should </w:t>
      </w:r>
      <w:r w:rsidR="00C4242B" w:rsidRPr="00CA1271">
        <w:t>amend</w:t>
      </w:r>
      <w:r w:rsidR="00554B9C" w:rsidRPr="00CA1271">
        <w:t xml:space="preserve"> </w:t>
      </w:r>
      <w:r w:rsidRPr="00CA1271">
        <w:t xml:space="preserve">the current Establishment Fee arrangements in the </w:t>
      </w:r>
      <w:r w:rsidRPr="00CA1271">
        <w:rPr>
          <w:i/>
        </w:rPr>
        <w:t>NDIS Price Guide</w:t>
      </w:r>
      <w:r w:rsidRPr="00CA1271">
        <w:t xml:space="preserve"> so that:</w:t>
      </w:r>
    </w:p>
    <w:p w:rsidR="00C63652" w:rsidRPr="00CA1271" w:rsidRDefault="00C63652" w:rsidP="007A045B">
      <w:pPr>
        <w:pStyle w:val="REcommendation"/>
        <w:keepNext w:val="0"/>
        <w:numPr>
          <w:ilvl w:val="2"/>
          <w:numId w:val="11"/>
        </w:numPr>
      </w:pPr>
      <w:r w:rsidRPr="00CA1271">
        <w:t xml:space="preserve">An Establishment Fee to assist with </w:t>
      </w:r>
      <w:r w:rsidR="00CE5CD6" w:rsidRPr="00CA1271">
        <w:t xml:space="preserve">the </w:t>
      </w:r>
      <w:r w:rsidRPr="00CA1271">
        <w:t xml:space="preserve">non-ongoing costs </w:t>
      </w:r>
      <w:r w:rsidR="00CE5CD6" w:rsidRPr="00CA1271">
        <w:t xml:space="preserve">of </w:t>
      </w:r>
      <w:r w:rsidRPr="00CA1271">
        <w:t>establishing arrangements and assisting participants in implementing their plan is claimable from a participant’s plan by a provider who:</w:t>
      </w:r>
    </w:p>
    <w:p w:rsidR="00C63652" w:rsidRPr="00CA1271" w:rsidRDefault="00C63652" w:rsidP="007A045B">
      <w:pPr>
        <w:pStyle w:val="REcommendation"/>
        <w:keepNext w:val="0"/>
        <w:numPr>
          <w:ilvl w:val="3"/>
          <w:numId w:val="11"/>
        </w:numPr>
      </w:pPr>
      <w:r w:rsidRPr="00CA1271">
        <w:t xml:space="preserve">is in one or more of the Registration Groups 0104 (High Intensity Daily Personal Activities), </w:t>
      </w:r>
      <w:r w:rsidR="00C4242B" w:rsidRPr="00CA1271">
        <w:t xml:space="preserve">0107 (Daily Personal Activities), </w:t>
      </w:r>
      <w:r w:rsidRPr="00CA1271">
        <w:t>0125 (Participation in community, social and civic activities) and 0136 (Group and Centre Based Activities);</w:t>
      </w:r>
    </w:p>
    <w:p w:rsidR="00C63652" w:rsidRPr="00CA1271" w:rsidRDefault="00C63652" w:rsidP="007A045B">
      <w:pPr>
        <w:pStyle w:val="REcommendation"/>
        <w:keepNext w:val="0"/>
        <w:numPr>
          <w:ilvl w:val="3"/>
          <w:numId w:val="11"/>
        </w:numPr>
      </w:pPr>
      <w:r w:rsidRPr="00CA1271">
        <w:t xml:space="preserve">has made an agreement with the participant to supply at least 20 hours of support </w:t>
      </w:r>
      <w:r w:rsidRPr="00CA1271">
        <w:softHyphen/>
      </w:r>
      <w:r w:rsidRPr="00CA1271">
        <w:softHyphen/>
        <w:t>– in Support Categories 1 (Assistance with Daily Life) and/or Support Category 4 (Assistance with Social and Community Participation) – to the participant per month for the duration of the plan;</w:t>
      </w:r>
    </w:p>
    <w:p w:rsidR="00C63652" w:rsidRPr="00CA1271" w:rsidRDefault="00C63652" w:rsidP="007A045B">
      <w:pPr>
        <w:pStyle w:val="REcommendation"/>
        <w:keepNext w:val="0"/>
        <w:numPr>
          <w:ilvl w:val="3"/>
          <w:numId w:val="11"/>
        </w:numPr>
      </w:pPr>
      <w:proofErr w:type="gramStart"/>
      <w:r w:rsidRPr="00CA1271">
        <w:t>assists</w:t>
      </w:r>
      <w:proofErr w:type="gramEnd"/>
      <w:r w:rsidRPr="00CA1271">
        <w:t xml:space="preserve"> the participant with the implementation of their NDIS Plan.</w:t>
      </w:r>
    </w:p>
    <w:p w:rsidR="00C63652" w:rsidRPr="00CA1271" w:rsidRDefault="00C63652" w:rsidP="007A045B">
      <w:pPr>
        <w:pStyle w:val="REcommendation"/>
        <w:keepNext w:val="0"/>
        <w:numPr>
          <w:ilvl w:val="2"/>
          <w:numId w:val="11"/>
        </w:numPr>
      </w:pPr>
      <w:r w:rsidRPr="00CA1271">
        <w:t>Each provider can only claim an Establishment Fee in respect of a participant once across all plans.</w:t>
      </w:r>
    </w:p>
    <w:p w:rsidR="00C63652" w:rsidRPr="00CA1271" w:rsidRDefault="00C63652" w:rsidP="007A045B">
      <w:pPr>
        <w:pStyle w:val="REcommendation"/>
        <w:keepNext w:val="0"/>
        <w:numPr>
          <w:ilvl w:val="2"/>
          <w:numId w:val="11"/>
        </w:numPr>
      </w:pPr>
      <w:r w:rsidRPr="00CA1271">
        <w:t xml:space="preserve">More than one provider is able to </w:t>
      </w:r>
      <w:r w:rsidR="00C4242B" w:rsidRPr="00CA1271">
        <w:t>claim</w:t>
      </w:r>
      <w:r w:rsidRPr="00CA1271">
        <w:t xml:space="preserve"> an Establishment Fee against a given plan provided each provider meets the other criteria above.</w:t>
      </w:r>
    </w:p>
    <w:p w:rsidR="00C63652" w:rsidRPr="00CA1271" w:rsidRDefault="00C63652" w:rsidP="007A045B">
      <w:pPr>
        <w:pStyle w:val="REcommendation"/>
        <w:keepNext w:val="0"/>
        <w:numPr>
          <w:ilvl w:val="2"/>
          <w:numId w:val="11"/>
        </w:numPr>
      </w:pPr>
      <w:r w:rsidRPr="00CA1271">
        <w:t xml:space="preserve">The amount of the Establishment Fee should be negotiated by the participant and the provider but cannot be greater than an amount equal to ten times the hourly weekday price limit for a disability support worker as determined by the Standard </w:t>
      </w:r>
      <w:r w:rsidR="00170F62" w:rsidRPr="00CA1271">
        <w:t>NDIS Disability Support Worker Cost Model</w:t>
      </w:r>
      <w:r w:rsidRPr="00CA1271">
        <w:t xml:space="preserve"> with the standard parameters ($528.50 in 2019-20).</w:t>
      </w:r>
    </w:p>
    <w:p w:rsidR="009B071A" w:rsidRPr="00CA1271" w:rsidRDefault="00C63652" w:rsidP="007A045B">
      <w:pPr>
        <w:pStyle w:val="REcommendation"/>
        <w:keepNext w:val="0"/>
        <w:numPr>
          <w:ilvl w:val="1"/>
          <w:numId w:val="11"/>
        </w:numPr>
      </w:pPr>
      <w:r w:rsidRPr="00CA1271">
        <w:t xml:space="preserve">The NDIA should add several price-limited support items to the </w:t>
      </w:r>
      <w:r w:rsidRPr="00CA1271">
        <w:rPr>
          <w:i/>
        </w:rPr>
        <w:t>NDIS Support Catalogue</w:t>
      </w:r>
      <w:r w:rsidRPr="00CA1271">
        <w:t xml:space="preserve"> to allow providers in the Registration Groups 0104 (High Intensity Daily Personal Activities, </w:t>
      </w:r>
      <w:r w:rsidR="00C4242B" w:rsidRPr="00CA1271">
        <w:t xml:space="preserve">0107 (Daily Personal Activities), </w:t>
      </w:r>
      <w:r w:rsidRPr="00CA1271">
        <w:t xml:space="preserve">0125 (Participation in community, social and civic activities) and 0136 (Group and Centre Based Activities) who are delivering services in Support Categories 1 (Assistance with Daily Life) and/or Support Category 4 (Assistance with Social and Community Participation) to be able to claim Establishment Fees and </w:t>
      </w:r>
      <w:r w:rsidR="00026096" w:rsidRPr="00CA1271">
        <w:t>Maintenance Establishment Fees.</w:t>
      </w:r>
    </w:p>
    <w:sectPr w:rsidR="009B071A" w:rsidRPr="00CA1271" w:rsidSect="00CA5B7E">
      <w:pgSz w:w="11907" w:h="16839"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D65" w:rsidRDefault="00EF5D65" w:rsidP="007973EE">
      <w:r>
        <w:separator/>
      </w:r>
    </w:p>
  </w:endnote>
  <w:endnote w:type="continuationSeparator" w:id="0">
    <w:p w:rsidR="00EF5D65" w:rsidRDefault="00EF5D65" w:rsidP="0079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embedRegular r:id="rId1" w:fontKey="{AC36D659-AF9D-4F16-98A8-E581D109DA99}"/>
    <w:embedBold r:id="rId2" w:fontKey="{8490C862-D02B-45E4-BC29-5EC6A344CBB5}"/>
    <w:embedItalic r:id="rId3" w:fontKey="{2E6E4BF1-8A5E-4D86-A139-C2638560993E}"/>
    <w:embedBoldItalic r:id="rId4" w:fontKey="{E7E5AC7E-733D-410D-822F-B395EA27A13A}"/>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charset w:val="4D"/>
    <w:family w:val="auto"/>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embedItalic r:id="rId5" w:subsetted="1" w:fontKey="{32857A1C-C7F6-43C2-AE0E-09DAA7547C8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D65" w:rsidRPr="00E410E7" w:rsidRDefault="00EF5D65" w:rsidP="00E410E7">
    <w:pPr>
      <w:pStyle w:val="Footer"/>
      <w:pBdr>
        <w:top w:val="single" w:sz="4" w:space="1" w:color="7030A0"/>
      </w:pBdr>
      <w:tabs>
        <w:tab w:val="right" w:pos="9072"/>
      </w:tabs>
      <w:rPr>
        <w:i/>
      </w:rPr>
    </w:pPr>
    <w:r w:rsidRPr="00E410E7">
      <w:rPr>
        <w:i/>
      </w:rPr>
      <w:t>Annual Pricing Review 2020-21: Final Report</w:t>
    </w:r>
    <w:r>
      <w:rPr>
        <w:i/>
      </w:rPr>
      <w:tab/>
    </w:r>
    <w:r w:rsidRPr="00E410E7">
      <w:rPr>
        <w:i/>
      </w:rPr>
      <w:fldChar w:fldCharType="begin"/>
    </w:r>
    <w:r w:rsidRPr="00E410E7">
      <w:rPr>
        <w:i/>
      </w:rPr>
      <w:instrText xml:space="preserve"> PAGE   \* MERGEFORMAT </w:instrText>
    </w:r>
    <w:r w:rsidRPr="00E410E7">
      <w:rPr>
        <w:i/>
      </w:rPr>
      <w:fldChar w:fldCharType="separate"/>
    </w:r>
    <w:r w:rsidR="00F30779">
      <w:rPr>
        <w:i/>
        <w:noProof/>
      </w:rPr>
      <w:t>2</w:t>
    </w:r>
    <w:r w:rsidRPr="00E410E7">
      <w:rPr>
        <w: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D65" w:rsidRPr="00DE4BC3" w:rsidRDefault="00EF5D65" w:rsidP="00DE4BC3">
    <w:pPr>
      <w:pStyle w:val="Footer"/>
      <w:pBdr>
        <w:top w:val="single" w:sz="4" w:space="1" w:color="7030A0"/>
      </w:pBdr>
      <w:tabs>
        <w:tab w:val="right" w:pos="9072"/>
      </w:tabs>
      <w:rPr>
        <w:i/>
      </w:rPr>
    </w:pPr>
    <w:r w:rsidRPr="00E410E7">
      <w:rPr>
        <w:i/>
      </w:rPr>
      <w:t>Annual Pricing Review 2020-21: Final Report</w:t>
    </w:r>
    <w:r>
      <w:rPr>
        <w:i/>
      </w:rPr>
      <w:tab/>
    </w:r>
    <w:r w:rsidRPr="00E410E7">
      <w:rPr>
        <w:i/>
      </w:rPr>
      <w:fldChar w:fldCharType="begin"/>
    </w:r>
    <w:r w:rsidRPr="00E410E7">
      <w:rPr>
        <w:i/>
      </w:rPr>
      <w:instrText xml:space="preserve"> PAGE   \* MERGEFORMAT </w:instrText>
    </w:r>
    <w:r w:rsidRPr="00E410E7">
      <w:rPr>
        <w:i/>
      </w:rPr>
      <w:fldChar w:fldCharType="separate"/>
    </w:r>
    <w:r w:rsidR="00F30779">
      <w:rPr>
        <w:i/>
        <w:noProof/>
      </w:rPr>
      <w:t>7</w:t>
    </w:r>
    <w:r w:rsidRPr="00E410E7">
      <w:rPr>
        <w: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D65" w:rsidRPr="007627C2" w:rsidRDefault="00EF5D65" w:rsidP="007627C2">
      <w:pPr>
        <w:pStyle w:val="Footer"/>
      </w:pPr>
    </w:p>
  </w:footnote>
  <w:footnote w:type="continuationSeparator" w:id="0">
    <w:p w:rsidR="00EF5D65" w:rsidRDefault="00EF5D65" w:rsidP="007973EE">
      <w:r>
        <w:continuationSeparator/>
      </w:r>
    </w:p>
  </w:footnote>
  <w:footnote w:id="1">
    <w:p w:rsidR="00EF5D65" w:rsidRDefault="00EF5D65" w:rsidP="00B77140">
      <w:pPr>
        <w:pStyle w:val="FootnoteText"/>
      </w:pPr>
      <w:r>
        <w:rPr>
          <w:rStyle w:val="FootnoteReference"/>
        </w:rPr>
        <w:footnoteRef/>
      </w:r>
      <w:r>
        <w:t xml:space="preserve"> </w:t>
      </w:r>
      <w:r>
        <w:tab/>
        <w:t xml:space="preserve">NDIA. (2019). </w:t>
      </w:r>
      <w:r w:rsidRPr="00193D3E">
        <w:rPr>
          <w:i/>
        </w:rPr>
        <w:t>NDIS Pricing Strategy</w:t>
      </w:r>
      <w:r>
        <w:t xml:space="preserve">. </w:t>
      </w:r>
      <w:hyperlink r:id="rId1" w:history="1">
        <w:r w:rsidRPr="00BD126D">
          <w:rPr>
            <w:rStyle w:val="Hyperlink"/>
          </w:rPr>
          <w:t>https://www.ndis.gov.au/media/1820/download</w:t>
        </w:r>
      </w:hyperlink>
      <w:r>
        <w:t xml:space="preserve"> </w:t>
      </w:r>
    </w:p>
    <w:p w:rsidR="00EF5D65" w:rsidRPr="00B77140" w:rsidRDefault="00EF5D65" w:rsidP="00B77140">
      <w:pPr>
        <w:pStyle w:val="FootnoteText"/>
      </w:pPr>
      <w:r>
        <w:tab/>
        <w:t xml:space="preserve">NDIA. (2019). </w:t>
      </w:r>
      <w:r w:rsidRPr="00B77140">
        <w:rPr>
          <w:i/>
        </w:rPr>
        <w:t>Review of Therapy Pricing Arrangements</w:t>
      </w:r>
      <w:r>
        <w:t xml:space="preserve">. </w:t>
      </w:r>
      <w:hyperlink r:id="rId2" w:history="1">
        <w:r w:rsidRPr="00BD126D">
          <w:rPr>
            <w:rStyle w:val="Hyperlink"/>
          </w:rPr>
          <w:t>https://www.ndis.gov.au/media/1662/download</w:t>
        </w:r>
      </w:hyperlink>
      <w:r>
        <w:t xml:space="preserve"> </w:t>
      </w:r>
    </w:p>
  </w:footnote>
  <w:footnote w:id="2">
    <w:p w:rsidR="00EF5D65" w:rsidRDefault="00EF5D65" w:rsidP="00BF4E99">
      <w:pPr>
        <w:pStyle w:val="FootnoteText"/>
      </w:pPr>
      <w:r>
        <w:rPr>
          <w:rStyle w:val="FootnoteReference"/>
        </w:rPr>
        <w:footnoteRef/>
      </w:r>
      <w:r>
        <w:t xml:space="preserve"> </w:t>
      </w:r>
      <w:r>
        <w:tab/>
        <w:t xml:space="preserve">NDIA. (2019). </w:t>
      </w:r>
      <w:r w:rsidRPr="00B77140">
        <w:rPr>
          <w:i/>
        </w:rPr>
        <w:t>NDIS Price Guide 2019-20 v2.2</w:t>
      </w:r>
      <w:r>
        <w:t xml:space="preserve"> (25 March 2020). </w:t>
      </w:r>
      <w:hyperlink r:id="rId3" w:history="1">
        <w:r w:rsidRPr="00BD126D">
          <w:rPr>
            <w:rStyle w:val="Hyperlink"/>
          </w:rPr>
          <w:t>https://www.ndis.gov.au/media/2213/download</w:t>
        </w:r>
      </w:hyperlink>
    </w:p>
    <w:p w:rsidR="00EF5D65" w:rsidRPr="00B77140" w:rsidRDefault="00EF5D65" w:rsidP="00BF4E99">
      <w:pPr>
        <w:pStyle w:val="FootnoteText"/>
      </w:pPr>
      <w:r>
        <w:tab/>
        <w:t xml:space="preserve">NDIA. (2019). </w:t>
      </w:r>
      <w:r w:rsidRPr="00B77140">
        <w:rPr>
          <w:i/>
        </w:rPr>
        <w:t>NDIS Support Catalogue 2019-20 v2.2</w:t>
      </w:r>
      <w:r>
        <w:rPr>
          <w:i/>
        </w:rPr>
        <w:t>.1</w:t>
      </w:r>
      <w:r>
        <w:t xml:space="preserve"> (27 March 2020). </w:t>
      </w:r>
      <w:hyperlink r:id="rId4" w:history="1">
        <w:r w:rsidRPr="005B5CD2">
          <w:rPr>
            <w:rStyle w:val="Hyperlink"/>
          </w:rPr>
          <w:t>https://www.ndis.gov.au/media/2214/download</w:t>
        </w:r>
      </w:hyperlink>
      <w:r>
        <w:t xml:space="preserve"> </w:t>
      </w:r>
    </w:p>
  </w:footnote>
  <w:footnote w:id="3">
    <w:p w:rsidR="00EF5D65" w:rsidRDefault="00EF5D65" w:rsidP="00CB4B0A">
      <w:pPr>
        <w:pStyle w:val="FootnoteText"/>
      </w:pPr>
      <w:r>
        <w:rPr>
          <w:rStyle w:val="FootnoteReference"/>
        </w:rPr>
        <w:footnoteRef/>
      </w:r>
      <w:r>
        <w:t xml:space="preserve"> </w:t>
      </w:r>
      <w:r>
        <w:tab/>
      </w:r>
      <w:hyperlink r:id="rId5" w:history="1">
        <w:r w:rsidRPr="008C2B77">
          <w:rPr>
            <w:rStyle w:val="Hyperlink"/>
          </w:rPr>
          <w:t>https://www.ndis.gov.au/media/2029/download</w:t>
        </w:r>
      </w:hyperlink>
      <w:r>
        <w:t xml:space="preserve"> </w:t>
      </w:r>
    </w:p>
  </w:footnote>
  <w:footnote w:id="4">
    <w:p w:rsidR="00EF5D65" w:rsidRDefault="00EF5D65">
      <w:pPr>
        <w:pStyle w:val="FootnoteText"/>
      </w:pPr>
      <w:r>
        <w:rPr>
          <w:rStyle w:val="FootnoteReference"/>
        </w:rPr>
        <w:footnoteRef/>
      </w:r>
      <w:r>
        <w:t xml:space="preserve"> </w:t>
      </w:r>
      <w:r>
        <w:tab/>
      </w:r>
      <w:r w:rsidRPr="0030355D">
        <w:t xml:space="preserve">The </w:t>
      </w:r>
      <w:r w:rsidRPr="0030355D">
        <w:rPr>
          <w:i/>
        </w:rPr>
        <w:t>Issues Paper</w:t>
      </w:r>
      <w:r w:rsidRPr="0030355D">
        <w:t xml:space="preserve"> invited responders to self-nominate for several working groups. The Agency also wrote to peak groups inviting them to nominate members for particular working groups.</w:t>
      </w:r>
    </w:p>
  </w:footnote>
  <w:footnote w:id="5">
    <w:p w:rsidR="00EF5D65" w:rsidRDefault="00EF5D65" w:rsidP="00CB4B0A">
      <w:pPr>
        <w:pStyle w:val="FootnoteText"/>
      </w:pPr>
      <w:r>
        <w:rPr>
          <w:rStyle w:val="FootnoteReference"/>
        </w:rPr>
        <w:footnoteRef/>
      </w:r>
      <w:r>
        <w:t xml:space="preserve"> </w:t>
      </w:r>
      <w:r>
        <w:tab/>
      </w:r>
      <w:hyperlink r:id="rId6" w:history="1">
        <w:r w:rsidRPr="008C2B77">
          <w:rPr>
            <w:rStyle w:val="Hyperlink"/>
          </w:rPr>
          <w:t>https://www.dva.gov.au/providers/fees-and-payments/dental-and-allied-health-fee-schedules</w:t>
        </w:r>
      </w:hyperlink>
    </w:p>
    <w:p w:rsidR="00EF5D65" w:rsidRDefault="00EF5D65" w:rsidP="00CB4B0A">
      <w:pPr>
        <w:pStyle w:val="FootnoteText"/>
      </w:pPr>
      <w:r>
        <w:tab/>
      </w:r>
      <w:hyperlink r:id="rId7" w:history="1">
        <w:r w:rsidRPr="008C2B77">
          <w:rPr>
            <w:rStyle w:val="Hyperlink"/>
          </w:rPr>
          <w:t>https://www.dva.gov.au/sites/default/files/files/providers/cn/CNO/community-nursing-schedule-of-fees-effective-1-january-2020.pdf</w:t>
        </w:r>
      </w:hyperlink>
      <w:r>
        <w:t xml:space="preserve"> </w:t>
      </w:r>
    </w:p>
  </w:footnote>
  <w:footnote w:id="6">
    <w:p w:rsidR="00EF5D65" w:rsidRDefault="00EF5D65" w:rsidP="00CB4B0A">
      <w:pPr>
        <w:pStyle w:val="FootnoteText"/>
      </w:pPr>
      <w:r>
        <w:rPr>
          <w:rStyle w:val="FootnoteReference"/>
        </w:rPr>
        <w:footnoteRef/>
      </w:r>
      <w:r>
        <w:t xml:space="preserve"> </w:t>
      </w:r>
      <w:r>
        <w:tab/>
      </w:r>
      <w:hyperlink r:id="rId8" w:history="1">
        <w:r w:rsidRPr="008D139E">
          <w:rPr>
            <w:rStyle w:val="Hyperlink"/>
          </w:rPr>
          <w:t>https://www.icare.nsw.gov.au/-/media/icare/unique-media/treatment-and-care/info-for-service-and-hp/requesting-services-on-behalf-of-an-injured-person/media-files/files/download-module/lifetime-care-payment-codes---2017.pdf</w:t>
        </w:r>
      </w:hyperlink>
      <w:r>
        <w:t xml:space="preserve"> </w:t>
      </w:r>
    </w:p>
  </w:footnote>
  <w:footnote w:id="7">
    <w:p w:rsidR="00EF5D65" w:rsidRDefault="00EF5D65">
      <w:pPr>
        <w:pStyle w:val="FootnoteText"/>
      </w:pPr>
      <w:r>
        <w:rPr>
          <w:rStyle w:val="FootnoteReference"/>
        </w:rPr>
        <w:footnoteRef/>
      </w:r>
      <w:r>
        <w:t xml:space="preserve"> </w:t>
      </w:r>
      <w:r>
        <w:tab/>
      </w:r>
      <w:hyperlink r:id="rId9" w:history="1">
        <w:r w:rsidRPr="008C2B77">
          <w:rPr>
            <w:rStyle w:val="Hyperlink"/>
          </w:rPr>
          <w:t>https://www.sira.nsw.gov.au/resources-library/list-of-sira-publications/accordion/workers-compensation-publications/fees-orders/fees-and-rates-orders-2020</w:t>
        </w:r>
      </w:hyperlink>
      <w:r>
        <w:t xml:space="preserve"> </w:t>
      </w:r>
    </w:p>
  </w:footnote>
  <w:footnote w:id="8">
    <w:p w:rsidR="00EF5D65" w:rsidRDefault="00EF5D65">
      <w:pPr>
        <w:pStyle w:val="FootnoteText"/>
      </w:pPr>
      <w:r>
        <w:rPr>
          <w:rStyle w:val="FootnoteReference"/>
        </w:rPr>
        <w:footnoteRef/>
      </w:r>
      <w:r>
        <w:t xml:space="preserve"> </w:t>
      </w:r>
      <w:r>
        <w:tab/>
      </w:r>
      <w:hyperlink r:id="rId10" w:history="1">
        <w:r w:rsidRPr="008C2B77">
          <w:rPr>
            <w:rStyle w:val="Hyperlink"/>
          </w:rPr>
          <w:t>https://www.tac.vic.gov.au/providers/invoicing-and-fees/fee-schedules</w:t>
        </w:r>
      </w:hyperlink>
      <w:r>
        <w:t xml:space="preserve"> </w:t>
      </w:r>
    </w:p>
  </w:footnote>
  <w:footnote w:id="9">
    <w:p w:rsidR="00EF5D65" w:rsidRDefault="00EF5D65">
      <w:pPr>
        <w:pStyle w:val="FootnoteText"/>
      </w:pPr>
      <w:r>
        <w:rPr>
          <w:rStyle w:val="FootnoteReference"/>
        </w:rPr>
        <w:footnoteRef/>
      </w:r>
      <w:r>
        <w:t xml:space="preserve"> </w:t>
      </w:r>
      <w:r>
        <w:tab/>
      </w:r>
      <w:hyperlink r:id="rId11" w:history="1">
        <w:r w:rsidRPr="008C2B77">
          <w:rPr>
            <w:rStyle w:val="Hyperlink"/>
          </w:rPr>
          <w:t>https://www.worksafe.vic.gov.au/providers</w:t>
        </w:r>
      </w:hyperlink>
      <w:r>
        <w:t xml:space="preserve"> </w:t>
      </w:r>
    </w:p>
  </w:footnote>
  <w:footnote w:id="10">
    <w:p w:rsidR="00EF5D65" w:rsidRDefault="00EF5D65" w:rsidP="00CB4B0A">
      <w:pPr>
        <w:pStyle w:val="FootnoteText"/>
      </w:pPr>
      <w:r>
        <w:rPr>
          <w:rStyle w:val="FootnoteReference"/>
        </w:rPr>
        <w:footnoteRef/>
      </w:r>
      <w:r>
        <w:t xml:space="preserve"> </w:t>
      </w:r>
      <w:r>
        <w:tab/>
      </w:r>
      <w:hyperlink r:id="rId12" w:history="1">
        <w:r w:rsidRPr="008C2B77">
          <w:rPr>
            <w:rStyle w:val="Hyperlink"/>
          </w:rPr>
          <w:t>https://www.worksafe.qld.gov.au/service-providers/allied-health-fees</w:t>
        </w:r>
      </w:hyperlink>
    </w:p>
  </w:footnote>
  <w:footnote w:id="11">
    <w:p w:rsidR="00EF5D65" w:rsidRDefault="00EF5D65">
      <w:pPr>
        <w:pStyle w:val="FootnoteText"/>
      </w:pPr>
      <w:r>
        <w:rPr>
          <w:rStyle w:val="FootnoteReference"/>
        </w:rPr>
        <w:footnoteRef/>
      </w:r>
      <w:r>
        <w:t xml:space="preserve"> </w:t>
      </w:r>
      <w:r>
        <w:tab/>
      </w:r>
      <w:hyperlink r:id="rId13" w:history="1">
        <w:r w:rsidRPr="00BA0AA9">
          <w:rPr>
            <w:rStyle w:val="Hyperlink"/>
          </w:rPr>
          <w:t>https://www.comcare.gov.au/service-providers/medical-allied-health/treatment-rates</w:t>
        </w:r>
      </w:hyperlink>
      <w:r>
        <w:t xml:space="preserve"> </w:t>
      </w:r>
    </w:p>
  </w:footnote>
  <w:footnote w:id="12">
    <w:p w:rsidR="00EF5D65" w:rsidRDefault="00EF5D65">
      <w:pPr>
        <w:pStyle w:val="FootnoteText"/>
      </w:pPr>
      <w:r>
        <w:rPr>
          <w:rStyle w:val="FootnoteReference"/>
        </w:rPr>
        <w:footnoteRef/>
      </w:r>
      <w:r>
        <w:t xml:space="preserve"> </w:t>
      </w:r>
      <w:r>
        <w:tab/>
      </w:r>
      <w:hyperlink r:id="rId14" w:history="1">
        <w:r w:rsidRPr="00C115A2">
          <w:rPr>
            <w:rStyle w:val="Hyperlink"/>
          </w:rPr>
          <w:t>http://www.mbsonline.gov.au/internet/mbsonline/publishing.nsf/Content/Home</w:t>
        </w:r>
      </w:hyperlink>
      <w:r>
        <w:t xml:space="preserve"> </w:t>
      </w:r>
    </w:p>
  </w:footnote>
  <w:footnote w:id="13">
    <w:p w:rsidR="00EF5D65" w:rsidRDefault="00EF5D65" w:rsidP="0064255F">
      <w:pPr>
        <w:pStyle w:val="FootnoteText"/>
      </w:pPr>
      <w:r>
        <w:rPr>
          <w:rStyle w:val="FootnoteReference"/>
        </w:rPr>
        <w:footnoteRef/>
      </w:r>
      <w:r>
        <w:t xml:space="preserve"> </w:t>
      </w:r>
      <w:r>
        <w:tab/>
      </w:r>
      <w:hyperlink r:id="rId15" w:history="1">
        <w:r w:rsidRPr="008C2B77">
          <w:rPr>
            <w:rStyle w:val="Hyperlink"/>
          </w:rPr>
          <w:t>https://www.rtwsa.com/service-providers/provider-registration-and-payments/fee-schedules</w:t>
        </w:r>
      </w:hyperlink>
      <w:r>
        <w:t xml:space="preserve"> </w:t>
      </w:r>
    </w:p>
  </w:footnote>
  <w:footnote w:id="14">
    <w:p w:rsidR="00EF5D65" w:rsidRDefault="00EF5D65">
      <w:pPr>
        <w:pStyle w:val="FootnoteText"/>
      </w:pPr>
      <w:r>
        <w:rPr>
          <w:rStyle w:val="FootnoteReference"/>
        </w:rPr>
        <w:footnoteRef/>
      </w:r>
      <w:r>
        <w:t xml:space="preserve"> </w:t>
      </w:r>
      <w:r>
        <w:tab/>
      </w:r>
      <w:hyperlink r:id="rId16" w:history="1">
        <w:r w:rsidRPr="008C2B77">
          <w:rPr>
            <w:rStyle w:val="Hyperlink"/>
          </w:rPr>
          <w:t>https://lifetimesupport.sa.gov.au/wp-content/uploads/2019-20LSSAttendantCareRates.pdf</w:t>
        </w:r>
      </w:hyperlink>
      <w:r>
        <w:t xml:space="preserve"> </w:t>
      </w:r>
    </w:p>
  </w:footnote>
  <w:footnote w:id="15">
    <w:p w:rsidR="00EF5D65" w:rsidRDefault="00EF5D65">
      <w:pPr>
        <w:pStyle w:val="FootnoteText"/>
      </w:pPr>
      <w:r>
        <w:rPr>
          <w:rStyle w:val="FootnoteReference"/>
        </w:rPr>
        <w:footnoteRef/>
      </w:r>
      <w:r>
        <w:t xml:space="preserve"> </w:t>
      </w:r>
      <w:r>
        <w:tab/>
      </w:r>
      <w:hyperlink r:id="rId17" w:history="1">
        <w:r w:rsidRPr="00BA0AA9">
          <w:rPr>
            <w:rStyle w:val="Hyperlink"/>
          </w:rPr>
          <w:t>https://www.workcover.wa.gov.au/resources/rates-fees-payments/</w:t>
        </w:r>
      </w:hyperlink>
      <w:r>
        <w:t xml:space="preserve"> </w:t>
      </w:r>
    </w:p>
  </w:footnote>
  <w:footnote w:id="16">
    <w:p w:rsidR="00EF5D65" w:rsidRDefault="00EF5D65" w:rsidP="009A69D0">
      <w:pPr>
        <w:pStyle w:val="FootnoteText"/>
      </w:pPr>
      <w:r>
        <w:rPr>
          <w:rStyle w:val="FootnoteReference"/>
        </w:rPr>
        <w:footnoteRef/>
      </w:r>
      <w:r>
        <w:t xml:space="preserve"> </w:t>
      </w:r>
      <w:r>
        <w:tab/>
        <w:t xml:space="preserve">The </w:t>
      </w:r>
      <w:r w:rsidRPr="00B17501">
        <w:rPr>
          <w:i/>
        </w:rPr>
        <w:t>Issues Paper</w:t>
      </w:r>
      <w:r>
        <w:t xml:space="preserve"> </w:t>
      </w:r>
      <w:r w:rsidRPr="00A9315F">
        <w:t>note</w:t>
      </w:r>
      <w:r>
        <w:t>d</w:t>
      </w:r>
      <w:r w:rsidRPr="00A9315F">
        <w:t xml:space="preserve"> that administration costs of the Agency’s </w:t>
      </w:r>
      <w:r>
        <w:t>claim</w:t>
      </w:r>
      <w:r w:rsidRPr="00A9315F">
        <w:t xml:space="preserve">ing system are not within scope of </w:t>
      </w:r>
      <w:r>
        <w:t>Annual Pricing Review,</w:t>
      </w:r>
      <w:r w:rsidRPr="00A9315F">
        <w:t xml:space="preserve"> and are being addressed through a separate process</w:t>
      </w:r>
    </w:p>
  </w:footnote>
  <w:footnote w:id="17">
    <w:p w:rsidR="00EF5D65" w:rsidRDefault="00EF5D65" w:rsidP="00014587">
      <w:pPr>
        <w:pStyle w:val="FootnoteText"/>
      </w:pPr>
      <w:r>
        <w:rPr>
          <w:rStyle w:val="FootnoteReference"/>
        </w:rPr>
        <w:footnoteRef/>
      </w:r>
      <w:r>
        <w:t xml:space="preserve"> </w:t>
      </w:r>
      <w:r>
        <w:tab/>
      </w:r>
      <w:hyperlink r:id="rId18" w:history="1">
        <w:r w:rsidRPr="00B53F89">
          <w:rPr>
            <w:rStyle w:val="Hyperlink"/>
          </w:rPr>
          <w:t>https://www.abs.gov.au/ausstats/abs@.nsf/mf/6401.0</w:t>
        </w:r>
      </w:hyperlink>
    </w:p>
  </w:footnote>
  <w:footnote w:id="18">
    <w:p w:rsidR="00EF5D65" w:rsidRDefault="00EF5D65">
      <w:pPr>
        <w:pStyle w:val="FootnoteText"/>
      </w:pPr>
      <w:r>
        <w:rPr>
          <w:rStyle w:val="FootnoteReference"/>
        </w:rPr>
        <w:footnoteRef/>
      </w:r>
      <w:r>
        <w:t xml:space="preserve"> </w:t>
      </w:r>
      <w:r>
        <w:tab/>
      </w:r>
      <w:hyperlink r:id="rId19" w:history="1">
        <w:r w:rsidRPr="00B53F89">
          <w:rPr>
            <w:rStyle w:val="Hyperlink"/>
          </w:rPr>
          <w:t>https://www.abs.gov.au/ausstats/abs@.nsf/mf/6345.0</w:t>
        </w:r>
      </w:hyperlink>
      <w:r>
        <w:t xml:space="preserve"> </w:t>
      </w:r>
    </w:p>
  </w:footnote>
  <w:footnote w:id="19">
    <w:p w:rsidR="00EF5D65" w:rsidRDefault="00EF5D65" w:rsidP="00A01380">
      <w:pPr>
        <w:pStyle w:val="FootnoteText"/>
      </w:pPr>
      <w:r>
        <w:rPr>
          <w:rStyle w:val="FootnoteReference"/>
        </w:rPr>
        <w:footnoteRef/>
      </w:r>
      <w:r>
        <w:t xml:space="preserve"> </w:t>
      </w:r>
      <w:r>
        <w:tab/>
      </w:r>
      <w:hyperlink r:id="rId20" w:history="1">
        <w:r w:rsidRPr="00C115A2">
          <w:rPr>
            <w:rStyle w:val="Hyperlink"/>
          </w:rPr>
          <w:t>https://www.fwc.gov.au/awards-agreements/minimum-wages-conditions/annual-wage-reviews/annual-wage-review-2019-20</w:t>
        </w:r>
      </w:hyperlink>
      <w:r>
        <w:t xml:space="preserve"> </w:t>
      </w:r>
    </w:p>
  </w:footnote>
  <w:footnote w:id="20">
    <w:p w:rsidR="00EF5D65" w:rsidRDefault="00EF5D65" w:rsidP="00FF27D6">
      <w:pPr>
        <w:pStyle w:val="FootnoteText"/>
      </w:pPr>
      <w:r>
        <w:rPr>
          <w:rStyle w:val="FootnoteReference"/>
        </w:rPr>
        <w:footnoteRef/>
      </w:r>
      <w:r>
        <w:t xml:space="preserve"> </w:t>
      </w:r>
      <w:r>
        <w:tab/>
      </w:r>
      <w:hyperlink r:id="rId21" w:history="1">
        <w:r w:rsidRPr="00C115A2">
          <w:rPr>
            <w:rStyle w:val="Hyperlink"/>
          </w:rPr>
          <w:t>https://www.fwc.gov.au/documents/sites/remuneration/decisions/pr525485.htm</w:t>
        </w:r>
      </w:hyperlink>
      <w:r>
        <w:t xml:space="preserve"> </w:t>
      </w:r>
    </w:p>
  </w:footnote>
  <w:footnote w:id="21">
    <w:p w:rsidR="00EF5D65" w:rsidRDefault="00EF5D65" w:rsidP="00977D24">
      <w:pPr>
        <w:pStyle w:val="FootnoteText"/>
      </w:pPr>
      <w:r>
        <w:rPr>
          <w:rStyle w:val="FootnoteReference"/>
        </w:rPr>
        <w:footnoteRef/>
      </w:r>
      <w:r>
        <w:t xml:space="preserve"> </w:t>
      </w:r>
      <w:r>
        <w:tab/>
      </w:r>
      <w:hyperlink r:id="rId22" w:history="1">
        <w:r w:rsidRPr="005B5CD2">
          <w:rPr>
            <w:rStyle w:val="Hyperlink"/>
          </w:rPr>
          <w:t>https://www.fwc.gov.au/documents/decisionssigned/html/2019fwcfb7096.htm</w:t>
        </w:r>
      </w:hyperlink>
      <w:r>
        <w:t xml:space="preserve"> </w:t>
      </w:r>
    </w:p>
  </w:footnote>
  <w:footnote w:id="22">
    <w:p w:rsidR="00EF5D65" w:rsidRDefault="00EF5D65" w:rsidP="003C1E7B">
      <w:pPr>
        <w:pStyle w:val="FootnoteText"/>
      </w:pPr>
      <w:r>
        <w:rPr>
          <w:rStyle w:val="FootnoteReference"/>
        </w:rPr>
        <w:footnoteRef/>
      </w:r>
      <w:r>
        <w:t xml:space="preserve"> </w:t>
      </w:r>
      <w:r>
        <w:tab/>
        <w:t xml:space="preserve">Allied Health Professions Australia. (2018). </w:t>
      </w:r>
      <w:r w:rsidRPr="005A6E3D">
        <w:rPr>
          <w:i/>
        </w:rPr>
        <w:t>Improving the accessibility and efficiency of allied health services</w:t>
      </w:r>
      <w:r>
        <w:t xml:space="preserve">. </w:t>
      </w:r>
      <w:hyperlink r:id="rId23" w:history="1">
        <w:r w:rsidRPr="00BD126D">
          <w:rPr>
            <w:rStyle w:val="Hyperlink"/>
          </w:rPr>
          <w:t>https://ahpa.com.au/wp-content/uploads/2018/07/180719-MBS-Review-Framework.pdf</w:t>
        </w:r>
      </w:hyperlink>
      <w:r>
        <w:t xml:space="preserve"> </w:t>
      </w:r>
    </w:p>
  </w:footnote>
  <w:footnote w:id="23">
    <w:p w:rsidR="00EF5D65" w:rsidRPr="00075640" w:rsidRDefault="00EF5D65" w:rsidP="004347B5">
      <w:pPr>
        <w:pStyle w:val="FootnoteText"/>
      </w:pPr>
      <w:r>
        <w:rPr>
          <w:rStyle w:val="FootnoteReference"/>
        </w:rPr>
        <w:footnoteRef/>
      </w:r>
      <w:r>
        <w:t xml:space="preserve"> </w:t>
      </w:r>
      <w:r>
        <w:tab/>
        <w:t xml:space="preserve">NDIA. (2019). </w:t>
      </w:r>
      <w:r>
        <w:rPr>
          <w:i/>
        </w:rPr>
        <w:t>Disability Support Worker Cost Model</w:t>
      </w:r>
      <w:r>
        <w:t xml:space="preserve">. </w:t>
      </w:r>
      <w:hyperlink r:id="rId24" w:history="1">
        <w:r w:rsidRPr="00BD126D">
          <w:rPr>
            <w:rStyle w:val="Hyperlink"/>
          </w:rPr>
          <w:t>https://www.ndis.gov.au/media/1821/download</w:t>
        </w:r>
      </w:hyperlink>
      <w:r>
        <w:t xml:space="preserve"> </w:t>
      </w:r>
    </w:p>
  </w:footnote>
  <w:footnote w:id="24">
    <w:p w:rsidR="00EF5D65" w:rsidRPr="00F17237" w:rsidRDefault="00EF5D65" w:rsidP="00F17237">
      <w:pPr>
        <w:pStyle w:val="FootnoteText"/>
      </w:pPr>
      <w:r>
        <w:rPr>
          <w:rStyle w:val="FootnoteReference"/>
        </w:rPr>
        <w:footnoteRef/>
      </w:r>
      <w:r>
        <w:t xml:space="preserve"> </w:t>
      </w:r>
      <w:r>
        <w:tab/>
      </w:r>
      <w:r w:rsidRPr="00F17237">
        <w:t xml:space="preserve">The national award for </w:t>
      </w:r>
      <w:r>
        <w:t>Disability Support Workers (</w:t>
      </w:r>
      <w:r w:rsidRPr="00F17237">
        <w:t>DSWs</w:t>
      </w:r>
      <w:r>
        <w:t>)</w:t>
      </w:r>
      <w:r w:rsidRPr="00F17237">
        <w:t xml:space="preserve"> is the </w:t>
      </w:r>
      <w:r w:rsidRPr="00F17237">
        <w:rPr>
          <w:i/>
        </w:rPr>
        <w:t>Social, Community, Home Care and Disability Services (SCHADS) Industry Award 2010</w:t>
      </w:r>
      <w:r w:rsidRPr="00F17237">
        <w:t>.</w:t>
      </w:r>
      <w:r>
        <w:t xml:space="preserve"> </w:t>
      </w:r>
      <w:r w:rsidRPr="00F17237">
        <w:t>The NDIA recognises that some DSWs are employed under Enterprise Bargaining Agreements (EBAs). However, these EBAs have to leave the worker no worse off overall than they would be under the relevant Award and, in general, any additional benefits offered by EBAs over the Award have been voluntarily agreed to by providers and are often offset by productivity gains. The NDIA therefore considers the conditions set out in the SCHADS Award to be the appropriate foundation for the CM.</w:t>
      </w:r>
    </w:p>
    <w:p w:rsidR="00EF5D65" w:rsidRPr="00F17237" w:rsidRDefault="00EF5D65" w:rsidP="00F17237">
      <w:pPr>
        <w:pStyle w:val="FootnoteText"/>
        <w:ind w:firstLine="0"/>
      </w:pPr>
      <w:r w:rsidRPr="00F17237">
        <w:t xml:space="preserve">Note: the nomenclature of Level 1 DSW, Level 2 DSW and Level 3 DSW used in the </w:t>
      </w:r>
      <w:r>
        <w:t xml:space="preserve">cost model and </w:t>
      </w:r>
      <w:r w:rsidRPr="00F17237">
        <w:rPr>
          <w:i/>
        </w:rPr>
        <w:t>NDIS Price Guide</w:t>
      </w:r>
      <w:r w:rsidRPr="00F17237">
        <w:t xml:space="preserve"> should not be confused with the classification of workers under the SCHADS Award.</w:t>
      </w:r>
    </w:p>
  </w:footnote>
  <w:footnote w:id="25">
    <w:p w:rsidR="00EF5D65" w:rsidRPr="00773E00" w:rsidRDefault="00EF5D65">
      <w:pPr>
        <w:pStyle w:val="FootnoteText"/>
      </w:pPr>
      <w:r>
        <w:rPr>
          <w:rStyle w:val="FootnoteReference"/>
        </w:rPr>
        <w:footnoteRef/>
      </w:r>
      <w:r>
        <w:t xml:space="preserve"> </w:t>
      </w:r>
      <w:r>
        <w:tab/>
      </w:r>
      <w:r w:rsidRPr="00773E00">
        <w:t>The TTP loading was set at 7.5% in 2019-20 and is to be reduced by 1.5</w:t>
      </w:r>
      <w:r>
        <w:t>%</w:t>
      </w:r>
      <w:r w:rsidRPr="00773E00">
        <w:t>age points each financial year.</w:t>
      </w:r>
    </w:p>
  </w:footnote>
  <w:footnote w:id="26">
    <w:p w:rsidR="00EF5D65" w:rsidRDefault="00EF5D65" w:rsidP="00977D24">
      <w:pPr>
        <w:pStyle w:val="FootnoteText"/>
      </w:pPr>
      <w:r>
        <w:rPr>
          <w:rStyle w:val="FootnoteReference"/>
        </w:rPr>
        <w:footnoteRef/>
      </w:r>
      <w:r>
        <w:t xml:space="preserve"> </w:t>
      </w:r>
      <w:r>
        <w:tab/>
      </w:r>
      <w:r w:rsidRPr="000A5D9B">
        <w:t>As of 31 March 2020, an additional 231 responses had been received. These responses are not included in the analysis.</w:t>
      </w:r>
    </w:p>
  </w:footnote>
  <w:footnote w:id="27">
    <w:p w:rsidR="00EF5D65" w:rsidRDefault="00EF5D65" w:rsidP="00977D24">
      <w:pPr>
        <w:pStyle w:val="FootnoteText"/>
      </w:pPr>
      <w:r>
        <w:rPr>
          <w:rStyle w:val="FootnoteReference"/>
        </w:rPr>
        <w:footnoteRef/>
      </w:r>
      <w:r>
        <w:t xml:space="preserve"> </w:t>
      </w:r>
      <w:r>
        <w:tab/>
        <w:t>Implied margin is the margin required to generate a rate of return of 8% on working capital.</w:t>
      </w:r>
    </w:p>
  </w:footnote>
  <w:footnote w:id="28">
    <w:p w:rsidR="00EF5D65" w:rsidRDefault="00EF5D65" w:rsidP="00C63652">
      <w:pPr>
        <w:pStyle w:val="FootnoteText"/>
      </w:pPr>
      <w:r>
        <w:rPr>
          <w:rStyle w:val="FootnoteReference"/>
        </w:rPr>
        <w:footnoteRef/>
      </w:r>
      <w:r>
        <w:t xml:space="preserve"> </w:t>
      </w:r>
      <w:r>
        <w:tab/>
        <w:t xml:space="preserve">Safe Work Australia, </w:t>
      </w:r>
      <w:r w:rsidRPr="00564CEA">
        <w:rPr>
          <w:i/>
        </w:rPr>
        <w:t xml:space="preserve">Comparing </w:t>
      </w:r>
      <w:r>
        <w:rPr>
          <w:i/>
        </w:rPr>
        <w:t>W</w:t>
      </w:r>
      <w:r w:rsidRPr="00564CEA">
        <w:rPr>
          <w:i/>
        </w:rPr>
        <w:t xml:space="preserve">orkers' </w:t>
      </w:r>
      <w:r>
        <w:rPr>
          <w:i/>
        </w:rPr>
        <w:t>C</w:t>
      </w:r>
      <w:r w:rsidRPr="00564CEA">
        <w:rPr>
          <w:i/>
        </w:rPr>
        <w:t xml:space="preserve">ompensation </w:t>
      </w:r>
      <w:r>
        <w:rPr>
          <w:i/>
        </w:rPr>
        <w:t>Scheme P</w:t>
      </w:r>
      <w:r w:rsidRPr="00564CEA">
        <w:rPr>
          <w:i/>
        </w:rPr>
        <w:t>erformance</w:t>
      </w:r>
      <w:r>
        <w:t xml:space="preserve">, </w:t>
      </w:r>
      <w:r w:rsidRPr="00564CEA">
        <w:t>Tuesday 14 November 2017</w:t>
      </w:r>
      <w:r>
        <w:t xml:space="preserve">, </w:t>
      </w:r>
      <w:hyperlink r:id="rId25" w:history="1">
        <w:r w:rsidRPr="00564CEA">
          <w:rPr>
            <w:rStyle w:val="Hyperlink"/>
          </w:rPr>
          <w:t>https://www.safeworkaustralia.gov.au/workers-compensation/comparing-workers-compensation-scheme-performance</w:t>
        </w:r>
      </w:hyperlink>
      <w:r>
        <w:t xml:space="preserve"> (accessed 24 March 2020).</w:t>
      </w:r>
    </w:p>
  </w:footnote>
  <w:footnote w:id="29">
    <w:p w:rsidR="00EF5D65" w:rsidRDefault="00EF5D65" w:rsidP="00977D24">
      <w:pPr>
        <w:pStyle w:val="FootnoteText"/>
      </w:pPr>
      <w:r>
        <w:rPr>
          <w:rStyle w:val="FootnoteReference"/>
        </w:rPr>
        <w:footnoteRef/>
      </w:r>
      <w:r>
        <w:t xml:space="preserve"> </w:t>
      </w:r>
      <w:r>
        <w:tab/>
      </w:r>
      <w:hyperlink r:id="rId26" w:history="1">
        <w:r w:rsidRPr="009732EE">
          <w:rPr>
            <w:rStyle w:val="Hyperlink"/>
          </w:rPr>
          <w:t>https://www.vic.gov.au/portable-long-service-community-services-sector</w:t>
        </w:r>
      </w:hyperlink>
      <w:r>
        <w:t xml:space="preserve"> </w:t>
      </w:r>
    </w:p>
  </w:footnote>
  <w:footnote w:id="30">
    <w:p w:rsidR="00EF5D65" w:rsidRDefault="00EF5D65" w:rsidP="00977D24">
      <w:pPr>
        <w:pStyle w:val="FootnoteText"/>
      </w:pPr>
      <w:r>
        <w:rPr>
          <w:rStyle w:val="FootnoteReference"/>
        </w:rPr>
        <w:footnoteRef/>
      </w:r>
      <w:r>
        <w:t xml:space="preserve"> </w:t>
      </w:r>
      <w:r>
        <w:tab/>
      </w:r>
      <w:hyperlink r:id="rId27" w:history="1">
        <w:r w:rsidRPr="009732EE">
          <w:rPr>
            <w:rStyle w:val="Hyperlink"/>
          </w:rPr>
          <w:t>https://actleave.act.gov.au/</w:t>
        </w:r>
      </w:hyperlink>
      <w:r>
        <w:t xml:space="preserve"> </w:t>
      </w:r>
    </w:p>
  </w:footnote>
  <w:footnote w:id="31">
    <w:p w:rsidR="00EF5D65" w:rsidRDefault="00EF5D65" w:rsidP="00977D24">
      <w:pPr>
        <w:pStyle w:val="FootnoteText"/>
      </w:pPr>
      <w:r>
        <w:rPr>
          <w:rStyle w:val="FootnoteReference"/>
        </w:rPr>
        <w:footnoteRef/>
      </w:r>
      <w:r>
        <w:t xml:space="preserve"> </w:t>
      </w:r>
      <w:r>
        <w:tab/>
      </w:r>
      <w:hyperlink r:id="rId28" w:history="1">
        <w:r w:rsidRPr="009732EE">
          <w:rPr>
            <w:rStyle w:val="Hyperlink"/>
          </w:rPr>
          <w:t>https://www.qleave.qld.gov.au/</w:t>
        </w:r>
      </w:hyperlink>
      <w:r>
        <w:t xml:space="preserve"> </w:t>
      </w:r>
    </w:p>
  </w:footnote>
  <w:footnote w:id="32">
    <w:p w:rsidR="00EF5D65" w:rsidRDefault="00EF5D65">
      <w:pPr>
        <w:pStyle w:val="FootnoteText"/>
      </w:pPr>
      <w:r>
        <w:rPr>
          <w:rStyle w:val="FootnoteReference"/>
        </w:rPr>
        <w:footnoteRef/>
      </w:r>
      <w:r>
        <w:t xml:space="preserve"> </w:t>
      </w:r>
      <w:r>
        <w:tab/>
      </w:r>
      <w:hyperlink r:id="rId29" w:history="1">
        <w:r w:rsidRPr="00D00E28">
          <w:rPr>
            <w:rStyle w:val="Hyperlink"/>
          </w:rPr>
          <w:t>http://benchmarking.nfpstrategy.com.au/explore</w:t>
        </w:r>
      </w:hyperlink>
      <w:r>
        <w:t xml:space="preserve"> </w:t>
      </w:r>
    </w:p>
  </w:footnote>
  <w:footnote w:id="33">
    <w:p w:rsidR="00EF5D65" w:rsidRDefault="00EF5D65" w:rsidP="006F6AF5">
      <w:pPr>
        <w:pStyle w:val="FootnoteText"/>
      </w:pPr>
      <w:r>
        <w:rPr>
          <w:rStyle w:val="FootnoteReference"/>
        </w:rPr>
        <w:footnoteRef/>
      </w:r>
      <w:r>
        <w:t xml:space="preserve"> </w:t>
      </w:r>
      <w:r>
        <w:tab/>
        <w:t xml:space="preserve">National Disability Services. (2015). </w:t>
      </w:r>
      <w:r w:rsidRPr="000A5D9B">
        <w:rPr>
          <w:i/>
        </w:rPr>
        <w:t xml:space="preserve">NDS Productivity Tool: A Summary Report for the 2012-13 Financial Year </w:t>
      </w:r>
      <w:hyperlink r:id="rId30" w:history="1">
        <w:r w:rsidRPr="00D00E28">
          <w:rPr>
            <w:rStyle w:val="Hyperlink"/>
          </w:rPr>
          <w:t>http://www.industrydevelopmentfund.org.au/images/ProductivityTool_Report2012-13.pdf</w:t>
        </w:r>
      </w:hyperlink>
      <w:r>
        <w:t xml:space="preserve"> </w:t>
      </w:r>
    </w:p>
  </w:footnote>
  <w:footnote w:id="34">
    <w:p w:rsidR="00EF5D65" w:rsidRDefault="00EF5D65">
      <w:pPr>
        <w:pStyle w:val="FootnoteText"/>
      </w:pPr>
      <w:r>
        <w:rPr>
          <w:rStyle w:val="FootnoteReference"/>
        </w:rPr>
        <w:footnoteRef/>
      </w:r>
      <w:r>
        <w:t xml:space="preserve"> </w:t>
      </w:r>
      <w:r>
        <w:tab/>
        <w:t>The distribution of overheads for non-TTP providers is estimated by left-shifting the distribution of overheads for TTP providers. The median estimate on the 25</w:t>
      </w:r>
      <w:r w:rsidRPr="006D7957">
        <w:rPr>
          <w:vertAlign w:val="superscript"/>
        </w:rPr>
        <w:t>th</w:t>
      </w:r>
      <w:r>
        <w:t xml:space="preserve"> percentile of the entire distribution is estimated by left-shifting the distribution of overheads for TTP providers by 7.5 percentage points if the overheads percentage is above the 25</w:t>
      </w:r>
      <w:r w:rsidRPr="006E700A">
        <w:rPr>
          <w:vertAlign w:val="superscript"/>
        </w:rPr>
        <w:t>th</w:t>
      </w:r>
      <w:r>
        <w:t xml:space="preserve"> percentile of the TTP distribution and by 2.5 percentage points if the overheads percentage is between the 10</w:t>
      </w:r>
      <w:r w:rsidRPr="006D7957">
        <w:rPr>
          <w:vertAlign w:val="superscript"/>
        </w:rPr>
        <w:t>th</w:t>
      </w:r>
      <w:r>
        <w:t xml:space="preserve"> and the 25</w:t>
      </w:r>
      <w:r w:rsidRPr="006E700A">
        <w:rPr>
          <w:vertAlign w:val="superscript"/>
        </w:rPr>
        <w:t>th</w:t>
      </w:r>
      <w:r>
        <w:t xml:space="preserve"> percentiles of the TTP distribution.</w:t>
      </w:r>
    </w:p>
  </w:footnote>
  <w:footnote w:id="35">
    <w:p w:rsidR="00EF5D65" w:rsidRDefault="00EF5D65">
      <w:pPr>
        <w:pStyle w:val="FootnoteText"/>
      </w:pPr>
      <w:r>
        <w:rPr>
          <w:rStyle w:val="FootnoteReference"/>
        </w:rPr>
        <w:footnoteRef/>
      </w:r>
      <w:r>
        <w:t xml:space="preserve"> </w:t>
      </w:r>
      <w:r>
        <w:tab/>
        <w:t>The review considers that it is appropriate to estimate the cost structure of overall efficient (25</w:t>
      </w:r>
      <w:r w:rsidRPr="002315CE">
        <w:rPr>
          <w:vertAlign w:val="superscript"/>
        </w:rPr>
        <w:t>th</w:t>
      </w:r>
      <w:r>
        <w:t xml:space="preserve"> percentile) providers by reference to the 25</w:t>
      </w:r>
      <w:r w:rsidRPr="002315CE">
        <w:rPr>
          <w:vertAlign w:val="superscript"/>
        </w:rPr>
        <w:t>th</w:t>
      </w:r>
      <w:r>
        <w:t xml:space="preserve"> percentile of all providers’ performance against each of the key parameters because there is little collinearity observed between the parameters in the TTP Benchmarking Survey results. The determinant of the </w:t>
      </w:r>
      <w:r w:rsidRPr="002315CE">
        <w:t xml:space="preserve">Pearson product-moment correlation coefficient </w:t>
      </w:r>
      <w:r>
        <w:t>matrix (see below) is 87.1%.</w:t>
      </w:r>
    </w:p>
    <w:tbl>
      <w:tblPr>
        <w:tblStyle w:val="GridTable4-Accent4"/>
        <w:tblW w:w="4170" w:type="pct"/>
        <w:jc w:val="center"/>
        <w:tblLook w:val="0420" w:firstRow="1" w:lastRow="0" w:firstColumn="0" w:lastColumn="0" w:noHBand="0" w:noVBand="1"/>
        <w:tblCaption w:val="Appropriate Estimate of Cost Strucutre"/>
      </w:tblPr>
      <w:tblGrid>
        <w:gridCol w:w="1080"/>
        <w:gridCol w:w="1080"/>
        <w:gridCol w:w="1080"/>
        <w:gridCol w:w="1080"/>
        <w:gridCol w:w="1179"/>
        <w:gridCol w:w="1080"/>
        <w:gridCol w:w="1080"/>
      </w:tblGrid>
      <w:tr w:rsidR="00EF5D65" w:rsidRPr="00F24A64" w:rsidTr="00593582">
        <w:trPr>
          <w:cnfStyle w:val="100000000000" w:firstRow="1" w:lastRow="0" w:firstColumn="0" w:lastColumn="0" w:oddVBand="0" w:evenVBand="0" w:oddHBand="0" w:evenHBand="0" w:firstRowFirstColumn="0" w:firstRowLastColumn="0" w:lastRowFirstColumn="0" w:lastRowLastColumn="0"/>
          <w:trHeight w:val="225"/>
          <w:tblHeader/>
          <w:jc w:val="center"/>
        </w:trPr>
        <w:tc>
          <w:tcPr>
            <w:tcW w:w="1080" w:type="dxa"/>
            <w:noWrap/>
            <w:hideMark/>
          </w:tcPr>
          <w:p w:rsidR="00EF5D65" w:rsidRPr="002315CE" w:rsidRDefault="00EF5D65" w:rsidP="002315CE">
            <w:pPr>
              <w:spacing w:before="0" w:after="0"/>
              <w:jc w:val="center"/>
              <w:rPr>
                <w:rFonts w:eastAsia="Times New Roman" w:cstheme="minorHAnsi"/>
                <w:sz w:val="16"/>
                <w:szCs w:val="16"/>
                <w:lang w:eastAsia="en-AU"/>
              </w:rPr>
            </w:pPr>
          </w:p>
        </w:tc>
        <w:tc>
          <w:tcPr>
            <w:tcW w:w="1080" w:type="dxa"/>
            <w:hideMark/>
          </w:tcPr>
          <w:p w:rsidR="00EF5D65" w:rsidRPr="002315CE" w:rsidRDefault="00EF5D65"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A =</w:t>
            </w:r>
            <w:r w:rsidRPr="00F24A64">
              <w:rPr>
                <w:rFonts w:eastAsia="Times New Roman" w:cstheme="minorHAnsi"/>
                <w:color w:val="FFFFFF"/>
                <w:sz w:val="16"/>
                <w:szCs w:val="16"/>
                <w:lang w:eastAsia="en-AU"/>
              </w:rPr>
              <w:br/>
              <w:t>Permanent Share of Workforce</w:t>
            </w:r>
          </w:p>
        </w:tc>
        <w:tc>
          <w:tcPr>
            <w:tcW w:w="1080" w:type="dxa"/>
            <w:hideMark/>
          </w:tcPr>
          <w:p w:rsidR="00EF5D65" w:rsidRPr="00F24A64" w:rsidRDefault="00EF5D65"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B =</w:t>
            </w:r>
          </w:p>
          <w:p w:rsidR="00EF5D65" w:rsidRPr="002315CE" w:rsidRDefault="00EF5D65"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Supervision Ratio</w:t>
            </w:r>
          </w:p>
        </w:tc>
        <w:tc>
          <w:tcPr>
            <w:tcW w:w="1080" w:type="dxa"/>
            <w:hideMark/>
          </w:tcPr>
          <w:p w:rsidR="00EF5D65" w:rsidRPr="002315CE" w:rsidRDefault="00EF5D65"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C =</w:t>
            </w:r>
            <w:r w:rsidRPr="00F24A64">
              <w:rPr>
                <w:rFonts w:eastAsia="Times New Roman" w:cstheme="minorHAnsi"/>
                <w:color w:val="FFFFFF"/>
                <w:sz w:val="16"/>
                <w:szCs w:val="16"/>
                <w:lang w:eastAsia="en-AU"/>
              </w:rPr>
              <w:br/>
              <w:t>Non travel allowances</w:t>
            </w:r>
          </w:p>
        </w:tc>
        <w:tc>
          <w:tcPr>
            <w:tcW w:w="1080" w:type="dxa"/>
            <w:hideMark/>
          </w:tcPr>
          <w:p w:rsidR="00EF5D65" w:rsidRPr="002315CE" w:rsidRDefault="00EF5D65"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D =</w:t>
            </w:r>
            <w:r w:rsidRPr="00F24A64">
              <w:rPr>
                <w:rFonts w:eastAsia="Times New Roman" w:cstheme="minorHAnsi"/>
                <w:color w:val="FFFFFF"/>
                <w:sz w:val="16"/>
                <w:szCs w:val="16"/>
                <w:lang w:eastAsia="en-AU"/>
              </w:rPr>
              <w:br/>
              <w:t>Workers Compensation Premium</w:t>
            </w:r>
          </w:p>
        </w:tc>
        <w:tc>
          <w:tcPr>
            <w:tcW w:w="1080" w:type="dxa"/>
            <w:hideMark/>
          </w:tcPr>
          <w:p w:rsidR="00EF5D65" w:rsidRPr="00F24A64" w:rsidRDefault="00EF5D65"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E =</w:t>
            </w:r>
          </w:p>
          <w:p w:rsidR="00EF5D65" w:rsidRPr="002315CE" w:rsidRDefault="00EF5D65" w:rsidP="002315CE">
            <w:pPr>
              <w:spacing w:before="0" w:after="0"/>
              <w:jc w:val="center"/>
              <w:rPr>
                <w:rFonts w:eastAsia="Times New Roman" w:cstheme="minorHAnsi"/>
                <w:color w:val="FFFFFF"/>
                <w:sz w:val="16"/>
                <w:szCs w:val="16"/>
                <w:lang w:eastAsia="en-AU"/>
              </w:rPr>
            </w:pPr>
            <w:r w:rsidRPr="002315CE">
              <w:rPr>
                <w:rFonts w:eastAsia="Times New Roman" w:cstheme="minorHAnsi"/>
                <w:color w:val="FFFFFF"/>
                <w:sz w:val="16"/>
                <w:szCs w:val="16"/>
                <w:lang w:eastAsia="en-AU"/>
              </w:rPr>
              <w:t>Utilisation</w:t>
            </w:r>
            <w:r w:rsidRPr="00F24A64">
              <w:rPr>
                <w:rFonts w:eastAsia="Times New Roman" w:cstheme="minorHAnsi"/>
                <w:color w:val="FFFFFF"/>
                <w:sz w:val="16"/>
                <w:szCs w:val="16"/>
                <w:lang w:eastAsia="en-AU"/>
              </w:rPr>
              <w:t xml:space="preserve"> percentage</w:t>
            </w:r>
          </w:p>
        </w:tc>
        <w:tc>
          <w:tcPr>
            <w:tcW w:w="1080" w:type="dxa"/>
            <w:hideMark/>
          </w:tcPr>
          <w:p w:rsidR="00EF5D65" w:rsidRPr="00F24A64" w:rsidRDefault="00EF5D65"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F =</w:t>
            </w:r>
          </w:p>
          <w:p w:rsidR="00EF5D65" w:rsidRPr="002315CE" w:rsidRDefault="00EF5D65" w:rsidP="002315CE">
            <w:pPr>
              <w:spacing w:before="0" w:after="0"/>
              <w:jc w:val="center"/>
              <w:rPr>
                <w:rFonts w:eastAsia="Times New Roman" w:cstheme="minorHAnsi"/>
                <w:color w:val="FFFFFF"/>
                <w:sz w:val="16"/>
                <w:szCs w:val="16"/>
                <w:lang w:eastAsia="en-AU"/>
              </w:rPr>
            </w:pPr>
            <w:r w:rsidRPr="00F24A64">
              <w:rPr>
                <w:rFonts w:eastAsia="Times New Roman" w:cstheme="minorHAnsi"/>
                <w:color w:val="FFFFFF"/>
                <w:sz w:val="16"/>
                <w:szCs w:val="16"/>
                <w:lang w:eastAsia="en-AU"/>
              </w:rPr>
              <w:t>Overheads percentage</w:t>
            </w:r>
          </w:p>
        </w:tc>
      </w:tr>
      <w:tr w:rsidR="00EF5D65" w:rsidRPr="00F24A64" w:rsidTr="00593582">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hideMark/>
          </w:tcPr>
          <w:p w:rsidR="00EF5D65" w:rsidRPr="002315CE" w:rsidRDefault="00EF5D65" w:rsidP="002315CE">
            <w:pPr>
              <w:spacing w:before="0" w:after="0"/>
              <w:rPr>
                <w:rFonts w:eastAsia="Times New Roman" w:cstheme="minorHAnsi"/>
                <w:sz w:val="16"/>
                <w:szCs w:val="16"/>
                <w:lang w:eastAsia="en-AU"/>
              </w:rPr>
            </w:pPr>
            <w:r w:rsidRPr="00F24A64">
              <w:rPr>
                <w:rFonts w:eastAsia="Times New Roman" w:cstheme="minorHAnsi"/>
                <w:sz w:val="16"/>
                <w:szCs w:val="16"/>
                <w:lang w:eastAsia="en-AU"/>
              </w:rPr>
              <w:t>A</w:t>
            </w:r>
          </w:p>
        </w:tc>
        <w:tc>
          <w:tcPr>
            <w:tcW w:w="1080" w:type="dxa"/>
            <w:noWrap/>
            <w:vAlign w:val="center"/>
            <w:hideMark/>
          </w:tcPr>
          <w:p w:rsidR="00EF5D65" w:rsidRPr="002315CE" w:rsidRDefault="00EF5D65" w:rsidP="002315CE">
            <w:pPr>
              <w:spacing w:before="0" w:after="0"/>
              <w:jc w:val="center"/>
              <w:rPr>
                <w:rFonts w:eastAsia="Times New Roman" w:cstheme="minorHAnsi"/>
                <w:sz w:val="16"/>
                <w:szCs w:val="16"/>
                <w:lang w:eastAsia="en-AU"/>
              </w:rPr>
            </w:pPr>
            <w:r w:rsidRPr="002315CE">
              <w:rPr>
                <w:rFonts w:eastAsia="Times New Roman" w:cstheme="minorHAnsi"/>
                <w:sz w:val="16"/>
                <w:szCs w:val="16"/>
                <w:lang w:eastAsia="en-AU"/>
              </w:rPr>
              <w:t>1.00</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-0.09</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-0.13</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0.06</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-0.04</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0.08</w:t>
            </w:r>
          </w:p>
        </w:tc>
      </w:tr>
      <w:tr w:rsidR="00EF5D65" w:rsidRPr="00F24A64" w:rsidTr="00593582">
        <w:trPr>
          <w:trHeight w:val="225"/>
          <w:jc w:val="center"/>
        </w:trPr>
        <w:tc>
          <w:tcPr>
            <w:tcW w:w="1080" w:type="dxa"/>
            <w:hideMark/>
          </w:tcPr>
          <w:p w:rsidR="00EF5D65" w:rsidRPr="002315CE" w:rsidRDefault="00EF5D65" w:rsidP="002315CE">
            <w:pPr>
              <w:spacing w:before="0" w:after="0"/>
              <w:rPr>
                <w:rFonts w:eastAsia="Times New Roman" w:cstheme="minorHAnsi"/>
                <w:sz w:val="16"/>
                <w:szCs w:val="16"/>
                <w:lang w:eastAsia="en-AU"/>
              </w:rPr>
            </w:pPr>
            <w:r w:rsidRPr="00F24A64">
              <w:rPr>
                <w:rFonts w:eastAsia="Times New Roman" w:cstheme="minorHAnsi"/>
                <w:sz w:val="16"/>
                <w:szCs w:val="16"/>
                <w:lang w:eastAsia="en-AU"/>
              </w:rPr>
              <w:t>B</w:t>
            </w:r>
          </w:p>
        </w:tc>
        <w:tc>
          <w:tcPr>
            <w:tcW w:w="1080" w:type="dxa"/>
            <w:noWrap/>
            <w:vAlign w:val="center"/>
            <w:hideMark/>
          </w:tcPr>
          <w:p w:rsidR="00EF5D65" w:rsidRPr="002315CE" w:rsidRDefault="00EF5D65" w:rsidP="002315CE">
            <w:pPr>
              <w:spacing w:before="0" w:after="0"/>
              <w:jc w:val="center"/>
              <w:rPr>
                <w:rFonts w:eastAsia="Times New Roman" w:cstheme="minorHAnsi"/>
                <w:sz w:val="16"/>
                <w:szCs w:val="16"/>
                <w:lang w:eastAsia="en-AU"/>
              </w:rPr>
            </w:pPr>
            <w:r w:rsidRPr="002315CE">
              <w:rPr>
                <w:rFonts w:eastAsia="Times New Roman" w:cstheme="minorHAnsi"/>
                <w:sz w:val="16"/>
                <w:szCs w:val="16"/>
                <w:lang w:eastAsia="en-AU"/>
              </w:rPr>
              <w:t>-0.09</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1.00</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-0.07</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0.00</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0.19</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0.08</w:t>
            </w:r>
          </w:p>
        </w:tc>
      </w:tr>
      <w:tr w:rsidR="00EF5D65" w:rsidRPr="00F24A64" w:rsidTr="00593582">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hideMark/>
          </w:tcPr>
          <w:p w:rsidR="00EF5D65" w:rsidRPr="002315CE" w:rsidRDefault="00EF5D65" w:rsidP="002315CE">
            <w:pPr>
              <w:spacing w:before="0" w:after="0"/>
              <w:rPr>
                <w:rFonts w:eastAsia="Times New Roman" w:cstheme="minorHAnsi"/>
                <w:sz w:val="16"/>
                <w:szCs w:val="16"/>
                <w:lang w:eastAsia="en-AU"/>
              </w:rPr>
            </w:pPr>
            <w:r w:rsidRPr="00F24A64">
              <w:rPr>
                <w:rFonts w:eastAsia="Times New Roman" w:cstheme="minorHAnsi"/>
                <w:sz w:val="16"/>
                <w:szCs w:val="16"/>
                <w:lang w:eastAsia="en-AU"/>
              </w:rPr>
              <w:t>C</w:t>
            </w:r>
          </w:p>
        </w:tc>
        <w:tc>
          <w:tcPr>
            <w:tcW w:w="1080" w:type="dxa"/>
            <w:noWrap/>
            <w:vAlign w:val="center"/>
            <w:hideMark/>
          </w:tcPr>
          <w:p w:rsidR="00EF5D65" w:rsidRPr="002315CE" w:rsidRDefault="00EF5D65" w:rsidP="002315CE">
            <w:pPr>
              <w:spacing w:before="0" w:after="0"/>
              <w:jc w:val="center"/>
              <w:rPr>
                <w:rFonts w:eastAsia="Times New Roman" w:cstheme="minorHAnsi"/>
                <w:sz w:val="16"/>
                <w:szCs w:val="16"/>
                <w:lang w:eastAsia="en-AU"/>
              </w:rPr>
            </w:pPr>
            <w:r w:rsidRPr="002315CE">
              <w:rPr>
                <w:rFonts w:eastAsia="Times New Roman" w:cstheme="minorHAnsi"/>
                <w:sz w:val="16"/>
                <w:szCs w:val="16"/>
                <w:lang w:eastAsia="en-AU"/>
              </w:rPr>
              <w:t>-0.13</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-0.07</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1.00</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-0.02</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-0.14</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-0.18</w:t>
            </w:r>
          </w:p>
        </w:tc>
      </w:tr>
      <w:tr w:rsidR="00EF5D65" w:rsidRPr="00F24A64" w:rsidTr="00593582">
        <w:trPr>
          <w:trHeight w:val="225"/>
          <w:jc w:val="center"/>
        </w:trPr>
        <w:tc>
          <w:tcPr>
            <w:tcW w:w="1080" w:type="dxa"/>
            <w:hideMark/>
          </w:tcPr>
          <w:p w:rsidR="00EF5D65" w:rsidRPr="002315CE" w:rsidRDefault="00EF5D65" w:rsidP="002315CE">
            <w:pPr>
              <w:spacing w:before="0" w:after="0"/>
              <w:rPr>
                <w:rFonts w:eastAsia="Times New Roman" w:cstheme="minorHAnsi"/>
                <w:sz w:val="16"/>
                <w:szCs w:val="16"/>
                <w:lang w:eastAsia="en-AU"/>
              </w:rPr>
            </w:pPr>
            <w:r w:rsidRPr="00F24A64">
              <w:rPr>
                <w:rFonts w:eastAsia="Times New Roman" w:cstheme="minorHAnsi"/>
                <w:sz w:val="16"/>
                <w:szCs w:val="16"/>
                <w:lang w:eastAsia="en-AU"/>
              </w:rPr>
              <w:t>D</w:t>
            </w:r>
          </w:p>
        </w:tc>
        <w:tc>
          <w:tcPr>
            <w:tcW w:w="1080" w:type="dxa"/>
            <w:noWrap/>
            <w:vAlign w:val="center"/>
            <w:hideMark/>
          </w:tcPr>
          <w:p w:rsidR="00EF5D65" w:rsidRPr="002315CE" w:rsidRDefault="00EF5D65" w:rsidP="002315CE">
            <w:pPr>
              <w:spacing w:before="0" w:after="0"/>
              <w:jc w:val="center"/>
              <w:rPr>
                <w:rFonts w:eastAsia="Times New Roman" w:cstheme="minorHAnsi"/>
                <w:sz w:val="16"/>
                <w:szCs w:val="16"/>
                <w:lang w:eastAsia="en-AU"/>
              </w:rPr>
            </w:pPr>
            <w:r w:rsidRPr="002315CE">
              <w:rPr>
                <w:rFonts w:eastAsia="Times New Roman" w:cstheme="minorHAnsi"/>
                <w:sz w:val="16"/>
                <w:szCs w:val="16"/>
                <w:lang w:eastAsia="en-AU"/>
              </w:rPr>
              <w:t>0.06</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0.00</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-0.02</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1.00</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-0.02</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0.02</w:t>
            </w:r>
          </w:p>
        </w:tc>
      </w:tr>
      <w:tr w:rsidR="00EF5D65" w:rsidRPr="00F24A64" w:rsidTr="00593582">
        <w:trPr>
          <w:cnfStyle w:val="000000100000" w:firstRow="0" w:lastRow="0" w:firstColumn="0" w:lastColumn="0" w:oddVBand="0" w:evenVBand="0" w:oddHBand="1" w:evenHBand="0" w:firstRowFirstColumn="0" w:firstRowLastColumn="0" w:lastRowFirstColumn="0" w:lastRowLastColumn="0"/>
          <w:trHeight w:val="225"/>
          <w:jc w:val="center"/>
        </w:trPr>
        <w:tc>
          <w:tcPr>
            <w:tcW w:w="1080" w:type="dxa"/>
            <w:hideMark/>
          </w:tcPr>
          <w:p w:rsidR="00EF5D65" w:rsidRPr="002315CE" w:rsidRDefault="00EF5D65" w:rsidP="002315CE">
            <w:pPr>
              <w:spacing w:before="0" w:after="0"/>
              <w:rPr>
                <w:rFonts w:eastAsia="Times New Roman" w:cstheme="minorHAnsi"/>
                <w:sz w:val="16"/>
                <w:szCs w:val="16"/>
                <w:lang w:eastAsia="en-AU"/>
              </w:rPr>
            </w:pPr>
            <w:r w:rsidRPr="00F24A64">
              <w:rPr>
                <w:rFonts w:eastAsia="Times New Roman" w:cstheme="minorHAnsi"/>
                <w:sz w:val="16"/>
                <w:szCs w:val="16"/>
                <w:lang w:eastAsia="en-AU"/>
              </w:rPr>
              <w:t>E</w:t>
            </w:r>
          </w:p>
        </w:tc>
        <w:tc>
          <w:tcPr>
            <w:tcW w:w="1080" w:type="dxa"/>
            <w:noWrap/>
            <w:vAlign w:val="center"/>
            <w:hideMark/>
          </w:tcPr>
          <w:p w:rsidR="00EF5D65" w:rsidRPr="002315CE" w:rsidRDefault="00EF5D65" w:rsidP="002315CE">
            <w:pPr>
              <w:spacing w:before="0" w:after="0"/>
              <w:jc w:val="center"/>
              <w:rPr>
                <w:rFonts w:eastAsia="Times New Roman" w:cstheme="minorHAnsi"/>
                <w:sz w:val="16"/>
                <w:szCs w:val="16"/>
                <w:lang w:eastAsia="en-AU"/>
              </w:rPr>
            </w:pPr>
            <w:r w:rsidRPr="002315CE">
              <w:rPr>
                <w:rFonts w:eastAsia="Times New Roman" w:cstheme="minorHAnsi"/>
                <w:sz w:val="16"/>
                <w:szCs w:val="16"/>
                <w:lang w:eastAsia="en-AU"/>
              </w:rPr>
              <w:t>-0.04</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0.19</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-0.14</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-0.02</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1.00</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0.09</w:t>
            </w:r>
          </w:p>
        </w:tc>
      </w:tr>
      <w:tr w:rsidR="00EF5D65" w:rsidRPr="00F24A64" w:rsidTr="00593582">
        <w:trPr>
          <w:trHeight w:val="225"/>
          <w:jc w:val="center"/>
        </w:trPr>
        <w:tc>
          <w:tcPr>
            <w:tcW w:w="1080" w:type="dxa"/>
            <w:hideMark/>
          </w:tcPr>
          <w:p w:rsidR="00EF5D65" w:rsidRPr="002315CE" w:rsidRDefault="00EF5D65" w:rsidP="002315CE">
            <w:pPr>
              <w:spacing w:before="0" w:after="0"/>
              <w:rPr>
                <w:rFonts w:eastAsia="Times New Roman" w:cstheme="minorHAnsi"/>
                <w:sz w:val="16"/>
                <w:szCs w:val="16"/>
                <w:lang w:eastAsia="en-AU"/>
              </w:rPr>
            </w:pPr>
            <w:r w:rsidRPr="00F24A64">
              <w:rPr>
                <w:rFonts w:eastAsia="Times New Roman" w:cstheme="minorHAnsi"/>
                <w:sz w:val="16"/>
                <w:szCs w:val="16"/>
                <w:lang w:eastAsia="en-AU"/>
              </w:rPr>
              <w:t>F</w:t>
            </w:r>
          </w:p>
        </w:tc>
        <w:tc>
          <w:tcPr>
            <w:tcW w:w="1080" w:type="dxa"/>
            <w:noWrap/>
            <w:vAlign w:val="center"/>
            <w:hideMark/>
          </w:tcPr>
          <w:p w:rsidR="00EF5D65" w:rsidRPr="002315CE" w:rsidRDefault="00EF5D65" w:rsidP="002315CE">
            <w:pPr>
              <w:spacing w:before="0" w:after="0"/>
              <w:jc w:val="center"/>
              <w:rPr>
                <w:rFonts w:eastAsia="Times New Roman" w:cstheme="minorHAnsi"/>
                <w:sz w:val="16"/>
                <w:szCs w:val="16"/>
                <w:lang w:eastAsia="en-AU"/>
              </w:rPr>
            </w:pPr>
            <w:r w:rsidRPr="002315CE">
              <w:rPr>
                <w:rFonts w:eastAsia="Times New Roman" w:cstheme="minorHAnsi"/>
                <w:sz w:val="16"/>
                <w:szCs w:val="16"/>
                <w:lang w:eastAsia="en-AU"/>
              </w:rPr>
              <w:t>0.08</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0.08</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-0.18</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0.02</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0.09</w:t>
            </w:r>
          </w:p>
        </w:tc>
        <w:tc>
          <w:tcPr>
            <w:tcW w:w="1080" w:type="dxa"/>
            <w:noWrap/>
            <w:vAlign w:val="center"/>
            <w:hideMark/>
          </w:tcPr>
          <w:p w:rsidR="00EF5D65" w:rsidRPr="002315CE" w:rsidRDefault="00EF5D65" w:rsidP="002315CE">
            <w:pPr>
              <w:spacing w:before="0" w:after="0"/>
              <w:jc w:val="center"/>
              <w:rPr>
                <w:rFonts w:eastAsia="Times New Roman" w:cstheme="minorHAnsi"/>
                <w:color w:val="000000"/>
                <w:sz w:val="16"/>
                <w:szCs w:val="16"/>
                <w:lang w:eastAsia="en-AU"/>
              </w:rPr>
            </w:pPr>
            <w:r w:rsidRPr="002315CE">
              <w:rPr>
                <w:rFonts w:eastAsia="Times New Roman" w:cstheme="minorHAnsi"/>
                <w:color w:val="000000"/>
                <w:sz w:val="16"/>
                <w:szCs w:val="16"/>
                <w:lang w:eastAsia="en-AU"/>
              </w:rPr>
              <w:t>1.00</w:t>
            </w:r>
          </w:p>
        </w:tc>
      </w:tr>
    </w:tbl>
    <w:p w:rsidR="00EF5D65" w:rsidRDefault="00EF5D65" w:rsidP="00F24A64">
      <w:pPr>
        <w:pStyle w:val="FootnoteText"/>
        <w:ind w:left="0" w:firstLine="0"/>
      </w:pPr>
    </w:p>
  </w:footnote>
  <w:footnote w:id="36">
    <w:p w:rsidR="00EF5D65" w:rsidRDefault="00EF5D65" w:rsidP="00C63652">
      <w:pPr>
        <w:pStyle w:val="FootnoteText"/>
      </w:pPr>
      <w:r>
        <w:rPr>
          <w:rStyle w:val="FootnoteReference"/>
        </w:rPr>
        <w:footnoteRef/>
      </w:r>
      <w:r>
        <w:t xml:space="preserve"> </w:t>
      </w:r>
      <w:r>
        <w:tab/>
        <w:t>The recommendations to allow providers to claim for the non-labour costs associated with provider travel; to increase the fee payable in the case of a short notice cancellation to 100% of the agreed fee; and to expand the availability of establishment grants will all allow providers to better recover costs that are currently attributed to overheads within the provider’s budget.</w:t>
      </w:r>
    </w:p>
  </w:footnote>
  <w:footnote w:id="37">
    <w:p w:rsidR="00EF5D65" w:rsidRDefault="00EF5D65" w:rsidP="00C63652">
      <w:pPr>
        <w:pStyle w:val="FootnoteText"/>
      </w:pPr>
      <w:r w:rsidRPr="00957A7C">
        <w:rPr>
          <w:rStyle w:val="FootnoteReference"/>
          <w:szCs w:val="18"/>
        </w:rPr>
        <w:footnoteRef/>
      </w:r>
      <w:r w:rsidRPr="00957A7C">
        <w:rPr>
          <w:szCs w:val="18"/>
        </w:rPr>
        <w:t xml:space="preserve"> </w:t>
      </w:r>
      <w:r w:rsidRPr="00957A7C">
        <w:rPr>
          <w:szCs w:val="18"/>
        </w:rPr>
        <w:tab/>
      </w:r>
      <w:r>
        <w:t>The support items in the</w:t>
      </w:r>
      <w:r w:rsidRPr="00815DDA">
        <w:t xml:space="preserve"> Improved Life Choices support category </w:t>
      </w:r>
      <w:r>
        <w:t xml:space="preserve">are considered in </w:t>
      </w:r>
      <w:r w:rsidRPr="00815DDA">
        <w:t>chapter</w:t>
      </w:r>
      <w:r>
        <w:t xml:space="preserve"> 6</w:t>
      </w:r>
      <w:r w:rsidRPr="00815DDA">
        <w:t>.</w:t>
      </w:r>
    </w:p>
  </w:footnote>
  <w:footnote w:id="38">
    <w:p w:rsidR="00EF5D65" w:rsidRDefault="00EF5D65" w:rsidP="00C63652">
      <w:pPr>
        <w:pStyle w:val="FootnoteText"/>
      </w:pPr>
      <w:r>
        <w:rPr>
          <w:rStyle w:val="FootnoteReference"/>
        </w:rPr>
        <w:footnoteRef/>
      </w:r>
      <w:r>
        <w:t xml:space="preserve"> </w:t>
      </w:r>
      <w:r>
        <w:tab/>
      </w:r>
      <w:hyperlink r:id="rId31" w:history="1">
        <w:r w:rsidRPr="005B5CD2">
          <w:rPr>
            <w:rStyle w:val="Hyperlink"/>
          </w:rPr>
          <w:t>https://www.worksafe.vic.gov.au/equipment-and-related-services-policy</w:t>
        </w:r>
      </w:hyperlink>
      <w:r>
        <w:t xml:space="preserve"> </w:t>
      </w:r>
    </w:p>
  </w:footnote>
  <w:footnote w:id="39">
    <w:p w:rsidR="00EF5D65" w:rsidRDefault="00EF5D65" w:rsidP="00C63652">
      <w:pPr>
        <w:pStyle w:val="FootnoteText"/>
      </w:pPr>
      <w:r>
        <w:rPr>
          <w:rStyle w:val="FootnoteReference"/>
        </w:rPr>
        <w:footnoteRef/>
      </w:r>
      <w:r>
        <w:t xml:space="preserve"> </w:t>
      </w:r>
      <w:r>
        <w:tab/>
      </w:r>
      <w:hyperlink r:id="rId32" w:history="1">
        <w:r w:rsidRPr="005B5CD2">
          <w:rPr>
            <w:rStyle w:val="Hyperlink"/>
          </w:rPr>
          <w:t>https://www.worksafe.qld.gov.au/__data/assets/excel_doc/0008/178091/AlliedHealth-TOC-Item-Numbers-1-Jul-2019.xls</w:t>
        </w:r>
      </w:hyperlink>
      <w:r>
        <w:t xml:space="preserve"> </w:t>
      </w:r>
    </w:p>
  </w:footnote>
  <w:footnote w:id="40">
    <w:p w:rsidR="00EF5D65" w:rsidRDefault="00EF5D65">
      <w:pPr>
        <w:pStyle w:val="FootnoteText"/>
      </w:pPr>
      <w:r>
        <w:rPr>
          <w:rStyle w:val="FootnoteReference"/>
        </w:rPr>
        <w:footnoteRef/>
      </w:r>
      <w:r>
        <w:t xml:space="preserve"> </w:t>
      </w:r>
      <w:r>
        <w:tab/>
      </w:r>
      <w:hyperlink r:id="rId33" w:anchor="hwc-map" w:history="1">
        <w:r w:rsidRPr="00781833">
          <w:rPr>
            <w:rStyle w:val="Hyperlink"/>
          </w:rPr>
          <w:t>https://www.health.gov.au/resources/apps-and-tools/health-workforce-locator/health-workforce-locator#hwc-map</w:t>
        </w:r>
      </w:hyperlink>
      <w:r>
        <w:t xml:space="preserve"> </w:t>
      </w:r>
    </w:p>
  </w:footnote>
  <w:footnote w:id="41">
    <w:p w:rsidR="00EF5D65" w:rsidRDefault="00EF5D65">
      <w:pPr>
        <w:pStyle w:val="FootnoteText"/>
      </w:pPr>
      <w:r>
        <w:rPr>
          <w:rStyle w:val="FootnoteReference"/>
        </w:rPr>
        <w:footnoteRef/>
      </w:r>
      <w:r>
        <w:t xml:space="preserve"> </w:t>
      </w:r>
      <w:r>
        <w:tab/>
      </w:r>
      <w:r w:rsidRPr="00170F62">
        <w:t xml:space="preserve">NDIA. (2019). </w:t>
      </w:r>
      <w:r w:rsidRPr="006B3887">
        <w:rPr>
          <w:i/>
        </w:rPr>
        <w:t>NDIS WA Market Review Final Report</w:t>
      </w:r>
      <w:r w:rsidRPr="00170F62">
        <w:t>.</w:t>
      </w:r>
      <w:r>
        <w:t xml:space="preserve"> </w:t>
      </w:r>
      <w:hyperlink r:id="rId34" w:history="1">
        <w:r w:rsidRPr="00965332">
          <w:rPr>
            <w:rStyle w:val="Hyperlink"/>
          </w:rPr>
          <w:t>https://www.ndis.gov.au/media/1661/download</w:t>
        </w:r>
      </w:hyperlink>
      <w:r>
        <w:t xml:space="preserve"> </w:t>
      </w:r>
    </w:p>
  </w:footnote>
  <w:footnote w:id="42">
    <w:p w:rsidR="00EF5D65" w:rsidRDefault="00EF5D65" w:rsidP="00C63652">
      <w:pPr>
        <w:pStyle w:val="FootnoteText"/>
      </w:pPr>
      <w:r w:rsidRPr="00B63112">
        <w:rPr>
          <w:rStyle w:val="FootnoteReference"/>
        </w:rPr>
        <w:footnoteRef/>
      </w:r>
      <w:r>
        <w:rPr>
          <w:sz w:val="22"/>
        </w:rPr>
        <w:t xml:space="preserve"> </w:t>
      </w:r>
      <w:r>
        <w:rPr>
          <w:sz w:val="22"/>
        </w:rPr>
        <w:tab/>
      </w:r>
      <w:r w:rsidRPr="00B63112">
        <w:t xml:space="preserve">Commonwealth Grants Commission. (2015). </w:t>
      </w:r>
      <w:r w:rsidRPr="00B63112">
        <w:rPr>
          <w:i/>
        </w:rPr>
        <w:t>Report on GST Revenue Sharing Relativities 2015 Review – Volume 2 – Assessment of State Fiscal Capacities</w:t>
      </w:r>
      <w:r w:rsidRPr="00B63112">
        <w:t>.</w:t>
      </w:r>
    </w:p>
    <w:p w:rsidR="00EF5D65" w:rsidRDefault="00EF5D65" w:rsidP="006B3887">
      <w:pPr>
        <w:pStyle w:val="FootnoteText"/>
        <w:ind w:firstLine="0"/>
      </w:pPr>
      <w:r>
        <w:t>The CGC’s</w:t>
      </w:r>
      <w:r w:rsidRPr="00B63112">
        <w:t xml:space="preserve"> regional cost scale </w:t>
      </w:r>
      <w:r>
        <w:t xml:space="preserve">is </w:t>
      </w:r>
      <w:r w:rsidRPr="00B63112">
        <w:t>based on schools and police data (the only comparable data</w:t>
      </w:r>
      <w:r>
        <w:t xml:space="preserve"> across states and territories available when they were developed). The general regional cost scale is derived from the average of the schools and police scales, which is then discounted 25% due to uncertainty with its fit to other service delivery areas. The data have not been updated as the CGC considers that relative costs between states are unlikely to have significantly changed and the previous data request was a significant burden on states.</w:t>
      </w:r>
    </w:p>
  </w:footnote>
  <w:footnote w:id="43">
    <w:p w:rsidR="00EF5D65" w:rsidRPr="007718A9" w:rsidRDefault="00EF5D65" w:rsidP="00C63652">
      <w:pPr>
        <w:pStyle w:val="FootnoteText"/>
      </w:pPr>
      <w:r>
        <w:rPr>
          <w:rStyle w:val="FootnoteReference"/>
        </w:rPr>
        <w:footnoteRef/>
      </w:r>
      <w:r>
        <w:t xml:space="preserve"> </w:t>
      </w:r>
      <w:r>
        <w:tab/>
      </w:r>
      <w:hyperlink r:id="rId35" w:history="1">
        <w:r w:rsidRPr="0049235C">
          <w:rPr>
            <w:rStyle w:val="Hyperlink"/>
          </w:rPr>
          <w:t>https://docs.education.gov.au/system/files/doc/other/regional_loading_final_report.pdf</w:t>
        </w:r>
      </w:hyperlink>
      <w:r>
        <w:t xml:space="preserve"> </w:t>
      </w:r>
    </w:p>
  </w:footnote>
  <w:footnote w:id="44">
    <w:p w:rsidR="00EF5D65" w:rsidRDefault="00EF5D65" w:rsidP="00C63652">
      <w:pPr>
        <w:pStyle w:val="FootnoteText"/>
      </w:pPr>
      <w:r>
        <w:rPr>
          <w:rStyle w:val="FootnoteReference"/>
        </w:rPr>
        <w:footnoteRef/>
      </w:r>
      <w:r>
        <w:t xml:space="preserve"> </w:t>
      </w:r>
      <w:r>
        <w:tab/>
      </w:r>
      <w:hyperlink r:id="rId36" w:history="1">
        <w:r w:rsidRPr="00006C8D">
          <w:rPr>
            <w:rStyle w:val="Hyperlink"/>
          </w:rPr>
          <w:t>https://www.qgso.qld.gov.au/issues/2886/index-retail-prices-qld-regional-centres-2013.pdf</w:t>
        </w:r>
      </w:hyperlink>
      <w:r>
        <w:rPr>
          <w:i/>
        </w:rPr>
        <w:t xml:space="preserve"> </w:t>
      </w:r>
    </w:p>
  </w:footnote>
  <w:footnote w:id="45">
    <w:p w:rsidR="00EF5D65" w:rsidRDefault="00EF5D65" w:rsidP="00C63652">
      <w:pPr>
        <w:pStyle w:val="FootnoteText"/>
      </w:pPr>
      <w:r>
        <w:rPr>
          <w:rStyle w:val="FootnoteReference"/>
        </w:rPr>
        <w:footnoteRef/>
      </w:r>
      <w:r>
        <w:t xml:space="preserve"> </w:t>
      </w:r>
      <w:r>
        <w:tab/>
      </w:r>
      <w:hyperlink r:id="rId37" w:history="1">
        <w:r w:rsidRPr="005B5CD2">
          <w:rPr>
            <w:rStyle w:val="Hyperlink"/>
          </w:rPr>
          <w:t>http://www.drd.wa.gov.au/Publications/Documents/Regional%20Price%20Index%202017.pdf</w:t>
        </w:r>
      </w:hyperlink>
      <w:r>
        <w:t xml:space="preserve"> </w:t>
      </w:r>
    </w:p>
  </w:footnote>
  <w:footnote w:id="46">
    <w:p w:rsidR="00EF5D65" w:rsidRDefault="00EF5D65" w:rsidP="00C63652">
      <w:pPr>
        <w:pStyle w:val="FootnoteText"/>
      </w:pPr>
      <w:r>
        <w:rPr>
          <w:rStyle w:val="FootnoteReference"/>
        </w:rPr>
        <w:footnoteRef/>
      </w:r>
      <w:r>
        <w:t xml:space="preserve"> </w:t>
      </w:r>
      <w:r>
        <w:tab/>
        <w:t>To</w:t>
      </w:r>
      <w:r w:rsidRPr="003406C9">
        <w:t xml:space="preserve"> help providers to continue to deliver supports to participants through the COVISD-19 pandemic, the NDIA </w:t>
      </w:r>
      <w:r>
        <w:t xml:space="preserve">has </w:t>
      </w:r>
      <w:r w:rsidRPr="003406C9">
        <w:t>amended the definition</w:t>
      </w:r>
      <w:r>
        <w:t xml:space="preserve"> of short notice cancellation from 25 March 2020. P</w:t>
      </w:r>
      <w:r w:rsidRPr="003406C9">
        <w:t xml:space="preserve">articipants are </w:t>
      </w:r>
      <w:r>
        <w:t xml:space="preserve">now </w:t>
      </w:r>
      <w:r w:rsidRPr="003406C9">
        <w:t>required to give 10 business days’ notice for a cancellation if they want to avoid paying the full fee for a cancelled service. This change in the definition of short notice cancellations is for a six-month period (25 March 2020 to 25 September 2020), with an initial review at three months to determine if it continues to be appropriate. When reviewing, the NDIA will consider a range of factors, including the current status of the COVID-19 pandemic.</w:t>
      </w:r>
      <w:r>
        <w:t xml:space="preserve"> Providers are also paid 100% of the agreed fee for cancellations.</w:t>
      </w:r>
    </w:p>
  </w:footnote>
  <w:footnote w:id="47">
    <w:p w:rsidR="00EF5D65" w:rsidRDefault="00EF5D65" w:rsidP="001A6530">
      <w:pPr>
        <w:pStyle w:val="FootnoteText"/>
      </w:pPr>
      <w:r>
        <w:rPr>
          <w:rStyle w:val="FootnoteReference"/>
        </w:rPr>
        <w:footnoteRef/>
      </w:r>
      <w:r>
        <w:t xml:space="preserve"> </w:t>
      </w:r>
      <w:r>
        <w:tab/>
      </w:r>
      <w:hyperlink r:id="rId38" w:history="1">
        <w:r w:rsidRPr="008C2B77">
          <w:rPr>
            <w:rStyle w:val="Hyperlink"/>
          </w:rPr>
          <w:t>https://www.worksafe.qld.gov.au/__data/assets/pdf_file/0009/178083/2019-Occupational-Therapy-table-of-costs.pdf</w:t>
        </w:r>
      </w:hyperlink>
      <w:r>
        <w:t xml:space="preserve"> </w:t>
      </w:r>
    </w:p>
  </w:footnote>
  <w:footnote w:id="48">
    <w:p w:rsidR="00EF5D65" w:rsidRDefault="00EF5D65" w:rsidP="00B00290">
      <w:pPr>
        <w:pStyle w:val="FootnoteText"/>
      </w:pPr>
      <w:r>
        <w:rPr>
          <w:rStyle w:val="FootnoteReference"/>
        </w:rPr>
        <w:footnoteRef/>
      </w:r>
      <w:r>
        <w:t xml:space="preserve"> </w:t>
      </w:r>
      <w:r>
        <w:tab/>
      </w:r>
      <w:hyperlink r:id="rId39" w:history="1">
        <w:r w:rsidRPr="00B00290">
          <w:rPr>
            <w:rStyle w:val="Hyperlink"/>
          </w:rPr>
          <w:t>https</w:t>
        </w:r>
        <w:r w:rsidRPr="005B5CD2">
          <w:rPr>
            <w:rStyle w:val="Hyperlink"/>
          </w:rPr>
          <w:t>://www.rtwsa.com/service-providers/provider-registration-and-payments/fee-schedules</w:t>
        </w:r>
      </w:hyperlink>
      <w:r>
        <w:t xml:space="preserve"> </w:t>
      </w:r>
    </w:p>
    <w:p w:rsidR="00EF5D65" w:rsidRDefault="00EF5D65">
      <w:pPr>
        <w:pStyle w:val="FootnoteText"/>
      </w:pPr>
    </w:p>
  </w:footnote>
  <w:footnote w:id="49">
    <w:p w:rsidR="00EF5D65" w:rsidRDefault="00EF5D65" w:rsidP="00C63652">
      <w:pPr>
        <w:pStyle w:val="FootnoteText"/>
      </w:pPr>
      <w:r>
        <w:rPr>
          <w:rStyle w:val="FootnoteReference"/>
        </w:rPr>
        <w:footnoteRef/>
      </w:r>
      <w:r>
        <w:t xml:space="preserve"> </w:t>
      </w:r>
      <w:r>
        <w:tab/>
      </w:r>
      <w:hyperlink r:id="rId40" w:history="1">
        <w:r w:rsidRPr="005B5CD2">
          <w:rPr>
            <w:rStyle w:val="Hyperlink"/>
          </w:rPr>
          <w:t>https://www.checkup.org.au/page/Initiatives/Outreach_Services/Outreach_Provider_Information/</w:t>
        </w:r>
      </w:hyperlink>
      <w:r>
        <w:t xml:space="preserve"> </w:t>
      </w:r>
    </w:p>
  </w:footnote>
  <w:footnote w:id="50">
    <w:p w:rsidR="00EF5D65" w:rsidRDefault="00EF5D65" w:rsidP="00C63652">
      <w:pPr>
        <w:pStyle w:val="FootnoteText"/>
      </w:pPr>
      <w:r>
        <w:rPr>
          <w:rStyle w:val="FootnoteReference"/>
        </w:rPr>
        <w:footnoteRef/>
      </w:r>
      <w:r>
        <w:t xml:space="preserve"> </w:t>
      </w:r>
      <w:r>
        <w:tab/>
      </w:r>
      <w:hyperlink r:id="rId41" w:history="1">
        <w:r w:rsidRPr="005B5CD2">
          <w:rPr>
            <w:rStyle w:val="Hyperlink"/>
          </w:rPr>
          <w:t>https://www.rtwsa.com/__data/assets/pdf_file/0009/99657/return-to-work-services-fee-schedule.pdf</w:t>
        </w:r>
      </w:hyperlink>
      <w:r>
        <w:t xml:space="preserve"> </w:t>
      </w:r>
    </w:p>
  </w:footnote>
  <w:footnote w:id="51">
    <w:p w:rsidR="00EF5D65" w:rsidRPr="00954693" w:rsidRDefault="00EF5D65">
      <w:pPr>
        <w:pStyle w:val="FootnoteText"/>
        <w:rPr>
          <w:lang w:val="en-US"/>
        </w:rPr>
      </w:pPr>
      <w:r>
        <w:rPr>
          <w:rStyle w:val="FootnoteReference"/>
        </w:rPr>
        <w:footnoteRef/>
      </w:r>
      <w:r>
        <w:t xml:space="preserve"> </w:t>
      </w:r>
      <w:r>
        <w:rPr>
          <w:lang w:val="en-US"/>
        </w:rPr>
        <w:tab/>
        <w:t xml:space="preserve">The </w:t>
      </w:r>
      <w:r w:rsidRPr="00954693">
        <w:t xml:space="preserve">Review recognises that transient service provision </w:t>
      </w:r>
      <w:r>
        <w:t xml:space="preserve">can be less effective than local service provision. However, in some thin markets local service provision may not exist and in those cases coordinated commissioning will, in general, offer a more efficient and effective solution than individualised commissioning. This should, however, operate alongside efforts at local capacity building. </w:t>
      </w:r>
    </w:p>
  </w:footnote>
  <w:footnote w:id="52">
    <w:p w:rsidR="00EF5D65" w:rsidRDefault="00EF5D65">
      <w:pPr>
        <w:pStyle w:val="FootnoteText"/>
      </w:pPr>
      <w:r>
        <w:rPr>
          <w:rStyle w:val="FootnoteReference"/>
        </w:rPr>
        <w:footnoteRef/>
      </w:r>
      <w:r>
        <w:t xml:space="preserve"> </w:t>
      </w:r>
      <w:r>
        <w:tab/>
      </w:r>
      <w:hyperlink r:id="rId42" w:history="1">
        <w:r w:rsidRPr="00DA5643">
          <w:rPr>
            <w:rStyle w:val="Hyperlink"/>
          </w:rPr>
          <w:t>https://www.worksafe.vic.gov.au/attendant-care-services-policy</w:t>
        </w:r>
      </w:hyperlink>
      <w:r>
        <w:t xml:space="preserve"> </w:t>
      </w:r>
    </w:p>
    <w:p w:rsidR="00EF5D65" w:rsidRDefault="00F30779" w:rsidP="005215B6">
      <w:pPr>
        <w:pStyle w:val="FootnoteText"/>
        <w:ind w:firstLine="0"/>
      </w:pPr>
      <w:hyperlink r:id="rId43" w:history="1">
        <w:r w:rsidR="00EF5D65" w:rsidRPr="00DA5643">
          <w:rPr>
            <w:rStyle w:val="Hyperlink"/>
          </w:rPr>
          <w:t>https://www.worksafe.vic.gov.au/attendant-care-services-fee-schedule</w:t>
        </w:r>
      </w:hyperlink>
      <w:r w:rsidR="00EF5D6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D65" w:rsidRPr="00C52E34" w:rsidRDefault="00EF5D65" w:rsidP="00C52E34">
    <w:pPr>
      <w:pStyle w:val="Header"/>
      <w:pBdr>
        <w:bottom w:val="single" w:sz="12" w:space="1" w:color="6A2875" w:themeColor="accent4"/>
      </w:pBdr>
      <w:jc w:val="center"/>
      <w:rPr>
        <w:b/>
        <w:i/>
        <w:color w:val="6A2875" w:themeColor="accent4"/>
        <w:lang w:val="en-AU"/>
      </w:rPr>
    </w:pPr>
    <w:r>
      <w:rPr>
        <w:b/>
        <w:i/>
        <w:color w:val="6A2875" w:themeColor="accent4"/>
        <w:lang w:val="en-AU"/>
      </w:rPr>
      <w:fldChar w:fldCharType="begin"/>
    </w:r>
    <w:r>
      <w:rPr>
        <w:b/>
        <w:i/>
        <w:color w:val="6A2875" w:themeColor="accent4"/>
        <w:lang w:val="en-AU"/>
      </w:rPr>
      <w:instrText xml:space="preserve"> STYLEREF  "Heading 1"  \* MERGEFORMAT </w:instrText>
    </w:r>
    <w:r>
      <w:rPr>
        <w:b/>
        <w:i/>
        <w:color w:val="6A2875" w:themeColor="accent4"/>
        <w:lang w:val="en-AU"/>
      </w:rPr>
      <w:fldChar w:fldCharType="separate"/>
    </w:r>
    <w:r w:rsidR="00F30779">
      <w:rPr>
        <w:b/>
        <w:i/>
        <w:noProof/>
        <w:color w:val="6A2875" w:themeColor="accent4"/>
        <w:lang w:val="en-AU"/>
      </w:rPr>
      <w:t>Executive Summary</w:t>
    </w:r>
    <w:r>
      <w:rPr>
        <w:b/>
        <w:i/>
        <w:color w:val="6A2875" w:themeColor="accent4"/>
        <w:lang w:val="en-AU"/>
      </w:rPr>
      <w:fldChar w:fldCharType="end"/>
    </w:r>
    <w:r w:rsidRPr="00C52E34">
      <w:rPr>
        <w:b/>
        <w:i/>
        <w:color w:val="6A2875" w:themeColor="accent4"/>
        <w:lang w:val="en-AU"/>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D65" w:rsidRPr="00C52E34" w:rsidRDefault="00EF5D65" w:rsidP="00C52E34">
    <w:pPr>
      <w:pStyle w:val="Header"/>
      <w:pBdr>
        <w:bottom w:val="single" w:sz="12" w:space="1" w:color="6A2875" w:themeColor="accent4"/>
      </w:pBdr>
      <w:jc w:val="center"/>
      <w:rPr>
        <w:b/>
        <w:i/>
        <w:color w:val="6A2875" w:themeColor="accent4"/>
        <w:lang w:val="en-AU"/>
      </w:rPr>
    </w:pPr>
    <w:r>
      <w:rPr>
        <w:b/>
        <w:i/>
        <w:color w:val="6A2875" w:themeColor="accent4"/>
        <w:lang w:val="en-AU"/>
      </w:rPr>
      <w:fldChar w:fldCharType="begin"/>
    </w:r>
    <w:r>
      <w:rPr>
        <w:b/>
        <w:i/>
        <w:color w:val="6A2875" w:themeColor="accent4"/>
        <w:lang w:val="en-AU"/>
      </w:rPr>
      <w:instrText xml:space="preserve"> STYLEREF  "Heading 1"  \* MERGEFORMAT </w:instrText>
    </w:r>
    <w:r>
      <w:rPr>
        <w:b/>
        <w:i/>
        <w:color w:val="6A2875" w:themeColor="accent4"/>
        <w:lang w:val="en-AU"/>
      </w:rPr>
      <w:fldChar w:fldCharType="separate"/>
    </w:r>
    <w:r w:rsidR="00F30779">
      <w:rPr>
        <w:b/>
        <w:i/>
        <w:noProof/>
        <w:color w:val="6A2875" w:themeColor="accent4"/>
        <w:lang w:val="en-AU"/>
      </w:rPr>
      <w:t>Executive Summary</w:t>
    </w:r>
    <w:r>
      <w:rPr>
        <w:b/>
        <w:i/>
        <w:color w:val="6A2875" w:themeColor="accent4"/>
        <w:lang w:val="en-AU"/>
      </w:rPr>
      <w:fldChar w:fldCharType="end"/>
    </w:r>
    <w:r w:rsidRPr="00C52E34">
      <w:rPr>
        <w:b/>
        <w:i/>
        <w:color w:val="6A2875" w:themeColor="accent4"/>
        <w:lang w:val="en-A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D6B00"/>
    <w:multiLevelType w:val="hybridMultilevel"/>
    <w:tmpl w:val="6F942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1604D3"/>
    <w:multiLevelType w:val="hybridMultilevel"/>
    <w:tmpl w:val="392CA2C4"/>
    <w:lvl w:ilvl="0" w:tplc="700CEB5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2A611A3"/>
    <w:multiLevelType w:val="hybridMultilevel"/>
    <w:tmpl w:val="B29CBA86"/>
    <w:lvl w:ilvl="0" w:tplc="0C090003">
      <w:start w:val="1"/>
      <w:numFmt w:val="bullet"/>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142F0404"/>
    <w:multiLevelType w:val="hybridMultilevel"/>
    <w:tmpl w:val="7CCAF560"/>
    <w:lvl w:ilvl="0" w:tplc="B3EC0964">
      <w:numFmt w:val="bullet"/>
      <w:lvlText w:val="•"/>
      <w:lvlJc w:val="left"/>
      <w:pPr>
        <w:ind w:left="719" w:hanging="435"/>
      </w:pPr>
      <w:rPr>
        <w:rFonts w:ascii="Calibri" w:eastAsiaTheme="minorHAnsi" w:hAnsi="Calibri" w:cs="Calibr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 w15:restartNumberingAfterBreak="0">
    <w:nsid w:val="168102AC"/>
    <w:multiLevelType w:val="hybridMultilevel"/>
    <w:tmpl w:val="8522E5D8"/>
    <w:lvl w:ilvl="0" w:tplc="0C090001">
      <w:start w:val="1"/>
      <w:numFmt w:val="bullet"/>
      <w:lvlText w:val=""/>
      <w:lvlJc w:val="left"/>
      <w:pPr>
        <w:ind w:left="501" w:hanging="360"/>
      </w:pPr>
      <w:rPr>
        <w:rFonts w:ascii="Symbol" w:hAnsi="Symbol" w:hint="default"/>
      </w:rPr>
    </w:lvl>
    <w:lvl w:ilvl="1" w:tplc="0C090003">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5" w15:restartNumberingAfterBreak="0">
    <w:nsid w:val="16AE5813"/>
    <w:multiLevelType w:val="hybridMultilevel"/>
    <w:tmpl w:val="B96C0F4A"/>
    <w:lvl w:ilvl="0" w:tplc="2CBEEB2C">
      <w:start w:val="1"/>
      <w:numFmt w:val="bullet"/>
      <w:lvlText w:val=""/>
      <w:lvlJc w:val="left"/>
      <w:pPr>
        <w:ind w:left="567" w:hanging="283"/>
      </w:pPr>
      <w:rPr>
        <w:rFonts w:ascii="Symbol" w:hAnsi="Symbol" w:hint="default"/>
      </w:rPr>
    </w:lvl>
    <w:lvl w:ilvl="1" w:tplc="CCAEE06C">
      <w:start w:val="1"/>
      <w:numFmt w:val="bullet"/>
      <w:lvlText w:val="o"/>
      <w:lvlJc w:val="left"/>
      <w:pPr>
        <w:ind w:left="851" w:hanging="284"/>
      </w:pPr>
      <w:rPr>
        <w:rFonts w:ascii="Courier New" w:hAnsi="Courier New" w:hint="default"/>
      </w:rPr>
    </w:lvl>
    <w:lvl w:ilvl="2" w:tplc="7270BE44">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83359A5"/>
    <w:multiLevelType w:val="multilevel"/>
    <w:tmpl w:val="35A43338"/>
    <w:lvl w:ilvl="0">
      <w:start w:val="1"/>
      <w:numFmt w:val="decimal"/>
      <w:lvlText w:val="%1."/>
      <w:lvlJc w:val="left"/>
      <w:pPr>
        <w:ind w:left="425" w:hanging="425"/>
      </w:pPr>
      <w:rPr>
        <w:rFonts w:hint="default"/>
      </w:rPr>
    </w:lvl>
    <w:lvl w:ilvl="1">
      <w:start w:val="1"/>
      <w:numFmt w:val="lowerLetter"/>
      <w:pStyle w:val="TieredDotPoints"/>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6A2875" w:themeColor="accent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EA3632"/>
    <w:multiLevelType w:val="multilevel"/>
    <w:tmpl w:val="63AC26F6"/>
    <w:lvl w:ilvl="0">
      <w:start w:val="1"/>
      <w:numFmt w:val="decimal"/>
      <w:suff w:val="space"/>
      <w:lvlText w:val="RECOMMENDATION %1)"/>
      <w:lvlJc w:val="left"/>
      <w:pPr>
        <w:ind w:left="425" w:hanging="425"/>
      </w:pPr>
      <w:rPr>
        <w:rFonts w:hint="default"/>
      </w:rPr>
    </w:lvl>
    <w:lvl w:ilvl="1">
      <w:start w:val="1"/>
      <w:numFmt w:val="bullet"/>
      <w:lvlText w:val=""/>
      <w:lvlJc w:val="left"/>
      <w:pPr>
        <w:ind w:left="567" w:hanging="283"/>
      </w:pPr>
      <w:rPr>
        <w:rFonts w:ascii="Symbol" w:hAnsi="Symbol"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5E37F80"/>
    <w:multiLevelType w:val="multilevel"/>
    <w:tmpl w:val="35F6A3F8"/>
    <w:lvl w:ilvl="0">
      <w:start w:val="1"/>
      <w:numFmt w:val="decimal"/>
      <w:pStyle w:val="Heading1"/>
      <w:lvlText w:val="%1."/>
      <w:lvlJc w:val="left"/>
      <w:pPr>
        <w:ind w:left="4544" w:hanging="432"/>
      </w:pPr>
      <w:rPr>
        <w:rFonts w:hint="default"/>
      </w:rPr>
    </w:lvl>
    <w:lvl w:ilvl="1">
      <w:start w:val="1"/>
      <w:numFmt w:val="none"/>
      <w:lvlText w:val=""/>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3D0A701A"/>
    <w:multiLevelType w:val="hybridMultilevel"/>
    <w:tmpl w:val="D40EB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9537B8"/>
    <w:multiLevelType w:val="multilevel"/>
    <w:tmpl w:val="63AC26F6"/>
    <w:lvl w:ilvl="0">
      <w:start w:val="1"/>
      <w:numFmt w:val="decimal"/>
      <w:suff w:val="space"/>
      <w:lvlText w:val="RECOMMENDATION %1)"/>
      <w:lvlJc w:val="left"/>
      <w:pPr>
        <w:ind w:left="425" w:hanging="425"/>
      </w:pPr>
      <w:rPr>
        <w:rFonts w:hint="default"/>
      </w:rPr>
    </w:lvl>
    <w:lvl w:ilvl="1">
      <w:start w:val="1"/>
      <w:numFmt w:val="bullet"/>
      <w:lvlText w:val=""/>
      <w:lvlJc w:val="left"/>
      <w:pPr>
        <w:ind w:left="567" w:hanging="283"/>
      </w:pPr>
      <w:rPr>
        <w:rFonts w:ascii="Symbol" w:hAnsi="Symbol"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0F62AFD"/>
    <w:multiLevelType w:val="multilevel"/>
    <w:tmpl w:val="C582932C"/>
    <w:lvl w:ilvl="0">
      <w:start w:val="1"/>
      <w:numFmt w:val="decimal"/>
      <w:suff w:val="space"/>
      <w:lvlText w:val="RECOMMENDATION %1)"/>
      <w:lvlJc w:val="left"/>
      <w:pPr>
        <w:ind w:left="425" w:hanging="425"/>
      </w:pPr>
      <w:rPr>
        <w:rFonts w:hint="default"/>
      </w:rPr>
    </w:lvl>
    <w:lvl w:ilvl="1">
      <w:start w:val="1"/>
      <w:numFmt w:val="bullet"/>
      <w:lvlText w:val="o"/>
      <w:lvlJc w:val="left"/>
      <w:pPr>
        <w:ind w:left="567" w:hanging="283"/>
      </w:pPr>
      <w:rPr>
        <w:rFonts w:ascii="Courier New" w:hAnsi="Courier New" w:cs="Courier New"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C7C488E"/>
    <w:multiLevelType w:val="multilevel"/>
    <w:tmpl w:val="6770BD28"/>
    <w:lvl w:ilvl="0">
      <w:start w:val="1"/>
      <w:numFmt w:val="decimal"/>
      <w:suff w:val="space"/>
      <w:lvlText w:val="RECOMMENDATION %1)"/>
      <w:lvlJc w:val="left"/>
      <w:pPr>
        <w:ind w:left="425" w:hanging="425"/>
      </w:pPr>
      <w:rPr>
        <w:rFonts w:hint="default"/>
      </w:rPr>
    </w:lvl>
    <w:lvl w:ilvl="1">
      <w:start w:val="1"/>
      <w:numFmt w:val="bullet"/>
      <w:lvlText w:val=""/>
      <w:lvlJc w:val="left"/>
      <w:pPr>
        <w:ind w:left="851" w:hanging="426"/>
      </w:pPr>
      <w:rPr>
        <w:rFonts w:ascii="Symbol" w:hAnsi="Symbol"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6A2875" w:themeColor="accent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EF76486"/>
    <w:multiLevelType w:val="hybridMultilevel"/>
    <w:tmpl w:val="3A3699F2"/>
    <w:lvl w:ilvl="0" w:tplc="0456B51E">
      <w:start w:val="1"/>
      <w:numFmt w:val="bullet"/>
      <w:pStyle w:val="DotPoint"/>
      <w:lvlText w:val=""/>
      <w:lvlJc w:val="left"/>
      <w:pPr>
        <w:ind w:left="567" w:hanging="283"/>
      </w:pPr>
      <w:rPr>
        <w:rFonts w:ascii="Symbol" w:hAnsi="Symbol" w:hint="default"/>
      </w:rPr>
    </w:lvl>
    <w:lvl w:ilvl="1" w:tplc="A2ECD4C8">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64B54575"/>
    <w:multiLevelType w:val="hybridMultilevel"/>
    <w:tmpl w:val="933615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0435A6"/>
    <w:multiLevelType w:val="hybridMultilevel"/>
    <w:tmpl w:val="C2DE41D2"/>
    <w:lvl w:ilvl="0" w:tplc="0456B51E">
      <w:start w:val="1"/>
      <w:numFmt w:val="bullet"/>
      <w:lvlText w:val=""/>
      <w:lvlJc w:val="left"/>
      <w:pPr>
        <w:ind w:left="567" w:hanging="28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CAA6FC5C">
      <w:start w:val="1"/>
      <w:numFmt w:val="bullet"/>
      <w:lvlText w:val=""/>
      <w:lvlJc w:val="left"/>
      <w:pPr>
        <w:ind w:left="1134" w:hanging="283"/>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59776F7"/>
    <w:multiLevelType w:val="hybridMultilevel"/>
    <w:tmpl w:val="4D2AB056"/>
    <w:lvl w:ilvl="0" w:tplc="7AB4CA60">
      <w:start w:val="1"/>
      <w:numFmt w:val="bullet"/>
      <w:lvlText w:val=""/>
      <w:lvlJc w:val="left"/>
      <w:pPr>
        <w:ind w:left="851" w:hanging="284"/>
      </w:pPr>
      <w:rPr>
        <w:rFonts w:ascii="Symbol" w:hAnsi="Symbol" w:hint="default"/>
      </w:rPr>
    </w:lvl>
    <w:lvl w:ilvl="1" w:tplc="5A782BF8">
      <w:start w:val="1"/>
      <w:numFmt w:val="bullet"/>
      <w:lvlText w:val="o"/>
      <w:lvlJc w:val="left"/>
      <w:pPr>
        <w:ind w:left="1418"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F647C5F"/>
    <w:multiLevelType w:val="multilevel"/>
    <w:tmpl w:val="63AC26F6"/>
    <w:lvl w:ilvl="0">
      <w:start w:val="1"/>
      <w:numFmt w:val="decimal"/>
      <w:suff w:val="space"/>
      <w:lvlText w:val="RECOMMENDATION %1)"/>
      <w:lvlJc w:val="left"/>
      <w:pPr>
        <w:ind w:left="425" w:hanging="425"/>
      </w:pPr>
      <w:rPr>
        <w:rFonts w:hint="default"/>
      </w:rPr>
    </w:lvl>
    <w:lvl w:ilvl="1">
      <w:start w:val="1"/>
      <w:numFmt w:val="bullet"/>
      <w:lvlText w:val=""/>
      <w:lvlJc w:val="left"/>
      <w:pPr>
        <w:ind w:left="567" w:hanging="283"/>
      </w:pPr>
      <w:rPr>
        <w:rFonts w:ascii="Symbol" w:hAnsi="Symbol"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17"/>
  </w:num>
  <w:num w:numId="3">
    <w:abstractNumId w:val="7"/>
  </w:num>
  <w:num w:numId="4">
    <w:abstractNumId w:val="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9"/>
  </w:num>
  <w:num w:numId="8">
    <w:abstractNumId w:val="4"/>
  </w:num>
  <w:num w:numId="9">
    <w:abstractNumId w:val="10"/>
  </w:num>
  <w:num w:numId="10">
    <w:abstractNumId w:val="1"/>
  </w:num>
  <w:num w:numId="11">
    <w:abstractNumId w:val="6"/>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3"/>
  </w:num>
  <w:num w:numId="15">
    <w:abstractNumId w:val="8"/>
  </w:num>
  <w:num w:numId="16">
    <w:abstractNumId w:val="11"/>
  </w:num>
  <w:num w:numId="17">
    <w:abstractNumId w:val="18"/>
  </w:num>
  <w:num w:numId="18">
    <w:abstractNumId w:val="12"/>
  </w:num>
  <w:num w:numId="19">
    <w:abstractNumId w:val="15"/>
  </w:num>
  <w:num w:numId="20">
    <w:abstractNumId w:val="3"/>
  </w:num>
  <w:num w:numId="21">
    <w:abstractNumId w:val="2"/>
  </w:num>
  <w:num w:numId="22">
    <w:abstractNumId w:val="1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0"/>
  </w:num>
  <w:num w:numId="26">
    <w:abstractNumId w:val="14"/>
  </w:num>
  <w:num w:numId="27">
    <w:abstractNumId w:val="14"/>
  </w:num>
  <w:num w:numId="28">
    <w:abstractNumId w:val="6"/>
  </w:num>
  <w:num w:numId="29">
    <w:abstractNumId w:val="14"/>
  </w:num>
  <w:num w:numId="30">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saveSubsetFonts/>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sNewDoc" w:val="No"/>
  </w:docVars>
  <w:rsids>
    <w:rsidRoot w:val="00F169F5"/>
    <w:rsid w:val="000000E3"/>
    <w:rsid w:val="000009BB"/>
    <w:rsid w:val="00000B81"/>
    <w:rsid w:val="0000161E"/>
    <w:rsid w:val="000018B1"/>
    <w:rsid w:val="000018F7"/>
    <w:rsid w:val="00001D7A"/>
    <w:rsid w:val="00001DF1"/>
    <w:rsid w:val="00001E35"/>
    <w:rsid w:val="00002221"/>
    <w:rsid w:val="000027AF"/>
    <w:rsid w:val="00002DAB"/>
    <w:rsid w:val="00002EC2"/>
    <w:rsid w:val="00003853"/>
    <w:rsid w:val="00003A1D"/>
    <w:rsid w:val="00003CCE"/>
    <w:rsid w:val="0000439B"/>
    <w:rsid w:val="000043B0"/>
    <w:rsid w:val="00004668"/>
    <w:rsid w:val="00004682"/>
    <w:rsid w:val="00004776"/>
    <w:rsid w:val="00004780"/>
    <w:rsid w:val="00004A37"/>
    <w:rsid w:val="00004A5E"/>
    <w:rsid w:val="00004A76"/>
    <w:rsid w:val="00004B6F"/>
    <w:rsid w:val="00004E29"/>
    <w:rsid w:val="000050B5"/>
    <w:rsid w:val="000052CE"/>
    <w:rsid w:val="000055F4"/>
    <w:rsid w:val="000059D1"/>
    <w:rsid w:val="00005BB6"/>
    <w:rsid w:val="00005C18"/>
    <w:rsid w:val="00006297"/>
    <w:rsid w:val="0000645A"/>
    <w:rsid w:val="00006794"/>
    <w:rsid w:val="00006993"/>
    <w:rsid w:val="00006C8D"/>
    <w:rsid w:val="00006D1A"/>
    <w:rsid w:val="00007400"/>
    <w:rsid w:val="000075DE"/>
    <w:rsid w:val="00007608"/>
    <w:rsid w:val="00007944"/>
    <w:rsid w:val="00007BEE"/>
    <w:rsid w:val="00007C73"/>
    <w:rsid w:val="00007C88"/>
    <w:rsid w:val="00007E9A"/>
    <w:rsid w:val="00010260"/>
    <w:rsid w:val="000104F4"/>
    <w:rsid w:val="00010535"/>
    <w:rsid w:val="000107D8"/>
    <w:rsid w:val="00010AD0"/>
    <w:rsid w:val="00010E5C"/>
    <w:rsid w:val="00010E88"/>
    <w:rsid w:val="00011234"/>
    <w:rsid w:val="000113EF"/>
    <w:rsid w:val="0001141D"/>
    <w:rsid w:val="00011BB0"/>
    <w:rsid w:val="00011DCC"/>
    <w:rsid w:val="00011E27"/>
    <w:rsid w:val="0001344E"/>
    <w:rsid w:val="00013576"/>
    <w:rsid w:val="0001369C"/>
    <w:rsid w:val="000138CA"/>
    <w:rsid w:val="00013925"/>
    <w:rsid w:val="00013AF8"/>
    <w:rsid w:val="00013B50"/>
    <w:rsid w:val="00013CE9"/>
    <w:rsid w:val="00014574"/>
    <w:rsid w:val="00014587"/>
    <w:rsid w:val="000149DE"/>
    <w:rsid w:val="00014C22"/>
    <w:rsid w:val="00014FA3"/>
    <w:rsid w:val="00014FB5"/>
    <w:rsid w:val="00015068"/>
    <w:rsid w:val="00015220"/>
    <w:rsid w:val="00015578"/>
    <w:rsid w:val="00015609"/>
    <w:rsid w:val="00015646"/>
    <w:rsid w:val="00015828"/>
    <w:rsid w:val="0001584B"/>
    <w:rsid w:val="00015B42"/>
    <w:rsid w:val="00015B4F"/>
    <w:rsid w:val="000160AD"/>
    <w:rsid w:val="000166A8"/>
    <w:rsid w:val="000167A3"/>
    <w:rsid w:val="00016BA5"/>
    <w:rsid w:val="0001704E"/>
    <w:rsid w:val="000177A4"/>
    <w:rsid w:val="00017E87"/>
    <w:rsid w:val="00017EE9"/>
    <w:rsid w:val="000200F6"/>
    <w:rsid w:val="000201C5"/>
    <w:rsid w:val="000202B8"/>
    <w:rsid w:val="000202F7"/>
    <w:rsid w:val="00020A1F"/>
    <w:rsid w:val="00020BBF"/>
    <w:rsid w:val="00020D4C"/>
    <w:rsid w:val="00020DB1"/>
    <w:rsid w:val="00020E85"/>
    <w:rsid w:val="00020F82"/>
    <w:rsid w:val="00021121"/>
    <w:rsid w:val="00021365"/>
    <w:rsid w:val="000214EF"/>
    <w:rsid w:val="00022437"/>
    <w:rsid w:val="00022552"/>
    <w:rsid w:val="00022714"/>
    <w:rsid w:val="00023139"/>
    <w:rsid w:val="000233CC"/>
    <w:rsid w:val="0002357C"/>
    <w:rsid w:val="00023897"/>
    <w:rsid w:val="000238EF"/>
    <w:rsid w:val="00023F7B"/>
    <w:rsid w:val="0002418C"/>
    <w:rsid w:val="000244A7"/>
    <w:rsid w:val="000248DB"/>
    <w:rsid w:val="00024EC7"/>
    <w:rsid w:val="00024EFD"/>
    <w:rsid w:val="00025174"/>
    <w:rsid w:val="00025592"/>
    <w:rsid w:val="00025761"/>
    <w:rsid w:val="00025963"/>
    <w:rsid w:val="00025E1A"/>
    <w:rsid w:val="00026096"/>
    <w:rsid w:val="0002678B"/>
    <w:rsid w:val="000268FD"/>
    <w:rsid w:val="00027500"/>
    <w:rsid w:val="00027601"/>
    <w:rsid w:val="00027771"/>
    <w:rsid w:val="00027973"/>
    <w:rsid w:val="00027E5D"/>
    <w:rsid w:val="0003005B"/>
    <w:rsid w:val="000300EC"/>
    <w:rsid w:val="000300ED"/>
    <w:rsid w:val="000302F6"/>
    <w:rsid w:val="0003093D"/>
    <w:rsid w:val="000311D5"/>
    <w:rsid w:val="0003130C"/>
    <w:rsid w:val="00031B6D"/>
    <w:rsid w:val="00031C05"/>
    <w:rsid w:val="00032124"/>
    <w:rsid w:val="000328D1"/>
    <w:rsid w:val="00032D22"/>
    <w:rsid w:val="0003310D"/>
    <w:rsid w:val="000333F7"/>
    <w:rsid w:val="0003397F"/>
    <w:rsid w:val="000339E5"/>
    <w:rsid w:val="00033B2D"/>
    <w:rsid w:val="00033C1D"/>
    <w:rsid w:val="00033E2A"/>
    <w:rsid w:val="00033F39"/>
    <w:rsid w:val="00034145"/>
    <w:rsid w:val="000341FD"/>
    <w:rsid w:val="00034C67"/>
    <w:rsid w:val="00034D95"/>
    <w:rsid w:val="00034E2F"/>
    <w:rsid w:val="00034EDF"/>
    <w:rsid w:val="0003513E"/>
    <w:rsid w:val="00035AAA"/>
    <w:rsid w:val="00035AEC"/>
    <w:rsid w:val="0003613E"/>
    <w:rsid w:val="0003615E"/>
    <w:rsid w:val="00036172"/>
    <w:rsid w:val="00036796"/>
    <w:rsid w:val="00036CBB"/>
    <w:rsid w:val="00036DF6"/>
    <w:rsid w:val="00036E0F"/>
    <w:rsid w:val="0003757F"/>
    <w:rsid w:val="00037AD6"/>
    <w:rsid w:val="00040022"/>
    <w:rsid w:val="0004002D"/>
    <w:rsid w:val="00040539"/>
    <w:rsid w:val="0004089C"/>
    <w:rsid w:val="00040D1B"/>
    <w:rsid w:val="00041134"/>
    <w:rsid w:val="0004191D"/>
    <w:rsid w:val="00041D26"/>
    <w:rsid w:val="00042242"/>
    <w:rsid w:val="00042357"/>
    <w:rsid w:val="00042583"/>
    <w:rsid w:val="000437E8"/>
    <w:rsid w:val="0004384C"/>
    <w:rsid w:val="00044049"/>
    <w:rsid w:val="000441FD"/>
    <w:rsid w:val="00044676"/>
    <w:rsid w:val="000446A1"/>
    <w:rsid w:val="00044719"/>
    <w:rsid w:val="000449C9"/>
    <w:rsid w:val="00044B54"/>
    <w:rsid w:val="00044BB0"/>
    <w:rsid w:val="00044DC3"/>
    <w:rsid w:val="00044F64"/>
    <w:rsid w:val="00045049"/>
    <w:rsid w:val="0004516C"/>
    <w:rsid w:val="0004551E"/>
    <w:rsid w:val="000455EB"/>
    <w:rsid w:val="000458A9"/>
    <w:rsid w:val="00045C92"/>
    <w:rsid w:val="00045DE7"/>
    <w:rsid w:val="00046368"/>
    <w:rsid w:val="00046640"/>
    <w:rsid w:val="00046946"/>
    <w:rsid w:val="00046E70"/>
    <w:rsid w:val="00047153"/>
    <w:rsid w:val="000471A1"/>
    <w:rsid w:val="0004736C"/>
    <w:rsid w:val="000474A6"/>
    <w:rsid w:val="00047DBA"/>
    <w:rsid w:val="00047E99"/>
    <w:rsid w:val="00047F36"/>
    <w:rsid w:val="000501CD"/>
    <w:rsid w:val="00050439"/>
    <w:rsid w:val="00050654"/>
    <w:rsid w:val="00050776"/>
    <w:rsid w:val="00050FE7"/>
    <w:rsid w:val="0005155B"/>
    <w:rsid w:val="00051F49"/>
    <w:rsid w:val="000521C6"/>
    <w:rsid w:val="000525B8"/>
    <w:rsid w:val="00052B7F"/>
    <w:rsid w:val="00052EFE"/>
    <w:rsid w:val="000531F7"/>
    <w:rsid w:val="00053ABB"/>
    <w:rsid w:val="00054237"/>
    <w:rsid w:val="00054282"/>
    <w:rsid w:val="000548D3"/>
    <w:rsid w:val="00054BB2"/>
    <w:rsid w:val="00054D92"/>
    <w:rsid w:val="000555E2"/>
    <w:rsid w:val="000558E4"/>
    <w:rsid w:val="00055C86"/>
    <w:rsid w:val="00055FDC"/>
    <w:rsid w:val="00055FF8"/>
    <w:rsid w:val="00056205"/>
    <w:rsid w:val="0005663D"/>
    <w:rsid w:val="00056A66"/>
    <w:rsid w:val="00057090"/>
    <w:rsid w:val="00057125"/>
    <w:rsid w:val="0005758F"/>
    <w:rsid w:val="000575C1"/>
    <w:rsid w:val="00057627"/>
    <w:rsid w:val="00057ACE"/>
    <w:rsid w:val="0006004D"/>
    <w:rsid w:val="00060084"/>
    <w:rsid w:val="000601C0"/>
    <w:rsid w:val="00060631"/>
    <w:rsid w:val="00060952"/>
    <w:rsid w:val="00060B38"/>
    <w:rsid w:val="00060FD0"/>
    <w:rsid w:val="00061111"/>
    <w:rsid w:val="0006159C"/>
    <w:rsid w:val="000617C6"/>
    <w:rsid w:val="00061C38"/>
    <w:rsid w:val="00061C97"/>
    <w:rsid w:val="000629BE"/>
    <w:rsid w:val="00063007"/>
    <w:rsid w:val="000631F8"/>
    <w:rsid w:val="00063288"/>
    <w:rsid w:val="00063531"/>
    <w:rsid w:val="000639C2"/>
    <w:rsid w:val="00063A5F"/>
    <w:rsid w:val="00063D2D"/>
    <w:rsid w:val="00063E26"/>
    <w:rsid w:val="0006428A"/>
    <w:rsid w:val="000644EB"/>
    <w:rsid w:val="000644F5"/>
    <w:rsid w:val="00064755"/>
    <w:rsid w:val="00064955"/>
    <w:rsid w:val="00064F44"/>
    <w:rsid w:val="00065103"/>
    <w:rsid w:val="0006552F"/>
    <w:rsid w:val="00065F06"/>
    <w:rsid w:val="00065F3B"/>
    <w:rsid w:val="000661FE"/>
    <w:rsid w:val="0006642A"/>
    <w:rsid w:val="000670B8"/>
    <w:rsid w:val="0006723E"/>
    <w:rsid w:val="000675EF"/>
    <w:rsid w:val="00067ACA"/>
    <w:rsid w:val="00067E8C"/>
    <w:rsid w:val="00067EC4"/>
    <w:rsid w:val="00067F34"/>
    <w:rsid w:val="0007007D"/>
    <w:rsid w:val="000700BE"/>
    <w:rsid w:val="00070130"/>
    <w:rsid w:val="00070DE4"/>
    <w:rsid w:val="00071475"/>
    <w:rsid w:val="000715DC"/>
    <w:rsid w:val="0007183B"/>
    <w:rsid w:val="00071F6A"/>
    <w:rsid w:val="00071F6F"/>
    <w:rsid w:val="00072021"/>
    <w:rsid w:val="000720E7"/>
    <w:rsid w:val="000722B0"/>
    <w:rsid w:val="00072798"/>
    <w:rsid w:val="000727D9"/>
    <w:rsid w:val="00072962"/>
    <w:rsid w:val="00072BB7"/>
    <w:rsid w:val="00072BEE"/>
    <w:rsid w:val="0007315F"/>
    <w:rsid w:val="00073329"/>
    <w:rsid w:val="0007392D"/>
    <w:rsid w:val="00073FC9"/>
    <w:rsid w:val="00074426"/>
    <w:rsid w:val="0007465B"/>
    <w:rsid w:val="0007476E"/>
    <w:rsid w:val="00074883"/>
    <w:rsid w:val="000749D9"/>
    <w:rsid w:val="00075640"/>
    <w:rsid w:val="00076220"/>
    <w:rsid w:val="000764CA"/>
    <w:rsid w:val="000768A0"/>
    <w:rsid w:val="00076AF2"/>
    <w:rsid w:val="00076B82"/>
    <w:rsid w:val="00076D7C"/>
    <w:rsid w:val="00076F40"/>
    <w:rsid w:val="00077559"/>
    <w:rsid w:val="00077B1A"/>
    <w:rsid w:val="00077BE4"/>
    <w:rsid w:val="00077CF0"/>
    <w:rsid w:val="00077D9D"/>
    <w:rsid w:val="00077F53"/>
    <w:rsid w:val="00081216"/>
    <w:rsid w:val="000812BC"/>
    <w:rsid w:val="0008144A"/>
    <w:rsid w:val="0008165E"/>
    <w:rsid w:val="000816EB"/>
    <w:rsid w:val="00081751"/>
    <w:rsid w:val="00081946"/>
    <w:rsid w:val="00081D04"/>
    <w:rsid w:val="0008213A"/>
    <w:rsid w:val="00082494"/>
    <w:rsid w:val="000826C0"/>
    <w:rsid w:val="00082759"/>
    <w:rsid w:val="00082D4C"/>
    <w:rsid w:val="000834A3"/>
    <w:rsid w:val="000837DE"/>
    <w:rsid w:val="00083924"/>
    <w:rsid w:val="00083E43"/>
    <w:rsid w:val="000841D0"/>
    <w:rsid w:val="000846AE"/>
    <w:rsid w:val="000848A6"/>
    <w:rsid w:val="00084ACA"/>
    <w:rsid w:val="00084C0C"/>
    <w:rsid w:val="00084DBA"/>
    <w:rsid w:val="00084E81"/>
    <w:rsid w:val="0008512C"/>
    <w:rsid w:val="00085A83"/>
    <w:rsid w:val="00085D7A"/>
    <w:rsid w:val="00085E32"/>
    <w:rsid w:val="0008642E"/>
    <w:rsid w:val="00086924"/>
    <w:rsid w:val="000869E3"/>
    <w:rsid w:val="00086B1A"/>
    <w:rsid w:val="00086B87"/>
    <w:rsid w:val="00086FA5"/>
    <w:rsid w:val="00087062"/>
    <w:rsid w:val="000871EA"/>
    <w:rsid w:val="00087411"/>
    <w:rsid w:val="00087BF8"/>
    <w:rsid w:val="00087BFA"/>
    <w:rsid w:val="00087E59"/>
    <w:rsid w:val="000902C1"/>
    <w:rsid w:val="00090302"/>
    <w:rsid w:val="000905D1"/>
    <w:rsid w:val="00090609"/>
    <w:rsid w:val="0009087A"/>
    <w:rsid w:val="000908BE"/>
    <w:rsid w:val="0009091A"/>
    <w:rsid w:val="00090EC0"/>
    <w:rsid w:val="000911E5"/>
    <w:rsid w:val="0009149C"/>
    <w:rsid w:val="00091762"/>
    <w:rsid w:val="0009188E"/>
    <w:rsid w:val="00091AB0"/>
    <w:rsid w:val="00091DA1"/>
    <w:rsid w:val="00091E3D"/>
    <w:rsid w:val="000921E7"/>
    <w:rsid w:val="00092214"/>
    <w:rsid w:val="000922C9"/>
    <w:rsid w:val="0009261A"/>
    <w:rsid w:val="000928F3"/>
    <w:rsid w:val="000929FC"/>
    <w:rsid w:val="000932CA"/>
    <w:rsid w:val="000933CD"/>
    <w:rsid w:val="000934E5"/>
    <w:rsid w:val="000937E7"/>
    <w:rsid w:val="00093856"/>
    <w:rsid w:val="00093981"/>
    <w:rsid w:val="00093F6E"/>
    <w:rsid w:val="00094211"/>
    <w:rsid w:val="00094241"/>
    <w:rsid w:val="0009454C"/>
    <w:rsid w:val="000947EA"/>
    <w:rsid w:val="00094964"/>
    <w:rsid w:val="000949A7"/>
    <w:rsid w:val="00094A97"/>
    <w:rsid w:val="000951A0"/>
    <w:rsid w:val="000953CF"/>
    <w:rsid w:val="00095824"/>
    <w:rsid w:val="00095920"/>
    <w:rsid w:val="00095C58"/>
    <w:rsid w:val="000960A7"/>
    <w:rsid w:val="00096194"/>
    <w:rsid w:val="0009647A"/>
    <w:rsid w:val="0009655B"/>
    <w:rsid w:val="00096677"/>
    <w:rsid w:val="000966CE"/>
    <w:rsid w:val="0009682D"/>
    <w:rsid w:val="00096A04"/>
    <w:rsid w:val="00096F35"/>
    <w:rsid w:val="0009706C"/>
    <w:rsid w:val="00097111"/>
    <w:rsid w:val="000971E1"/>
    <w:rsid w:val="0009727E"/>
    <w:rsid w:val="00097421"/>
    <w:rsid w:val="00097907"/>
    <w:rsid w:val="00097924"/>
    <w:rsid w:val="00097A71"/>
    <w:rsid w:val="00097B90"/>
    <w:rsid w:val="00097D24"/>
    <w:rsid w:val="00097EA4"/>
    <w:rsid w:val="00097F3B"/>
    <w:rsid w:val="00097FC4"/>
    <w:rsid w:val="000A02C2"/>
    <w:rsid w:val="000A0799"/>
    <w:rsid w:val="000A0BB5"/>
    <w:rsid w:val="000A0E07"/>
    <w:rsid w:val="000A0E65"/>
    <w:rsid w:val="000A11F1"/>
    <w:rsid w:val="000A13C9"/>
    <w:rsid w:val="000A201D"/>
    <w:rsid w:val="000A2668"/>
    <w:rsid w:val="000A3400"/>
    <w:rsid w:val="000A343B"/>
    <w:rsid w:val="000A3502"/>
    <w:rsid w:val="000A3536"/>
    <w:rsid w:val="000A354D"/>
    <w:rsid w:val="000A39B1"/>
    <w:rsid w:val="000A3E6A"/>
    <w:rsid w:val="000A4231"/>
    <w:rsid w:val="000A440D"/>
    <w:rsid w:val="000A45B0"/>
    <w:rsid w:val="000A4A19"/>
    <w:rsid w:val="000A4A2F"/>
    <w:rsid w:val="000A4AC6"/>
    <w:rsid w:val="000A4FBD"/>
    <w:rsid w:val="000A50E4"/>
    <w:rsid w:val="000A52DF"/>
    <w:rsid w:val="000A5381"/>
    <w:rsid w:val="000A53CA"/>
    <w:rsid w:val="000A55E7"/>
    <w:rsid w:val="000A5B95"/>
    <w:rsid w:val="000A5D9B"/>
    <w:rsid w:val="000A5EE9"/>
    <w:rsid w:val="000A5FF8"/>
    <w:rsid w:val="000A63FF"/>
    <w:rsid w:val="000A6797"/>
    <w:rsid w:val="000A6BB0"/>
    <w:rsid w:val="000A6D32"/>
    <w:rsid w:val="000A6DAE"/>
    <w:rsid w:val="000A74F3"/>
    <w:rsid w:val="000A763D"/>
    <w:rsid w:val="000A7936"/>
    <w:rsid w:val="000A7CBB"/>
    <w:rsid w:val="000B061A"/>
    <w:rsid w:val="000B062C"/>
    <w:rsid w:val="000B07DE"/>
    <w:rsid w:val="000B083D"/>
    <w:rsid w:val="000B0EC8"/>
    <w:rsid w:val="000B1198"/>
    <w:rsid w:val="000B1214"/>
    <w:rsid w:val="000B1C06"/>
    <w:rsid w:val="000B1C87"/>
    <w:rsid w:val="000B1E29"/>
    <w:rsid w:val="000B2B3C"/>
    <w:rsid w:val="000B34FD"/>
    <w:rsid w:val="000B3789"/>
    <w:rsid w:val="000B3934"/>
    <w:rsid w:val="000B3AD6"/>
    <w:rsid w:val="000B3CBE"/>
    <w:rsid w:val="000B406B"/>
    <w:rsid w:val="000B440C"/>
    <w:rsid w:val="000B442F"/>
    <w:rsid w:val="000B4723"/>
    <w:rsid w:val="000B4B07"/>
    <w:rsid w:val="000B4F4F"/>
    <w:rsid w:val="000B6293"/>
    <w:rsid w:val="000B6332"/>
    <w:rsid w:val="000B6336"/>
    <w:rsid w:val="000B6646"/>
    <w:rsid w:val="000B789A"/>
    <w:rsid w:val="000B7963"/>
    <w:rsid w:val="000B7F18"/>
    <w:rsid w:val="000C01FD"/>
    <w:rsid w:val="000C0354"/>
    <w:rsid w:val="000C05D0"/>
    <w:rsid w:val="000C092E"/>
    <w:rsid w:val="000C0D6A"/>
    <w:rsid w:val="000C0E71"/>
    <w:rsid w:val="000C1024"/>
    <w:rsid w:val="000C103B"/>
    <w:rsid w:val="000C1057"/>
    <w:rsid w:val="000C1728"/>
    <w:rsid w:val="000C17C4"/>
    <w:rsid w:val="000C19BC"/>
    <w:rsid w:val="000C2039"/>
    <w:rsid w:val="000C2065"/>
    <w:rsid w:val="000C24A8"/>
    <w:rsid w:val="000C2DD0"/>
    <w:rsid w:val="000C2DE1"/>
    <w:rsid w:val="000C2ECA"/>
    <w:rsid w:val="000C3316"/>
    <w:rsid w:val="000C37C8"/>
    <w:rsid w:val="000C3B54"/>
    <w:rsid w:val="000C430D"/>
    <w:rsid w:val="000C4436"/>
    <w:rsid w:val="000C46A5"/>
    <w:rsid w:val="000C4AD1"/>
    <w:rsid w:val="000C5037"/>
    <w:rsid w:val="000C532E"/>
    <w:rsid w:val="000C5619"/>
    <w:rsid w:val="000C5C34"/>
    <w:rsid w:val="000C5C4F"/>
    <w:rsid w:val="000C6079"/>
    <w:rsid w:val="000C63D1"/>
    <w:rsid w:val="000C6435"/>
    <w:rsid w:val="000C65C3"/>
    <w:rsid w:val="000C66E9"/>
    <w:rsid w:val="000C67C4"/>
    <w:rsid w:val="000C69F3"/>
    <w:rsid w:val="000C6A53"/>
    <w:rsid w:val="000C77F0"/>
    <w:rsid w:val="000C7A9B"/>
    <w:rsid w:val="000C7C4E"/>
    <w:rsid w:val="000C7E2A"/>
    <w:rsid w:val="000C7E65"/>
    <w:rsid w:val="000D008F"/>
    <w:rsid w:val="000D024F"/>
    <w:rsid w:val="000D0AB0"/>
    <w:rsid w:val="000D1426"/>
    <w:rsid w:val="000D1585"/>
    <w:rsid w:val="000D18BF"/>
    <w:rsid w:val="000D18CB"/>
    <w:rsid w:val="000D1CB0"/>
    <w:rsid w:val="000D1E1E"/>
    <w:rsid w:val="000D2B7A"/>
    <w:rsid w:val="000D2BC5"/>
    <w:rsid w:val="000D2E47"/>
    <w:rsid w:val="000D32A3"/>
    <w:rsid w:val="000D377A"/>
    <w:rsid w:val="000D394B"/>
    <w:rsid w:val="000D39F3"/>
    <w:rsid w:val="000D3A6C"/>
    <w:rsid w:val="000D441F"/>
    <w:rsid w:val="000D4775"/>
    <w:rsid w:val="000D4824"/>
    <w:rsid w:val="000D489D"/>
    <w:rsid w:val="000D4A76"/>
    <w:rsid w:val="000D4ADC"/>
    <w:rsid w:val="000D4D4E"/>
    <w:rsid w:val="000D5210"/>
    <w:rsid w:val="000D5222"/>
    <w:rsid w:val="000D525F"/>
    <w:rsid w:val="000D58F3"/>
    <w:rsid w:val="000D5BDC"/>
    <w:rsid w:val="000D5C49"/>
    <w:rsid w:val="000D5D1F"/>
    <w:rsid w:val="000D5D91"/>
    <w:rsid w:val="000D5EA4"/>
    <w:rsid w:val="000D5FE4"/>
    <w:rsid w:val="000D63F0"/>
    <w:rsid w:val="000D6E36"/>
    <w:rsid w:val="000D7046"/>
    <w:rsid w:val="000D71DB"/>
    <w:rsid w:val="000D7574"/>
    <w:rsid w:val="000D7886"/>
    <w:rsid w:val="000D7EFB"/>
    <w:rsid w:val="000E02D0"/>
    <w:rsid w:val="000E0736"/>
    <w:rsid w:val="000E0D93"/>
    <w:rsid w:val="000E152F"/>
    <w:rsid w:val="000E15AD"/>
    <w:rsid w:val="000E1698"/>
    <w:rsid w:val="000E19F1"/>
    <w:rsid w:val="000E1AE1"/>
    <w:rsid w:val="000E1BC1"/>
    <w:rsid w:val="000E1C21"/>
    <w:rsid w:val="000E1CCA"/>
    <w:rsid w:val="000E1D5A"/>
    <w:rsid w:val="000E1F7B"/>
    <w:rsid w:val="000E1F99"/>
    <w:rsid w:val="000E2036"/>
    <w:rsid w:val="000E223A"/>
    <w:rsid w:val="000E239C"/>
    <w:rsid w:val="000E254E"/>
    <w:rsid w:val="000E27AD"/>
    <w:rsid w:val="000E281C"/>
    <w:rsid w:val="000E2F98"/>
    <w:rsid w:val="000E30CB"/>
    <w:rsid w:val="000E3CCB"/>
    <w:rsid w:val="000E4515"/>
    <w:rsid w:val="000E452C"/>
    <w:rsid w:val="000E4DC8"/>
    <w:rsid w:val="000E4DF7"/>
    <w:rsid w:val="000E4E1D"/>
    <w:rsid w:val="000E512E"/>
    <w:rsid w:val="000E52E5"/>
    <w:rsid w:val="000E5558"/>
    <w:rsid w:val="000E5597"/>
    <w:rsid w:val="000E5D8F"/>
    <w:rsid w:val="000E60AC"/>
    <w:rsid w:val="000E65B3"/>
    <w:rsid w:val="000E67EB"/>
    <w:rsid w:val="000E6B5A"/>
    <w:rsid w:val="000E7133"/>
    <w:rsid w:val="000E721B"/>
    <w:rsid w:val="000E770B"/>
    <w:rsid w:val="000E775F"/>
    <w:rsid w:val="000E79BA"/>
    <w:rsid w:val="000E7A51"/>
    <w:rsid w:val="000E7FBB"/>
    <w:rsid w:val="000F00D5"/>
    <w:rsid w:val="000F03BD"/>
    <w:rsid w:val="000F0838"/>
    <w:rsid w:val="000F0CCA"/>
    <w:rsid w:val="000F0D39"/>
    <w:rsid w:val="000F17B3"/>
    <w:rsid w:val="000F18EC"/>
    <w:rsid w:val="000F1CE2"/>
    <w:rsid w:val="000F1DFD"/>
    <w:rsid w:val="000F22A3"/>
    <w:rsid w:val="000F234A"/>
    <w:rsid w:val="000F239F"/>
    <w:rsid w:val="000F24AF"/>
    <w:rsid w:val="000F2834"/>
    <w:rsid w:val="000F28AB"/>
    <w:rsid w:val="000F2C33"/>
    <w:rsid w:val="000F2EDF"/>
    <w:rsid w:val="000F3A5D"/>
    <w:rsid w:val="000F4842"/>
    <w:rsid w:val="000F4BFD"/>
    <w:rsid w:val="000F4EA6"/>
    <w:rsid w:val="000F4F7C"/>
    <w:rsid w:val="000F5010"/>
    <w:rsid w:val="000F508C"/>
    <w:rsid w:val="000F5120"/>
    <w:rsid w:val="000F55E7"/>
    <w:rsid w:val="000F572A"/>
    <w:rsid w:val="000F57E4"/>
    <w:rsid w:val="000F58AD"/>
    <w:rsid w:val="000F5B61"/>
    <w:rsid w:val="000F5D1B"/>
    <w:rsid w:val="000F6088"/>
    <w:rsid w:val="000F6289"/>
    <w:rsid w:val="000F671A"/>
    <w:rsid w:val="000F671B"/>
    <w:rsid w:val="000F6B69"/>
    <w:rsid w:val="000F6DB1"/>
    <w:rsid w:val="000F6F9D"/>
    <w:rsid w:val="000F70C5"/>
    <w:rsid w:val="000F722C"/>
    <w:rsid w:val="000F7276"/>
    <w:rsid w:val="000F728D"/>
    <w:rsid w:val="000F7309"/>
    <w:rsid w:val="000F7391"/>
    <w:rsid w:val="000F75A1"/>
    <w:rsid w:val="000F786A"/>
    <w:rsid w:val="000F7960"/>
    <w:rsid w:val="0010011C"/>
    <w:rsid w:val="0010058C"/>
    <w:rsid w:val="001005DC"/>
    <w:rsid w:val="00100697"/>
    <w:rsid w:val="00100C5A"/>
    <w:rsid w:val="00100D9E"/>
    <w:rsid w:val="00101211"/>
    <w:rsid w:val="001013F0"/>
    <w:rsid w:val="00101B13"/>
    <w:rsid w:val="00101C0D"/>
    <w:rsid w:val="00101C2B"/>
    <w:rsid w:val="00101D42"/>
    <w:rsid w:val="00101F4E"/>
    <w:rsid w:val="0010208A"/>
    <w:rsid w:val="00102360"/>
    <w:rsid w:val="00102766"/>
    <w:rsid w:val="001027F7"/>
    <w:rsid w:val="00102A03"/>
    <w:rsid w:val="00102A91"/>
    <w:rsid w:val="00103274"/>
    <w:rsid w:val="001034BD"/>
    <w:rsid w:val="00103C9C"/>
    <w:rsid w:val="00103CF6"/>
    <w:rsid w:val="00104337"/>
    <w:rsid w:val="0010459E"/>
    <w:rsid w:val="00104A16"/>
    <w:rsid w:val="00104E42"/>
    <w:rsid w:val="00104EB4"/>
    <w:rsid w:val="0010529E"/>
    <w:rsid w:val="00105336"/>
    <w:rsid w:val="0010563A"/>
    <w:rsid w:val="0010568E"/>
    <w:rsid w:val="00105C63"/>
    <w:rsid w:val="00105CC1"/>
    <w:rsid w:val="00106236"/>
    <w:rsid w:val="00106309"/>
    <w:rsid w:val="00106358"/>
    <w:rsid w:val="00106665"/>
    <w:rsid w:val="00106D19"/>
    <w:rsid w:val="00106D9D"/>
    <w:rsid w:val="00106F9A"/>
    <w:rsid w:val="001071B6"/>
    <w:rsid w:val="0010740B"/>
    <w:rsid w:val="0010767D"/>
    <w:rsid w:val="00107724"/>
    <w:rsid w:val="001078AE"/>
    <w:rsid w:val="00107BEF"/>
    <w:rsid w:val="0011021B"/>
    <w:rsid w:val="00110A8A"/>
    <w:rsid w:val="00110B19"/>
    <w:rsid w:val="00110CBE"/>
    <w:rsid w:val="00110DF9"/>
    <w:rsid w:val="001111B1"/>
    <w:rsid w:val="00111387"/>
    <w:rsid w:val="00111433"/>
    <w:rsid w:val="001115BC"/>
    <w:rsid w:val="0011184C"/>
    <w:rsid w:val="00111AA1"/>
    <w:rsid w:val="00111B4B"/>
    <w:rsid w:val="00111C6F"/>
    <w:rsid w:val="0011250B"/>
    <w:rsid w:val="00112653"/>
    <w:rsid w:val="00112D6B"/>
    <w:rsid w:val="001130C4"/>
    <w:rsid w:val="001130EB"/>
    <w:rsid w:val="00113266"/>
    <w:rsid w:val="0011357E"/>
    <w:rsid w:val="001137CD"/>
    <w:rsid w:val="0011384A"/>
    <w:rsid w:val="00113B35"/>
    <w:rsid w:val="00113B75"/>
    <w:rsid w:val="00113E5A"/>
    <w:rsid w:val="00114361"/>
    <w:rsid w:val="001149C0"/>
    <w:rsid w:val="00114E56"/>
    <w:rsid w:val="00115276"/>
    <w:rsid w:val="00115633"/>
    <w:rsid w:val="00115715"/>
    <w:rsid w:val="00115B6C"/>
    <w:rsid w:val="00115CEC"/>
    <w:rsid w:val="00116075"/>
    <w:rsid w:val="00116128"/>
    <w:rsid w:val="00116425"/>
    <w:rsid w:val="001164BB"/>
    <w:rsid w:val="00116690"/>
    <w:rsid w:val="001167EA"/>
    <w:rsid w:val="00116847"/>
    <w:rsid w:val="001168AA"/>
    <w:rsid w:val="001175EE"/>
    <w:rsid w:val="00117641"/>
    <w:rsid w:val="00117BBC"/>
    <w:rsid w:val="00117FAD"/>
    <w:rsid w:val="001204AA"/>
    <w:rsid w:val="001207EA"/>
    <w:rsid w:val="00120DEC"/>
    <w:rsid w:val="00120E0D"/>
    <w:rsid w:val="00121044"/>
    <w:rsid w:val="001217DB"/>
    <w:rsid w:val="00121926"/>
    <w:rsid w:val="00121A73"/>
    <w:rsid w:val="00121CBF"/>
    <w:rsid w:val="001224F9"/>
    <w:rsid w:val="0012284E"/>
    <w:rsid w:val="00122A3D"/>
    <w:rsid w:val="00122DF1"/>
    <w:rsid w:val="00123109"/>
    <w:rsid w:val="00123471"/>
    <w:rsid w:val="001236C3"/>
    <w:rsid w:val="0012379B"/>
    <w:rsid w:val="00123D56"/>
    <w:rsid w:val="001240A4"/>
    <w:rsid w:val="001246FA"/>
    <w:rsid w:val="00124984"/>
    <w:rsid w:val="001249E6"/>
    <w:rsid w:val="00124C10"/>
    <w:rsid w:val="00124EE6"/>
    <w:rsid w:val="00124F04"/>
    <w:rsid w:val="00125316"/>
    <w:rsid w:val="001258C5"/>
    <w:rsid w:val="00125B50"/>
    <w:rsid w:val="00126007"/>
    <w:rsid w:val="001262BF"/>
    <w:rsid w:val="001263B9"/>
    <w:rsid w:val="00126950"/>
    <w:rsid w:val="001273BD"/>
    <w:rsid w:val="001275CA"/>
    <w:rsid w:val="00127FC0"/>
    <w:rsid w:val="00130986"/>
    <w:rsid w:val="00130B3D"/>
    <w:rsid w:val="00130E05"/>
    <w:rsid w:val="00131029"/>
    <w:rsid w:val="0013120A"/>
    <w:rsid w:val="00131297"/>
    <w:rsid w:val="00131745"/>
    <w:rsid w:val="0013175C"/>
    <w:rsid w:val="00131C22"/>
    <w:rsid w:val="00131C7A"/>
    <w:rsid w:val="00131D2C"/>
    <w:rsid w:val="00131F0B"/>
    <w:rsid w:val="001322BF"/>
    <w:rsid w:val="0013253A"/>
    <w:rsid w:val="00132621"/>
    <w:rsid w:val="0013262F"/>
    <w:rsid w:val="00132657"/>
    <w:rsid w:val="00132BFD"/>
    <w:rsid w:val="00132E02"/>
    <w:rsid w:val="001330C9"/>
    <w:rsid w:val="001331D4"/>
    <w:rsid w:val="001338D9"/>
    <w:rsid w:val="00133990"/>
    <w:rsid w:val="00133A78"/>
    <w:rsid w:val="00133BB9"/>
    <w:rsid w:val="0013427E"/>
    <w:rsid w:val="001348D7"/>
    <w:rsid w:val="00134D8D"/>
    <w:rsid w:val="00134F95"/>
    <w:rsid w:val="00135015"/>
    <w:rsid w:val="00135565"/>
    <w:rsid w:val="00135659"/>
    <w:rsid w:val="001356BB"/>
    <w:rsid w:val="001357C0"/>
    <w:rsid w:val="00135A5B"/>
    <w:rsid w:val="00135AED"/>
    <w:rsid w:val="00135CF6"/>
    <w:rsid w:val="00135E96"/>
    <w:rsid w:val="00135E9A"/>
    <w:rsid w:val="001360F4"/>
    <w:rsid w:val="0013629A"/>
    <w:rsid w:val="00136950"/>
    <w:rsid w:val="00136E08"/>
    <w:rsid w:val="00136EFA"/>
    <w:rsid w:val="00136FA6"/>
    <w:rsid w:val="001373DB"/>
    <w:rsid w:val="00137447"/>
    <w:rsid w:val="001374E7"/>
    <w:rsid w:val="00137802"/>
    <w:rsid w:val="0013784B"/>
    <w:rsid w:val="0013788E"/>
    <w:rsid w:val="00140247"/>
    <w:rsid w:val="001407E2"/>
    <w:rsid w:val="00140C14"/>
    <w:rsid w:val="00140C4F"/>
    <w:rsid w:val="00140FC8"/>
    <w:rsid w:val="001410E6"/>
    <w:rsid w:val="00141268"/>
    <w:rsid w:val="001412DB"/>
    <w:rsid w:val="0014185F"/>
    <w:rsid w:val="0014275F"/>
    <w:rsid w:val="0014283F"/>
    <w:rsid w:val="001429FD"/>
    <w:rsid w:val="00142A42"/>
    <w:rsid w:val="00143335"/>
    <w:rsid w:val="00143715"/>
    <w:rsid w:val="00143A47"/>
    <w:rsid w:val="00143D11"/>
    <w:rsid w:val="00143E0F"/>
    <w:rsid w:val="00143F73"/>
    <w:rsid w:val="001440D6"/>
    <w:rsid w:val="00144182"/>
    <w:rsid w:val="00144225"/>
    <w:rsid w:val="0014480D"/>
    <w:rsid w:val="00144B39"/>
    <w:rsid w:val="00144B56"/>
    <w:rsid w:val="00144F3F"/>
    <w:rsid w:val="001450BE"/>
    <w:rsid w:val="0014513B"/>
    <w:rsid w:val="001453D6"/>
    <w:rsid w:val="001454F7"/>
    <w:rsid w:val="00145669"/>
    <w:rsid w:val="00145E82"/>
    <w:rsid w:val="001460E4"/>
    <w:rsid w:val="001466F3"/>
    <w:rsid w:val="0014672F"/>
    <w:rsid w:val="00146989"/>
    <w:rsid w:val="00146D62"/>
    <w:rsid w:val="00146E89"/>
    <w:rsid w:val="00146EF4"/>
    <w:rsid w:val="0014728B"/>
    <w:rsid w:val="001474E0"/>
    <w:rsid w:val="00147876"/>
    <w:rsid w:val="00147C45"/>
    <w:rsid w:val="00147CFB"/>
    <w:rsid w:val="00147D6C"/>
    <w:rsid w:val="00147E83"/>
    <w:rsid w:val="00147FDD"/>
    <w:rsid w:val="00150549"/>
    <w:rsid w:val="001506D3"/>
    <w:rsid w:val="00150A41"/>
    <w:rsid w:val="00150B83"/>
    <w:rsid w:val="00151124"/>
    <w:rsid w:val="0015129C"/>
    <w:rsid w:val="001512AC"/>
    <w:rsid w:val="00151324"/>
    <w:rsid w:val="00151A67"/>
    <w:rsid w:val="00151BEB"/>
    <w:rsid w:val="00151C22"/>
    <w:rsid w:val="00151D87"/>
    <w:rsid w:val="00151F69"/>
    <w:rsid w:val="0015216B"/>
    <w:rsid w:val="00152248"/>
    <w:rsid w:val="00152276"/>
    <w:rsid w:val="00152513"/>
    <w:rsid w:val="0015287B"/>
    <w:rsid w:val="001529D6"/>
    <w:rsid w:val="00152A45"/>
    <w:rsid w:val="00153051"/>
    <w:rsid w:val="00153366"/>
    <w:rsid w:val="0015364D"/>
    <w:rsid w:val="00153739"/>
    <w:rsid w:val="0015373F"/>
    <w:rsid w:val="00153C73"/>
    <w:rsid w:val="00153FA9"/>
    <w:rsid w:val="00154204"/>
    <w:rsid w:val="00154B4B"/>
    <w:rsid w:val="00154FBE"/>
    <w:rsid w:val="00155151"/>
    <w:rsid w:val="001553A7"/>
    <w:rsid w:val="00155B0A"/>
    <w:rsid w:val="00155E0D"/>
    <w:rsid w:val="00155F15"/>
    <w:rsid w:val="0015632F"/>
    <w:rsid w:val="0015651A"/>
    <w:rsid w:val="001565EB"/>
    <w:rsid w:val="0015666C"/>
    <w:rsid w:val="00156A09"/>
    <w:rsid w:val="00156EDE"/>
    <w:rsid w:val="00156F68"/>
    <w:rsid w:val="00157234"/>
    <w:rsid w:val="00157259"/>
    <w:rsid w:val="0015752D"/>
    <w:rsid w:val="0015766B"/>
    <w:rsid w:val="00157796"/>
    <w:rsid w:val="00157970"/>
    <w:rsid w:val="00157A9F"/>
    <w:rsid w:val="00157B71"/>
    <w:rsid w:val="00157EFE"/>
    <w:rsid w:val="00160372"/>
    <w:rsid w:val="0016045A"/>
    <w:rsid w:val="0016057C"/>
    <w:rsid w:val="001607B1"/>
    <w:rsid w:val="00160A6B"/>
    <w:rsid w:val="00161623"/>
    <w:rsid w:val="001616BD"/>
    <w:rsid w:val="001616DE"/>
    <w:rsid w:val="00161749"/>
    <w:rsid w:val="00161911"/>
    <w:rsid w:val="00161D5C"/>
    <w:rsid w:val="00161E13"/>
    <w:rsid w:val="001621E0"/>
    <w:rsid w:val="0016230F"/>
    <w:rsid w:val="0016235B"/>
    <w:rsid w:val="001624A2"/>
    <w:rsid w:val="0016257C"/>
    <w:rsid w:val="00162CA1"/>
    <w:rsid w:val="00162D01"/>
    <w:rsid w:val="00162D90"/>
    <w:rsid w:val="0016328C"/>
    <w:rsid w:val="0016344A"/>
    <w:rsid w:val="00163457"/>
    <w:rsid w:val="00163BC9"/>
    <w:rsid w:val="00163DA0"/>
    <w:rsid w:val="00163E2B"/>
    <w:rsid w:val="00163EF6"/>
    <w:rsid w:val="001644BF"/>
    <w:rsid w:val="001647DD"/>
    <w:rsid w:val="00164852"/>
    <w:rsid w:val="001648B6"/>
    <w:rsid w:val="00164BF5"/>
    <w:rsid w:val="00164CE9"/>
    <w:rsid w:val="00164D0F"/>
    <w:rsid w:val="00164EF3"/>
    <w:rsid w:val="0016504A"/>
    <w:rsid w:val="0016505E"/>
    <w:rsid w:val="001652C2"/>
    <w:rsid w:val="001653AF"/>
    <w:rsid w:val="001654E6"/>
    <w:rsid w:val="001656EC"/>
    <w:rsid w:val="00165718"/>
    <w:rsid w:val="001658C6"/>
    <w:rsid w:val="001658F6"/>
    <w:rsid w:val="00165954"/>
    <w:rsid w:val="00165EB4"/>
    <w:rsid w:val="00165EE6"/>
    <w:rsid w:val="00166089"/>
    <w:rsid w:val="001661E9"/>
    <w:rsid w:val="001663FB"/>
    <w:rsid w:val="0016651A"/>
    <w:rsid w:val="00166C3B"/>
    <w:rsid w:val="00166E15"/>
    <w:rsid w:val="00167395"/>
    <w:rsid w:val="0016749C"/>
    <w:rsid w:val="00167569"/>
    <w:rsid w:val="001676C2"/>
    <w:rsid w:val="00167821"/>
    <w:rsid w:val="00167E1A"/>
    <w:rsid w:val="0017013A"/>
    <w:rsid w:val="0017065B"/>
    <w:rsid w:val="00170878"/>
    <w:rsid w:val="00170EDB"/>
    <w:rsid w:val="00170F62"/>
    <w:rsid w:val="00171398"/>
    <w:rsid w:val="0017144E"/>
    <w:rsid w:val="0017177E"/>
    <w:rsid w:val="00171801"/>
    <w:rsid w:val="00171A28"/>
    <w:rsid w:val="00171C16"/>
    <w:rsid w:val="00172194"/>
    <w:rsid w:val="001725BF"/>
    <w:rsid w:val="001726ED"/>
    <w:rsid w:val="001727A3"/>
    <w:rsid w:val="0017296C"/>
    <w:rsid w:val="00172E94"/>
    <w:rsid w:val="00173194"/>
    <w:rsid w:val="001738DA"/>
    <w:rsid w:val="00173954"/>
    <w:rsid w:val="00173AEE"/>
    <w:rsid w:val="00173DFB"/>
    <w:rsid w:val="00174605"/>
    <w:rsid w:val="001747C4"/>
    <w:rsid w:val="00174B0D"/>
    <w:rsid w:val="00174C7D"/>
    <w:rsid w:val="00175066"/>
    <w:rsid w:val="00175068"/>
    <w:rsid w:val="001750EA"/>
    <w:rsid w:val="00175151"/>
    <w:rsid w:val="001753A7"/>
    <w:rsid w:val="00175B9B"/>
    <w:rsid w:val="00175E0B"/>
    <w:rsid w:val="0017609A"/>
    <w:rsid w:val="001764C5"/>
    <w:rsid w:val="001765B6"/>
    <w:rsid w:val="001767C5"/>
    <w:rsid w:val="00176BCC"/>
    <w:rsid w:val="00176D63"/>
    <w:rsid w:val="00176F10"/>
    <w:rsid w:val="00176FB9"/>
    <w:rsid w:val="001773B6"/>
    <w:rsid w:val="00177650"/>
    <w:rsid w:val="001777A3"/>
    <w:rsid w:val="00177A8D"/>
    <w:rsid w:val="00177B98"/>
    <w:rsid w:val="00177D94"/>
    <w:rsid w:val="00177EDA"/>
    <w:rsid w:val="001800FA"/>
    <w:rsid w:val="001802EB"/>
    <w:rsid w:val="00180401"/>
    <w:rsid w:val="00180457"/>
    <w:rsid w:val="001808DB"/>
    <w:rsid w:val="00180A26"/>
    <w:rsid w:val="00180E7C"/>
    <w:rsid w:val="00181214"/>
    <w:rsid w:val="001815BA"/>
    <w:rsid w:val="00181CC4"/>
    <w:rsid w:val="00181E82"/>
    <w:rsid w:val="00182152"/>
    <w:rsid w:val="00182573"/>
    <w:rsid w:val="00182A62"/>
    <w:rsid w:val="001833C3"/>
    <w:rsid w:val="001833E4"/>
    <w:rsid w:val="0018356F"/>
    <w:rsid w:val="00183683"/>
    <w:rsid w:val="001836AD"/>
    <w:rsid w:val="00183C21"/>
    <w:rsid w:val="00183EF7"/>
    <w:rsid w:val="001843A2"/>
    <w:rsid w:val="00184AFA"/>
    <w:rsid w:val="00184BB9"/>
    <w:rsid w:val="00185748"/>
    <w:rsid w:val="00185888"/>
    <w:rsid w:val="00185931"/>
    <w:rsid w:val="001859D2"/>
    <w:rsid w:val="00185A41"/>
    <w:rsid w:val="001864D4"/>
    <w:rsid w:val="001864ED"/>
    <w:rsid w:val="00186A73"/>
    <w:rsid w:val="00186B19"/>
    <w:rsid w:val="00186C08"/>
    <w:rsid w:val="00186FDA"/>
    <w:rsid w:val="0018733A"/>
    <w:rsid w:val="001873B1"/>
    <w:rsid w:val="00187995"/>
    <w:rsid w:val="00187AEA"/>
    <w:rsid w:val="00187B5E"/>
    <w:rsid w:val="00187C31"/>
    <w:rsid w:val="001900AC"/>
    <w:rsid w:val="001902A9"/>
    <w:rsid w:val="00190321"/>
    <w:rsid w:val="00190B24"/>
    <w:rsid w:val="0019143F"/>
    <w:rsid w:val="0019147D"/>
    <w:rsid w:val="00191DD7"/>
    <w:rsid w:val="00192522"/>
    <w:rsid w:val="00192561"/>
    <w:rsid w:val="001925AA"/>
    <w:rsid w:val="001926B4"/>
    <w:rsid w:val="00192DF5"/>
    <w:rsid w:val="00192EB9"/>
    <w:rsid w:val="00192F3A"/>
    <w:rsid w:val="00193150"/>
    <w:rsid w:val="001931CC"/>
    <w:rsid w:val="00193535"/>
    <w:rsid w:val="001937FF"/>
    <w:rsid w:val="00193D3E"/>
    <w:rsid w:val="00193DA3"/>
    <w:rsid w:val="001940DF"/>
    <w:rsid w:val="0019463A"/>
    <w:rsid w:val="001946D0"/>
    <w:rsid w:val="00194AC9"/>
    <w:rsid w:val="00194D9A"/>
    <w:rsid w:val="001955F6"/>
    <w:rsid w:val="00195659"/>
    <w:rsid w:val="001956A7"/>
    <w:rsid w:val="001956C1"/>
    <w:rsid w:val="00195E07"/>
    <w:rsid w:val="00195F8A"/>
    <w:rsid w:val="00196036"/>
    <w:rsid w:val="001964B7"/>
    <w:rsid w:val="00196BC0"/>
    <w:rsid w:val="00196C00"/>
    <w:rsid w:val="00196C57"/>
    <w:rsid w:val="00196C9D"/>
    <w:rsid w:val="00196D0E"/>
    <w:rsid w:val="00196D83"/>
    <w:rsid w:val="0019713F"/>
    <w:rsid w:val="00197153"/>
    <w:rsid w:val="00197BE4"/>
    <w:rsid w:val="00197D33"/>
    <w:rsid w:val="001A005A"/>
    <w:rsid w:val="001A07CD"/>
    <w:rsid w:val="001A0871"/>
    <w:rsid w:val="001A0966"/>
    <w:rsid w:val="001A1120"/>
    <w:rsid w:val="001A133B"/>
    <w:rsid w:val="001A1648"/>
    <w:rsid w:val="001A1D05"/>
    <w:rsid w:val="001A1D20"/>
    <w:rsid w:val="001A1E20"/>
    <w:rsid w:val="001A2146"/>
    <w:rsid w:val="001A21D5"/>
    <w:rsid w:val="001A22E1"/>
    <w:rsid w:val="001A27C1"/>
    <w:rsid w:val="001A2C1B"/>
    <w:rsid w:val="001A3364"/>
    <w:rsid w:val="001A3849"/>
    <w:rsid w:val="001A3E78"/>
    <w:rsid w:val="001A3FEB"/>
    <w:rsid w:val="001A4457"/>
    <w:rsid w:val="001A4907"/>
    <w:rsid w:val="001A5602"/>
    <w:rsid w:val="001A5858"/>
    <w:rsid w:val="001A6084"/>
    <w:rsid w:val="001A60CC"/>
    <w:rsid w:val="001A6321"/>
    <w:rsid w:val="001A6342"/>
    <w:rsid w:val="001A639F"/>
    <w:rsid w:val="001A6530"/>
    <w:rsid w:val="001A694E"/>
    <w:rsid w:val="001A69D6"/>
    <w:rsid w:val="001A7041"/>
    <w:rsid w:val="001A7CA3"/>
    <w:rsid w:val="001A7D35"/>
    <w:rsid w:val="001A7D73"/>
    <w:rsid w:val="001A7E5C"/>
    <w:rsid w:val="001A7FAF"/>
    <w:rsid w:val="001B0013"/>
    <w:rsid w:val="001B0476"/>
    <w:rsid w:val="001B0902"/>
    <w:rsid w:val="001B0B19"/>
    <w:rsid w:val="001B1705"/>
    <w:rsid w:val="001B1745"/>
    <w:rsid w:val="001B1E95"/>
    <w:rsid w:val="001B214F"/>
    <w:rsid w:val="001B217F"/>
    <w:rsid w:val="001B22CD"/>
    <w:rsid w:val="001B2491"/>
    <w:rsid w:val="001B2629"/>
    <w:rsid w:val="001B2905"/>
    <w:rsid w:val="001B2906"/>
    <w:rsid w:val="001B2A1E"/>
    <w:rsid w:val="001B2F94"/>
    <w:rsid w:val="001B362B"/>
    <w:rsid w:val="001B3761"/>
    <w:rsid w:val="001B37DF"/>
    <w:rsid w:val="001B3DC0"/>
    <w:rsid w:val="001B41F7"/>
    <w:rsid w:val="001B491E"/>
    <w:rsid w:val="001B4BC1"/>
    <w:rsid w:val="001B4C2E"/>
    <w:rsid w:val="001B4D17"/>
    <w:rsid w:val="001B4F8B"/>
    <w:rsid w:val="001B508C"/>
    <w:rsid w:val="001B50CA"/>
    <w:rsid w:val="001B590B"/>
    <w:rsid w:val="001B592E"/>
    <w:rsid w:val="001B5C51"/>
    <w:rsid w:val="001B5E98"/>
    <w:rsid w:val="001B62A2"/>
    <w:rsid w:val="001B659A"/>
    <w:rsid w:val="001B68AF"/>
    <w:rsid w:val="001B6ACA"/>
    <w:rsid w:val="001B7030"/>
    <w:rsid w:val="001B75ED"/>
    <w:rsid w:val="001B7B31"/>
    <w:rsid w:val="001B7CF6"/>
    <w:rsid w:val="001B7F03"/>
    <w:rsid w:val="001C0015"/>
    <w:rsid w:val="001C034B"/>
    <w:rsid w:val="001C06FA"/>
    <w:rsid w:val="001C0909"/>
    <w:rsid w:val="001C094D"/>
    <w:rsid w:val="001C1A2E"/>
    <w:rsid w:val="001C1A55"/>
    <w:rsid w:val="001C1C00"/>
    <w:rsid w:val="001C1D2C"/>
    <w:rsid w:val="001C1F1A"/>
    <w:rsid w:val="001C21DF"/>
    <w:rsid w:val="001C2468"/>
    <w:rsid w:val="001C27F0"/>
    <w:rsid w:val="001C285B"/>
    <w:rsid w:val="001C29C7"/>
    <w:rsid w:val="001C33E7"/>
    <w:rsid w:val="001C3490"/>
    <w:rsid w:val="001C3532"/>
    <w:rsid w:val="001C371D"/>
    <w:rsid w:val="001C3945"/>
    <w:rsid w:val="001C3D2C"/>
    <w:rsid w:val="001C4352"/>
    <w:rsid w:val="001C4868"/>
    <w:rsid w:val="001C4938"/>
    <w:rsid w:val="001C4A1F"/>
    <w:rsid w:val="001C4F69"/>
    <w:rsid w:val="001C505D"/>
    <w:rsid w:val="001C5064"/>
    <w:rsid w:val="001C50DD"/>
    <w:rsid w:val="001C5208"/>
    <w:rsid w:val="001C6030"/>
    <w:rsid w:val="001C660E"/>
    <w:rsid w:val="001C6B32"/>
    <w:rsid w:val="001C741C"/>
    <w:rsid w:val="001C7766"/>
    <w:rsid w:val="001C7C6F"/>
    <w:rsid w:val="001C7F96"/>
    <w:rsid w:val="001C7FA3"/>
    <w:rsid w:val="001D00D1"/>
    <w:rsid w:val="001D01B8"/>
    <w:rsid w:val="001D035B"/>
    <w:rsid w:val="001D0CF8"/>
    <w:rsid w:val="001D0D59"/>
    <w:rsid w:val="001D0F46"/>
    <w:rsid w:val="001D10A1"/>
    <w:rsid w:val="001D1221"/>
    <w:rsid w:val="001D1261"/>
    <w:rsid w:val="001D1A2F"/>
    <w:rsid w:val="001D1D4C"/>
    <w:rsid w:val="001D2373"/>
    <w:rsid w:val="001D278A"/>
    <w:rsid w:val="001D2A5D"/>
    <w:rsid w:val="001D34CF"/>
    <w:rsid w:val="001D3942"/>
    <w:rsid w:val="001D3B3A"/>
    <w:rsid w:val="001D3EBB"/>
    <w:rsid w:val="001D4109"/>
    <w:rsid w:val="001D4301"/>
    <w:rsid w:val="001D441B"/>
    <w:rsid w:val="001D4749"/>
    <w:rsid w:val="001D4CC4"/>
    <w:rsid w:val="001D5394"/>
    <w:rsid w:val="001D5434"/>
    <w:rsid w:val="001D56EF"/>
    <w:rsid w:val="001D58B4"/>
    <w:rsid w:val="001D5910"/>
    <w:rsid w:val="001D5A31"/>
    <w:rsid w:val="001D5C50"/>
    <w:rsid w:val="001D60FB"/>
    <w:rsid w:val="001D62D1"/>
    <w:rsid w:val="001D720F"/>
    <w:rsid w:val="001D751E"/>
    <w:rsid w:val="001D75CB"/>
    <w:rsid w:val="001D75E1"/>
    <w:rsid w:val="001D7770"/>
    <w:rsid w:val="001D7EDF"/>
    <w:rsid w:val="001E0313"/>
    <w:rsid w:val="001E0749"/>
    <w:rsid w:val="001E07DC"/>
    <w:rsid w:val="001E08AC"/>
    <w:rsid w:val="001E0A67"/>
    <w:rsid w:val="001E0A92"/>
    <w:rsid w:val="001E0C02"/>
    <w:rsid w:val="001E1086"/>
    <w:rsid w:val="001E12FF"/>
    <w:rsid w:val="001E13CC"/>
    <w:rsid w:val="001E16B5"/>
    <w:rsid w:val="001E1F49"/>
    <w:rsid w:val="001E2285"/>
    <w:rsid w:val="001E27D7"/>
    <w:rsid w:val="001E2CD4"/>
    <w:rsid w:val="001E2CEE"/>
    <w:rsid w:val="001E3474"/>
    <w:rsid w:val="001E3A38"/>
    <w:rsid w:val="001E3F9C"/>
    <w:rsid w:val="001E4608"/>
    <w:rsid w:val="001E498A"/>
    <w:rsid w:val="001E4CF1"/>
    <w:rsid w:val="001E561F"/>
    <w:rsid w:val="001E5726"/>
    <w:rsid w:val="001E5756"/>
    <w:rsid w:val="001E5900"/>
    <w:rsid w:val="001E5A82"/>
    <w:rsid w:val="001E5B40"/>
    <w:rsid w:val="001E5BEA"/>
    <w:rsid w:val="001E5E61"/>
    <w:rsid w:val="001E5ECC"/>
    <w:rsid w:val="001E5F4A"/>
    <w:rsid w:val="001E636D"/>
    <w:rsid w:val="001E6393"/>
    <w:rsid w:val="001E65FE"/>
    <w:rsid w:val="001E6616"/>
    <w:rsid w:val="001E6681"/>
    <w:rsid w:val="001E68D8"/>
    <w:rsid w:val="001E6AA3"/>
    <w:rsid w:val="001E6C24"/>
    <w:rsid w:val="001E70C2"/>
    <w:rsid w:val="001E7155"/>
    <w:rsid w:val="001E735B"/>
    <w:rsid w:val="001E74C2"/>
    <w:rsid w:val="001E7631"/>
    <w:rsid w:val="001E7BE5"/>
    <w:rsid w:val="001F01AA"/>
    <w:rsid w:val="001F02F1"/>
    <w:rsid w:val="001F0B6F"/>
    <w:rsid w:val="001F0C2B"/>
    <w:rsid w:val="001F0E5C"/>
    <w:rsid w:val="001F110A"/>
    <w:rsid w:val="001F135B"/>
    <w:rsid w:val="001F14DD"/>
    <w:rsid w:val="001F14DF"/>
    <w:rsid w:val="001F1553"/>
    <w:rsid w:val="001F1BB1"/>
    <w:rsid w:val="001F1BED"/>
    <w:rsid w:val="001F1D14"/>
    <w:rsid w:val="001F1FE3"/>
    <w:rsid w:val="001F20B0"/>
    <w:rsid w:val="001F222C"/>
    <w:rsid w:val="001F2236"/>
    <w:rsid w:val="001F28AE"/>
    <w:rsid w:val="001F2964"/>
    <w:rsid w:val="001F2B73"/>
    <w:rsid w:val="001F3025"/>
    <w:rsid w:val="001F38A8"/>
    <w:rsid w:val="001F3A6B"/>
    <w:rsid w:val="001F3ADE"/>
    <w:rsid w:val="001F4998"/>
    <w:rsid w:val="001F4A8A"/>
    <w:rsid w:val="001F4E50"/>
    <w:rsid w:val="001F4E7F"/>
    <w:rsid w:val="001F4FE1"/>
    <w:rsid w:val="001F5094"/>
    <w:rsid w:val="001F5D69"/>
    <w:rsid w:val="001F5E29"/>
    <w:rsid w:val="001F604D"/>
    <w:rsid w:val="001F629B"/>
    <w:rsid w:val="001F63B1"/>
    <w:rsid w:val="001F65FA"/>
    <w:rsid w:val="001F66A2"/>
    <w:rsid w:val="001F69DA"/>
    <w:rsid w:val="001F6A5C"/>
    <w:rsid w:val="001F6DD5"/>
    <w:rsid w:val="001F73A5"/>
    <w:rsid w:val="001F74D2"/>
    <w:rsid w:val="001F78CD"/>
    <w:rsid w:val="001F7918"/>
    <w:rsid w:val="001F7AA3"/>
    <w:rsid w:val="001F7D43"/>
    <w:rsid w:val="001F7D7E"/>
    <w:rsid w:val="002000AC"/>
    <w:rsid w:val="0020076E"/>
    <w:rsid w:val="0020095C"/>
    <w:rsid w:val="00200E08"/>
    <w:rsid w:val="00200FAC"/>
    <w:rsid w:val="00201367"/>
    <w:rsid w:val="00201DDE"/>
    <w:rsid w:val="00202501"/>
    <w:rsid w:val="00202622"/>
    <w:rsid w:val="00202947"/>
    <w:rsid w:val="002029A0"/>
    <w:rsid w:val="00203067"/>
    <w:rsid w:val="00203243"/>
    <w:rsid w:val="00203306"/>
    <w:rsid w:val="00203335"/>
    <w:rsid w:val="0020413B"/>
    <w:rsid w:val="00204243"/>
    <w:rsid w:val="00204590"/>
    <w:rsid w:val="002046C8"/>
    <w:rsid w:val="0020484A"/>
    <w:rsid w:val="00204A13"/>
    <w:rsid w:val="00204F40"/>
    <w:rsid w:val="002050A4"/>
    <w:rsid w:val="002053E7"/>
    <w:rsid w:val="00205583"/>
    <w:rsid w:val="00205640"/>
    <w:rsid w:val="002056D4"/>
    <w:rsid w:val="002058AA"/>
    <w:rsid w:val="00205979"/>
    <w:rsid w:val="00205D5E"/>
    <w:rsid w:val="0020607D"/>
    <w:rsid w:val="00206FEC"/>
    <w:rsid w:val="002074E9"/>
    <w:rsid w:val="0020771F"/>
    <w:rsid w:val="002077D2"/>
    <w:rsid w:val="0020786F"/>
    <w:rsid w:val="002079F8"/>
    <w:rsid w:val="00207CBF"/>
    <w:rsid w:val="00207EF7"/>
    <w:rsid w:val="0021049C"/>
    <w:rsid w:val="00210517"/>
    <w:rsid w:val="00210889"/>
    <w:rsid w:val="00210B71"/>
    <w:rsid w:val="00210D3D"/>
    <w:rsid w:val="00211030"/>
    <w:rsid w:val="0021142E"/>
    <w:rsid w:val="002114C2"/>
    <w:rsid w:val="0021174E"/>
    <w:rsid w:val="002117CB"/>
    <w:rsid w:val="002117E3"/>
    <w:rsid w:val="00211E66"/>
    <w:rsid w:val="002120AC"/>
    <w:rsid w:val="002122EF"/>
    <w:rsid w:val="0021239D"/>
    <w:rsid w:val="0021245E"/>
    <w:rsid w:val="00212565"/>
    <w:rsid w:val="002128D2"/>
    <w:rsid w:val="00212D8F"/>
    <w:rsid w:val="00212DB2"/>
    <w:rsid w:val="00212F60"/>
    <w:rsid w:val="00212FC8"/>
    <w:rsid w:val="00213423"/>
    <w:rsid w:val="002141E6"/>
    <w:rsid w:val="00214344"/>
    <w:rsid w:val="00214988"/>
    <w:rsid w:val="00214A95"/>
    <w:rsid w:val="00214C03"/>
    <w:rsid w:val="00214C0A"/>
    <w:rsid w:val="00214E12"/>
    <w:rsid w:val="00215F5F"/>
    <w:rsid w:val="0021615A"/>
    <w:rsid w:val="002162F9"/>
    <w:rsid w:val="002164C9"/>
    <w:rsid w:val="0021660B"/>
    <w:rsid w:val="00216DF4"/>
    <w:rsid w:val="00216EA4"/>
    <w:rsid w:val="002171AD"/>
    <w:rsid w:val="0021748B"/>
    <w:rsid w:val="00217662"/>
    <w:rsid w:val="002176AE"/>
    <w:rsid w:val="00217CC6"/>
    <w:rsid w:val="00217D40"/>
    <w:rsid w:val="0022032E"/>
    <w:rsid w:val="00220D35"/>
    <w:rsid w:val="00220FD9"/>
    <w:rsid w:val="0022132C"/>
    <w:rsid w:val="00221A0A"/>
    <w:rsid w:val="00221D15"/>
    <w:rsid w:val="00221E81"/>
    <w:rsid w:val="00221FC5"/>
    <w:rsid w:val="00222081"/>
    <w:rsid w:val="002220EE"/>
    <w:rsid w:val="002221C5"/>
    <w:rsid w:val="0022262A"/>
    <w:rsid w:val="00222779"/>
    <w:rsid w:val="0022282C"/>
    <w:rsid w:val="00222AAB"/>
    <w:rsid w:val="00222D19"/>
    <w:rsid w:val="002233BB"/>
    <w:rsid w:val="00223716"/>
    <w:rsid w:val="002240DC"/>
    <w:rsid w:val="002240F6"/>
    <w:rsid w:val="00224D73"/>
    <w:rsid w:val="00224E16"/>
    <w:rsid w:val="00224EE2"/>
    <w:rsid w:val="002250B0"/>
    <w:rsid w:val="00225216"/>
    <w:rsid w:val="00225359"/>
    <w:rsid w:val="0022543F"/>
    <w:rsid w:val="002259F6"/>
    <w:rsid w:val="00225E4E"/>
    <w:rsid w:val="002263AB"/>
    <w:rsid w:val="00226495"/>
    <w:rsid w:val="002264BD"/>
    <w:rsid w:val="00226589"/>
    <w:rsid w:val="00226A0F"/>
    <w:rsid w:val="00226A19"/>
    <w:rsid w:val="002270A3"/>
    <w:rsid w:val="0022719C"/>
    <w:rsid w:val="002278BF"/>
    <w:rsid w:val="0023030C"/>
    <w:rsid w:val="00230584"/>
    <w:rsid w:val="002306B0"/>
    <w:rsid w:val="0023071E"/>
    <w:rsid w:val="0023096F"/>
    <w:rsid w:val="002309D8"/>
    <w:rsid w:val="00231525"/>
    <w:rsid w:val="002315CE"/>
    <w:rsid w:val="00231DB2"/>
    <w:rsid w:val="00231E3F"/>
    <w:rsid w:val="00232064"/>
    <w:rsid w:val="002324EB"/>
    <w:rsid w:val="00232518"/>
    <w:rsid w:val="0023322A"/>
    <w:rsid w:val="00233A7D"/>
    <w:rsid w:val="00233E96"/>
    <w:rsid w:val="002340A8"/>
    <w:rsid w:val="0023430E"/>
    <w:rsid w:val="0023464E"/>
    <w:rsid w:val="00234A5F"/>
    <w:rsid w:val="00234D3B"/>
    <w:rsid w:val="00234E32"/>
    <w:rsid w:val="002350CA"/>
    <w:rsid w:val="00235749"/>
    <w:rsid w:val="00235F0E"/>
    <w:rsid w:val="0023606F"/>
    <w:rsid w:val="0023640B"/>
    <w:rsid w:val="00236AB5"/>
    <w:rsid w:val="00236B45"/>
    <w:rsid w:val="002374BB"/>
    <w:rsid w:val="00237838"/>
    <w:rsid w:val="0023783E"/>
    <w:rsid w:val="00237982"/>
    <w:rsid w:val="00237AB6"/>
    <w:rsid w:val="00237ABA"/>
    <w:rsid w:val="0024003E"/>
    <w:rsid w:val="00240055"/>
    <w:rsid w:val="002400EA"/>
    <w:rsid w:val="002401D4"/>
    <w:rsid w:val="0024038E"/>
    <w:rsid w:val="002406B7"/>
    <w:rsid w:val="00240881"/>
    <w:rsid w:val="00240AED"/>
    <w:rsid w:val="00240C36"/>
    <w:rsid w:val="00240E00"/>
    <w:rsid w:val="00241345"/>
    <w:rsid w:val="002413AF"/>
    <w:rsid w:val="0024176E"/>
    <w:rsid w:val="00241FA4"/>
    <w:rsid w:val="0024215C"/>
    <w:rsid w:val="002421D0"/>
    <w:rsid w:val="00242B16"/>
    <w:rsid w:val="00243357"/>
    <w:rsid w:val="002438A4"/>
    <w:rsid w:val="002438E2"/>
    <w:rsid w:val="00243942"/>
    <w:rsid w:val="00243F20"/>
    <w:rsid w:val="002441DF"/>
    <w:rsid w:val="00244734"/>
    <w:rsid w:val="00244AE3"/>
    <w:rsid w:val="00244B75"/>
    <w:rsid w:val="00244E1A"/>
    <w:rsid w:val="00244FB7"/>
    <w:rsid w:val="00245351"/>
    <w:rsid w:val="0024580D"/>
    <w:rsid w:val="00245D07"/>
    <w:rsid w:val="002462D7"/>
    <w:rsid w:val="0024666F"/>
    <w:rsid w:val="00246835"/>
    <w:rsid w:val="002469A6"/>
    <w:rsid w:val="00247065"/>
    <w:rsid w:val="0024718D"/>
    <w:rsid w:val="00247237"/>
    <w:rsid w:val="00247458"/>
    <w:rsid w:val="0024759F"/>
    <w:rsid w:val="0024764D"/>
    <w:rsid w:val="00247807"/>
    <w:rsid w:val="00250377"/>
    <w:rsid w:val="0025087C"/>
    <w:rsid w:val="002509B6"/>
    <w:rsid w:val="00250E33"/>
    <w:rsid w:val="0025100C"/>
    <w:rsid w:val="0025124C"/>
    <w:rsid w:val="0025157C"/>
    <w:rsid w:val="00251A24"/>
    <w:rsid w:val="00251A4F"/>
    <w:rsid w:val="00251AD7"/>
    <w:rsid w:val="00251C4C"/>
    <w:rsid w:val="00251D47"/>
    <w:rsid w:val="002520C0"/>
    <w:rsid w:val="00252212"/>
    <w:rsid w:val="002525CD"/>
    <w:rsid w:val="00252C91"/>
    <w:rsid w:val="00252D17"/>
    <w:rsid w:val="00252E56"/>
    <w:rsid w:val="002530CC"/>
    <w:rsid w:val="00253346"/>
    <w:rsid w:val="002533E9"/>
    <w:rsid w:val="0025394D"/>
    <w:rsid w:val="00253B21"/>
    <w:rsid w:val="00253C4A"/>
    <w:rsid w:val="00253D82"/>
    <w:rsid w:val="0025444D"/>
    <w:rsid w:val="002545F3"/>
    <w:rsid w:val="002548C1"/>
    <w:rsid w:val="0025493F"/>
    <w:rsid w:val="00254BC7"/>
    <w:rsid w:val="00254EE0"/>
    <w:rsid w:val="00254F93"/>
    <w:rsid w:val="00255614"/>
    <w:rsid w:val="00255F4E"/>
    <w:rsid w:val="002561B4"/>
    <w:rsid w:val="0025644E"/>
    <w:rsid w:val="00256929"/>
    <w:rsid w:val="00256C29"/>
    <w:rsid w:val="00256D5A"/>
    <w:rsid w:val="00256F11"/>
    <w:rsid w:val="0025735B"/>
    <w:rsid w:val="00257752"/>
    <w:rsid w:val="002577C2"/>
    <w:rsid w:val="00257892"/>
    <w:rsid w:val="00257B76"/>
    <w:rsid w:val="00257BDA"/>
    <w:rsid w:val="00257C5E"/>
    <w:rsid w:val="00257E55"/>
    <w:rsid w:val="002600A1"/>
    <w:rsid w:val="002611D6"/>
    <w:rsid w:val="002614E4"/>
    <w:rsid w:val="002615A9"/>
    <w:rsid w:val="00261B14"/>
    <w:rsid w:val="0026215B"/>
    <w:rsid w:val="00262824"/>
    <w:rsid w:val="00262956"/>
    <w:rsid w:val="00262BEB"/>
    <w:rsid w:val="0026311D"/>
    <w:rsid w:val="00263242"/>
    <w:rsid w:val="002636C2"/>
    <w:rsid w:val="00263ACF"/>
    <w:rsid w:val="00263C1D"/>
    <w:rsid w:val="00263CE5"/>
    <w:rsid w:val="0026412D"/>
    <w:rsid w:val="00264397"/>
    <w:rsid w:val="002643CF"/>
    <w:rsid w:val="002644CF"/>
    <w:rsid w:val="0026454C"/>
    <w:rsid w:val="002649A0"/>
    <w:rsid w:val="00264C28"/>
    <w:rsid w:val="002658BA"/>
    <w:rsid w:val="002659F1"/>
    <w:rsid w:val="00265ACA"/>
    <w:rsid w:val="00265E6E"/>
    <w:rsid w:val="00265EB4"/>
    <w:rsid w:val="00265EEB"/>
    <w:rsid w:val="00266262"/>
    <w:rsid w:val="00266728"/>
    <w:rsid w:val="00266D84"/>
    <w:rsid w:val="00266DA8"/>
    <w:rsid w:val="002675E7"/>
    <w:rsid w:val="00267649"/>
    <w:rsid w:val="002677A8"/>
    <w:rsid w:val="0026789D"/>
    <w:rsid w:val="00267AE1"/>
    <w:rsid w:val="002700C9"/>
    <w:rsid w:val="00270435"/>
    <w:rsid w:val="002704C4"/>
    <w:rsid w:val="0027057D"/>
    <w:rsid w:val="0027089D"/>
    <w:rsid w:val="00270902"/>
    <w:rsid w:val="00270A69"/>
    <w:rsid w:val="00270AB2"/>
    <w:rsid w:val="00270C9B"/>
    <w:rsid w:val="00270DF9"/>
    <w:rsid w:val="00271410"/>
    <w:rsid w:val="002714AD"/>
    <w:rsid w:val="00271A6A"/>
    <w:rsid w:val="00272072"/>
    <w:rsid w:val="00272175"/>
    <w:rsid w:val="00272393"/>
    <w:rsid w:val="002726BC"/>
    <w:rsid w:val="00272890"/>
    <w:rsid w:val="00272AAF"/>
    <w:rsid w:val="00273107"/>
    <w:rsid w:val="0027352D"/>
    <w:rsid w:val="002738CD"/>
    <w:rsid w:val="002739EF"/>
    <w:rsid w:val="00273EFF"/>
    <w:rsid w:val="002740AE"/>
    <w:rsid w:val="002740BC"/>
    <w:rsid w:val="0027415C"/>
    <w:rsid w:val="00274303"/>
    <w:rsid w:val="00274894"/>
    <w:rsid w:val="00274911"/>
    <w:rsid w:val="00274CB1"/>
    <w:rsid w:val="00274F3B"/>
    <w:rsid w:val="0027574A"/>
    <w:rsid w:val="00275C45"/>
    <w:rsid w:val="0027634E"/>
    <w:rsid w:val="00276649"/>
    <w:rsid w:val="002766CB"/>
    <w:rsid w:val="00276889"/>
    <w:rsid w:val="002768DB"/>
    <w:rsid w:val="00276998"/>
    <w:rsid w:val="00276B4E"/>
    <w:rsid w:val="00277241"/>
    <w:rsid w:val="00277363"/>
    <w:rsid w:val="00277829"/>
    <w:rsid w:val="00277832"/>
    <w:rsid w:val="00277956"/>
    <w:rsid w:val="0027796E"/>
    <w:rsid w:val="00277F05"/>
    <w:rsid w:val="00280A23"/>
    <w:rsid w:val="00280B88"/>
    <w:rsid w:val="00281419"/>
    <w:rsid w:val="00281696"/>
    <w:rsid w:val="00281C8E"/>
    <w:rsid w:val="00281DC7"/>
    <w:rsid w:val="0028223D"/>
    <w:rsid w:val="00282256"/>
    <w:rsid w:val="002823F1"/>
    <w:rsid w:val="0028264E"/>
    <w:rsid w:val="00282655"/>
    <w:rsid w:val="0028268A"/>
    <w:rsid w:val="00282BFA"/>
    <w:rsid w:val="00282CA8"/>
    <w:rsid w:val="002833F9"/>
    <w:rsid w:val="002843F6"/>
    <w:rsid w:val="00284461"/>
    <w:rsid w:val="00284542"/>
    <w:rsid w:val="00284A32"/>
    <w:rsid w:val="002853C7"/>
    <w:rsid w:val="00285556"/>
    <w:rsid w:val="00285ADA"/>
    <w:rsid w:val="00285C1D"/>
    <w:rsid w:val="00285E0E"/>
    <w:rsid w:val="002860C2"/>
    <w:rsid w:val="00286E90"/>
    <w:rsid w:val="00286E94"/>
    <w:rsid w:val="0028713C"/>
    <w:rsid w:val="00287160"/>
    <w:rsid w:val="002874D3"/>
    <w:rsid w:val="00287550"/>
    <w:rsid w:val="00287A04"/>
    <w:rsid w:val="00287AA8"/>
    <w:rsid w:val="00287B86"/>
    <w:rsid w:val="00287BBA"/>
    <w:rsid w:val="00287EBF"/>
    <w:rsid w:val="00290570"/>
    <w:rsid w:val="00290677"/>
    <w:rsid w:val="002907BF"/>
    <w:rsid w:val="00290873"/>
    <w:rsid w:val="00291A67"/>
    <w:rsid w:val="00291C2C"/>
    <w:rsid w:val="00291F34"/>
    <w:rsid w:val="00292181"/>
    <w:rsid w:val="0029268D"/>
    <w:rsid w:val="0029269C"/>
    <w:rsid w:val="002926D2"/>
    <w:rsid w:val="002929B4"/>
    <w:rsid w:val="00292B28"/>
    <w:rsid w:val="00292F10"/>
    <w:rsid w:val="00293236"/>
    <w:rsid w:val="00293D63"/>
    <w:rsid w:val="00294196"/>
    <w:rsid w:val="0029453C"/>
    <w:rsid w:val="00294571"/>
    <w:rsid w:val="0029480D"/>
    <w:rsid w:val="00294939"/>
    <w:rsid w:val="00294AD3"/>
    <w:rsid w:val="00294CCD"/>
    <w:rsid w:val="00294F54"/>
    <w:rsid w:val="0029527E"/>
    <w:rsid w:val="0029564C"/>
    <w:rsid w:val="002959C5"/>
    <w:rsid w:val="00295A95"/>
    <w:rsid w:val="00295FC3"/>
    <w:rsid w:val="0029636D"/>
    <w:rsid w:val="00296688"/>
    <w:rsid w:val="002969BF"/>
    <w:rsid w:val="00296C36"/>
    <w:rsid w:val="0029768F"/>
    <w:rsid w:val="00297F6D"/>
    <w:rsid w:val="002A0545"/>
    <w:rsid w:val="002A0643"/>
    <w:rsid w:val="002A0729"/>
    <w:rsid w:val="002A0808"/>
    <w:rsid w:val="002A0DE8"/>
    <w:rsid w:val="002A0E16"/>
    <w:rsid w:val="002A10A1"/>
    <w:rsid w:val="002A17D9"/>
    <w:rsid w:val="002A180F"/>
    <w:rsid w:val="002A1BA3"/>
    <w:rsid w:val="002A1EAD"/>
    <w:rsid w:val="002A213D"/>
    <w:rsid w:val="002A226C"/>
    <w:rsid w:val="002A2303"/>
    <w:rsid w:val="002A2441"/>
    <w:rsid w:val="002A244B"/>
    <w:rsid w:val="002A293B"/>
    <w:rsid w:val="002A29F8"/>
    <w:rsid w:val="002A2A70"/>
    <w:rsid w:val="002A2BD1"/>
    <w:rsid w:val="002A2CAA"/>
    <w:rsid w:val="002A3746"/>
    <w:rsid w:val="002A389C"/>
    <w:rsid w:val="002A391F"/>
    <w:rsid w:val="002A3ADC"/>
    <w:rsid w:val="002A3B5D"/>
    <w:rsid w:val="002A3C0C"/>
    <w:rsid w:val="002A437A"/>
    <w:rsid w:val="002A443C"/>
    <w:rsid w:val="002A4A70"/>
    <w:rsid w:val="002A4E0D"/>
    <w:rsid w:val="002A4FD7"/>
    <w:rsid w:val="002A5411"/>
    <w:rsid w:val="002A5643"/>
    <w:rsid w:val="002A5716"/>
    <w:rsid w:val="002A5720"/>
    <w:rsid w:val="002A5C9A"/>
    <w:rsid w:val="002A5E06"/>
    <w:rsid w:val="002A5E83"/>
    <w:rsid w:val="002A699A"/>
    <w:rsid w:val="002A6B05"/>
    <w:rsid w:val="002A6E32"/>
    <w:rsid w:val="002A6EF2"/>
    <w:rsid w:val="002A7638"/>
    <w:rsid w:val="002A773E"/>
    <w:rsid w:val="002A77D9"/>
    <w:rsid w:val="002B06C3"/>
    <w:rsid w:val="002B0879"/>
    <w:rsid w:val="002B0940"/>
    <w:rsid w:val="002B0C5A"/>
    <w:rsid w:val="002B0EB0"/>
    <w:rsid w:val="002B1237"/>
    <w:rsid w:val="002B1773"/>
    <w:rsid w:val="002B17F5"/>
    <w:rsid w:val="002B2535"/>
    <w:rsid w:val="002B2635"/>
    <w:rsid w:val="002B2798"/>
    <w:rsid w:val="002B285C"/>
    <w:rsid w:val="002B292B"/>
    <w:rsid w:val="002B2B6F"/>
    <w:rsid w:val="002B2D5E"/>
    <w:rsid w:val="002B2E60"/>
    <w:rsid w:val="002B312D"/>
    <w:rsid w:val="002B32DE"/>
    <w:rsid w:val="002B33A9"/>
    <w:rsid w:val="002B3579"/>
    <w:rsid w:val="002B3743"/>
    <w:rsid w:val="002B38FA"/>
    <w:rsid w:val="002B3DF4"/>
    <w:rsid w:val="002B42D7"/>
    <w:rsid w:val="002B483B"/>
    <w:rsid w:val="002B4DEE"/>
    <w:rsid w:val="002B6410"/>
    <w:rsid w:val="002B641B"/>
    <w:rsid w:val="002B6A79"/>
    <w:rsid w:val="002B6C52"/>
    <w:rsid w:val="002B7086"/>
    <w:rsid w:val="002B71DF"/>
    <w:rsid w:val="002B751F"/>
    <w:rsid w:val="002B7605"/>
    <w:rsid w:val="002B76E4"/>
    <w:rsid w:val="002B76E5"/>
    <w:rsid w:val="002B7CB2"/>
    <w:rsid w:val="002C01BB"/>
    <w:rsid w:val="002C01D6"/>
    <w:rsid w:val="002C01F9"/>
    <w:rsid w:val="002C04CF"/>
    <w:rsid w:val="002C085A"/>
    <w:rsid w:val="002C0C26"/>
    <w:rsid w:val="002C0C75"/>
    <w:rsid w:val="002C0ECE"/>
    <w:rsid w:val="002C160A"/>
    <w:rsid w:val="002C1665"/>
    <w:rsid w:val="002C16DC"/>
    <w:rsid w:val="002C1B5F"/>
    <w:rsid w:val="002C206D"/>
    <w:rsid w:val="002C23EA"/>
    <w:rsid w:val="002C2779"/>
    <w:rsid w:val="002C2A8D"/>
    <w:rsid w:val="002C2AD7"/>
    <w:rsid w:val="002C31F1"/>
    <w:rsid w:val="002C34FE"/>
    <w:rsid w:val="002C3765"/>
    <w:rsid w:val="002C3849"/>
    <w:rsid w:val="002C3A40"/>
    <w:rsid w:val="002C3AF2"/>
    <w:rsid w:val="002C3B30"/>
    <w:rsid w:val="002C4C47"/>
    <w:rsid w:val="002C4F9A"/>
    <w:rsid w:val="002C50A3"/>
    <w:rsid w:val="002C55CA"/>
    <w:rsid w:val="002C56C9"/>
    <w:rsid w:val="002C5B76"/>
    <w:rsid w:val="002C5EC9"/>
    <w:rsid w:val="002C5F14"/>
    <w:rsid w:val="002C6277"/>
    <w:rsid w:val="002C6362"/>
    <w:rsid w:val="002C662D"/>
    <w:rsid w:val="002C68B4"/>
    <w:rsid w:val="002C6C16"/>
    <w:rsid w:val="002C6C9E"/>
    <w:rsid w:val="002C70EF"/>
    <w:rsid w:val="002C7377"/>
    <w:rsid w:val="002C7486"/>
    <w:rsid w:val="002C7566"/>
    <w:rsid w:val="002C7790"/>
    <w:rsid w:val="002C7D44"/>
    <w:rsid w:val="002C7EE4"/>
    <w:rsid w:val="002D0124"/>
    <w:rsid w:val="002D05FE"/>
    <w:rsid w:val="002D07A6"/>
    <w:rsid w:val="002D09D6"/>
    <w:rsid w:val="002D0F2D"/>
    <w:rsid w:val="002D0FCA"/>
    <w:rsid w:val="002D13B6"/>
    <w:rsid w:val="002D18F1"/>
    <w:rsid w:val="002D1A0D"/>
    <w:rsid w:val="002D1BA7"/>
    <w:rsid w:val="002D1FC6"/>
    <w:rsid w:val="002D2525"/>
    <w:rsid w:val="002D266B"/>
    <w:rsid w:val="002D2782"/>
    <w:rsid w:val="002D2785"/>
    <w:rsid w:val="002D2800"/>
    <w:rsid w:val="002D2AA0"/>
    <w:rsid w:val="002D2E15"/>
    <w:rsid w:val="002D37DA"/>
    <w:rsid w:val="002D37E0"/>
    <w:rsid w:val="002D3855"/>
    <w:rsid w:val="002D39AF"/>
    <w:rsid w:val="002D39C6"/>
    <w:rsid w:val="002D3BFB"/>
    <w:rsid w:val="002D3ECE"/>
    <w:rsid w:val="002D40D9"/>
    <w:rsid w:val="002D4ADF"/>
    <w:rsid w:val="002D5166"/>
    <w:rsid w:val="002D535B"/>
    <w:rsid w:val="002D54F8"/>
    <w:rsid w:val="002D576C"/>
    <w:rsid w:val="002D5BAE"/>
    <w:rsid w:val="002D5CEE"/>
    <w:rsid w:val="002D5DDC"/>
    <w:rsid w:val="002D5E48"/>
    <w:rsid w:val="002D602B"/>
    <w:rsid w:val="002D6069"/>
    <w:rsid w:val="002D60D6"/>
    <w:rsid w:val="002D68EE"/>
    <w:rsid w:val="002D6C0D"/>
    <w:rsid w:val="002D7BA2"/>
    <w:rsid w:val="002D7BDF"/>
    <w:rsid w:val="002D7D02"/>
    <w:rsid w:val="002D7E89"/>
    <w:rsid w:val="002E0086"/>
    <w:rsid w:val="002E0946"/>
    <w:rsid w:val="002E0A22"/>
    <w:rsid w:val="002E0BA6"/>
    <w:rsid w:val="002E11C5"/>
    <w:rsid w:val="002E13A6"/>
    <w:rsid w:val="002E1546"/>
    <w:rsid w:val="002E1863"/>
    <w:rsid w:val="002E1C28"/>
    <w:rsid w:val="002E1C3A"/>
    <w:rsid w:val="002E2315"/>
    <w:rsid w:val="002E2E86"/>
    <w:rsid w:val="002E2FEC"/>
    <w:rsid w:val="002E3532"/>
    <w:rsid w:val="002E406D"/>
    <w:rsid w:val="002E4787"/>
    <w:rsid w:val="002E4DAD"/>
    <w:rsid w:val="002E50AD"/>
    <w:rsid w:val="002E51C1"/>
    <w:rsid w:val="002E5501"/>
    <w:rsid w:val="002E576E"/>
    <w:rsid w:val="002E68E1"/>
    <w:rsid w:val="002E6A7C"/>
    <w:rsid w:val="002E6D3B"/>
    <w:rsid w:val="002E720F"/>
    <w:rsid w:val="002E738B"/>
    <w:rsid w:val="002E74A5"/>
    <w:rsid w:val="002E779C"/>
    <w:rsid w:val="002E7C55"/>
    <w:rsid w:val="002E7CA6"/>
    <w:rsid w:val="002E7D29"/>
    <w:rsid w:val="002F02BF"/>
    <w:rsid w:val="002F041C"/>
    <w:rsid w:val="002F05AF"/>
    <w:rsid w:val="002F0856"/>
    <w:rsid w:val="002F09A2"/>
    <w:rsid w:val="002F0B26"/>
    <w:rsid w:val="002F0F70"/>
    <w:rsid w:val="002F1433"/>
    <w:rsid w:val="002F1455"/>
    <w:rsid w:val="002F17AA"/>
    <w:rsid w:val="002F183F"/>
    <w:rsid w:val="002F190B"/>
    <w:rsid w:val="002F1CF0"/>
    <w:rsid w:val="002F1D4C"/>
    <w:rsid w:val="002F1DCB"/>
    <w:rsid w:val="002F1F1C"/>
    <w:rsid w:val="002F227B"/>
    <w:rsid w:val="002F24B8"/>
    <w:rsid w:val="002F28C9"/>
    <w:rsid w:val="002F2973"/>
    <w:rsid w:val="002F298F"/>
    <w:rsid w:val="002F302D"/>
    <w:rsid w:val="002F3198"/>
    <w:rsid w:val="002F3613"/>
    <w:rsid w:val="002F3DEF"/>
    <w:rsid w:val="002F3FC1"/>
    <w:rsid w:val="002F40A3"/>
    <w:rsid w:val="002F40BB"/>
    <w:rsid w:val="002F411A"/>
    <w:rsid w:val="002F4E33"/>
    <w:rsid w:val="002F51A0"/>
    <w:rsid w:val="002F5349"/>
    <w:rsid w:val="002F55CF"/>
    <w:rsid w:val="002F5D21"/>
    <w:rsid w:val="002F5F00"/>
    <w:rsid w:val="002F6029"/>
    <w:rsid w:val="002F64CB"/>
    <w:rsid w:val="002F6547"/>
    <w:rsid w:val="002F6834"/>
    <w:rsid w:val="002F6A4F"/>
    <w:rsid w:val="002F6CAA"/>
    <w:rsid w:val="002F7059"/>
    <w:rsid w:val="002F754B"/>
    <w:rsid w:val="002F77EE"/>
    <w:rsid w:val="002F7903"/>
    <w:rsid w:val="002F798F"/>
    <w:rsid w:val="002F7BC6"/>
    <w:rsid w:val="002F7F1F"/>
    <w:rsid w:val="00300198"/>
    <w:rsid w:val="003009E1"/>
    <w:rsid w:val="00300C5B"/>
    <w:rsid w:val="00301412"/>
    <w:rsid w:val="0030148B"/>
    <w:rsid w:val="0030190B"/>
    <w:rsid w:val="0030200E"/>
    <w:rsid w:val="00302114"/>
    <w:rsid w:val="003023B1"/>
    <w:rsid w:val="003023EA"/>
    <w:rsid w:val="00302A54"/>
    <w:rsid w:val="00302A72"/>
    <w:rsid w:val="00302BE2"/>
    <w:rsid w:val="00303122"/>
    <w:rsid w:val="00303258"/>
    <w:rsid w:val="003032F4"/>
    <w:rsid w:val="00303439"/>
    <w:rsid w:val="0030355D"/>
    <w:rsid w:val="00303894"/>
    <w:rsid w:val="003038BF"/>
    <w:rsid w:val="00303A1A"/>
    <w:rsid w:val="00303D6C"/>
    <w:rsid w:val="003041F0"/>
    <w:rsid w:val="003044C7"/>
    <w:rsid w:val="00304760"/>
    <w:rsid w:val="003047EC"/>
    <w:rsid w:val="00304AFB"/>
    <w:rsid w:val="00304D93"/>
    <w:rsid w:val="00304EB9"/>
    <w:rsid w:val="003052B3"/>
    <w:rsid w:val="00305357"/>
    <w:rsid w:val="00305380"/>
    <w:rsid w:val="003054A9"/>
    <w:rsid w:val="003054AF"/>
    <w:rsid w:val="003059AE"/>
    <w:rsid w:val="00305AA2"/>
    <w:rsid w:val="00305BEF"/>
    <w:rsid w:val="00305C66"/>
    <w:rsid w:val="00305DA7"/>
    <w:rsid w:val="0030601F"/>
    <w:rsid w:val="0030603F"/>
    <w:rsid w:val="003061D0"/>
    <w:rsid w:val="003061D3"/>
    <w:rsid w:val="00306494"/>
    <w:rsid w:val="00306C74"/>
    <w:rsid w:val="0030768A"/>
    <w:rsid w:val="00307749"/>
    <w:rsid w:val="003079D6"/>
    <w:rsid w:val="00307B0D"/>
    <w:rsid w:val="00307C1C"/>
    <w:rsid w:val="00307D75"/>
    <w:rsid w:val="00307EFF"/>
    <w:rsid w:val="00307FB9"/>
    <w:rsid w:val="003100A0"/>
    <w:rsid w:val="003101E4"/>
    <w:rsid w:val="00311258"/>
    <w:rsid w:val="003116CB"/>
    <w:rsid w:val="00311743"/>
    <w:rsid w:val="00311BCE"/>
    <w:rsid w:val="00311C44"/>
    <w:rsid w:val="00312187"/>
    <w:rsid w:val="003122D1"/>
    <w:rsid w:val="003123E1"/>
    <w:rsid w:val="003126D8"/>
    <w:rsid w:val="00312987"/>
    <w:rsid w:val="00312D1F"/>
    <w:rsid w:val="00313522"/>
    <w:rsid w:val="003136CA"/>
    <w:rsid w:val="00313ADC"/>
    <w:rsid w:val="00313B52"/>
    <w:rsid w:val="00313BAF"/>
    <w:rsid w:val="00313C82"/>
    <w:rsid w:val="00313E31"/>
    <w:rsid w:val="00313E64"/>
    <w:rsid w:val="00313F3C"/>
    <w:rsid w:val="003140BD"/>
    <w:rsid w:val="003141EE"/>
    <w:rsid w:val="00314219"/>
    <w:rsid w:val="0031466D"/>
    <w:rsid w:val="00314B55"/>
    <w:rsid w:val="00315508"/>
    <w:rsid w:val="0031573E"/>
    <w:rsid w:val="00315926"/>
    <w:rsid w:val="00315951"/>
    <w:rsid w:val="00315EFD"/>
    <w:rsid w:val="00316783"/>
    <w:rsid w:val="0031680E"/>
    <w:rsid w:val="003169DE"/>
    <w:rsid w:val="00316DE5"/>
    <w:rsid w:val="00317389"/>
    <w:rsid w:val="00317680"/>
    <w:rsid w:val="00317701"/>
    <w:rsid w:val="003177D5"/>
    <w:rsid w:val="00317F87"/>
    <w:rsid w:val="00320798"/>
    <w:rsid w:val="00320A06"/>
    <w:rsid w:val="00321462"/>
    <w:rsid w:val="00321796"/>
    <w:rsid w:val="003217F7"/>
    <w:rsid w:val="003219DD"/>
    <w:rsid w:val="00321C77"/>
    <w:rsid w:val="00321DF0"/>
    <w:rsid w:val="00321E0C"/>
    <w:rsid w:val="00322718"/>
    <w:rsid w:val="003230BF"/>
    <w:rsid w:val="00323508"/>
    <w:rsid w:val="0032575A"/>
    <w:rsid w:val="003261F1"/>
    <w:rsid w:val="0032639E"/>
    <w:rsid w:val="003264B5"/>
    <w:rsid w:val="00326B37"/>
    <w:rsid w:val="00326FB7"/>
    <w:rsid w:val="003271FC"/>
    <w:rsid w:val="00327297"/>
    <w:rsid w:val="003272EC"/>
    <w:rsid w:val="0032731F"/>
    <w:rsid w:val="00327F61"/>
    <w:rsid w:val="00330062"/>
    <w:rsid w:val="003300B2"/>
    <w:rsid w:val="003302CE"/>
    <w:rsid w:val="003305CB"/>
    <w:rsid w:val="00330E61"/>
    <w:rsid w:val="00331069"/>
    <w:rsid w:val="0033113B"/>
    <w:rsid w:val="003311DE"/>
    <w:rsid w:val="0033153C"/>
    <w:rsid w:val="00331576"/>
    <w:rsid w:val="00331A01"/>
    <w:rsid w:val="00331BCE"/>
    <w:rsid w:val="00331F1E"/>
    <w:rsid w:val="00332321"/>
    <w:rsid w:val="00332403"/>
    <w:rsid w:val="0033242E"/>
    <w:rsid w:val="003325CB"/>
    <w:rsid w:val="00332B17"/>
    <w:rsid w:val="00332B40"/>
    <w:rsid w:val="003331B8"/>
    <w:rsid w:val="0033337F"/>
    <w:rsid w:val="0033347B"/>
    <w:rsid w:val="00333988"/>
    <w:rsid w:val="00333A2B"/>
    <w:rsid w:val="0033404A"/>
    <w:rsid w:val="00334165"/>
    <w:rsid w:val="0033437D"/>
    <w:rsid w:val="00334A71"/>
    <w:rsid w:val="00334C63"/>
    <w:rsid w:val="003350D2"/>
    <w:rsid w:val="0033510A"/>
    <w:rsid w:val="003352AB"/>
    <w:rsid w:val="003353BC"/>
    <w:rsid w:val="00335628"/>
    <w:rsid w:val="003357BD"/>
    <w:rsid w:val="00335983"/>
    <w:rsid w:val="00335E68"/>
    <w:rsid w:val="00336058"/>
    <w:rsid w:val="003362A3"/>
    <w:rsid w:val="00336342"/>
    <w:rsid w:val="003365C0"/>
    <w:rsid w:val="00336682"/>
    <w:rsid w:val="00336964"/>
    <w:rsid w:val="00336D31"/>
    <w:rsid w:val="003373A6"/>
    <w:rsid w:val="00337860"/>
    <w:rsid w:val="00337950"/>
    <w:rsid w:val="00340523"/>
    <w:rsid w:val="003406C9"/>
    <w:rsid w:val="00340ADA"/>
    <w:rsid w:val="00340B29"/>
    <w:rsid w:val="00340C78"/>
    <w:rsid w:val="00340CB8"/>
    <w:rsid w:val="00340E02"/>
    <w:rsid w:val="00340F31"/>
    <w:rsid w:val="00341061"/>
    <w:rsid w:val="00341504"/>
    <w:rsid w:val="0034161D"/>
    <w:rsid w:val="0034174D"/>
    <w:rsid w:val="00341788"/>
    <w:rsid w:val="00341FA6"/>
    <w:rsid w:val="00341FEB"/>
    <w:rsid w:val="00342599"/>
    <w:rsid w:val="003427A3"/>
    <w:rsid w:val="0034286E"/>
    <w:rsid w:val="00342898"/>
    <w:rsid w:val="003428CF"/>
    <w:rsid w:val="00342A4F"/>
    <w:rsid w:val="00342B87"/>
    <w:rsid w:val="00342C06"/>
    <w:rsid w:val="00342DED"/>
    <w:rsid w:val="00342FCC"/>
    <w:rsid w:val="003430C4"/>
    <w:rsid w:val="003432EB"/>
    <w:rsid w:val="00343519"/>
    <w:rsid w:val="00343862"/>
    <w:rsid w:val="00343C7B"/>
    <w:rsid w:val="00343EC5"/>
    <w:rsid w:val="00343F63"/>
    <w:rsid w:val="00344073"/>
    <w:rsid w:val="003441AC"/>
    <w:rsid w:val="00344273"/>
    <w:rsid w:val="003444C7"/>
    <w:rsid w:val="003445B0"/>
    <w:rsid w:val="0034474A"/>
    <w:rsid w:val="00344E46"/>
    <w:rsid w:val="003455BF"/>
    <w:rsid w:val="00346068"/>
    <w:rsid w:val="003466C4"/>
    <w:rsid w:val="0034676A"/>
    <w:rsid w:val="00346A33"/>
    <w:rsid w:val="00346A51"/>
    <w:rsid w:val="00346CE4"/>
    <w:rsid w:val="00346EBD"/>
    <w:rsid w:val="00346EF6"/>
    <w:rsid w:val="003474CB"/>
    <w:rsid w:val="003477DC"/>
    <w:rsid w:val="0034798E"/>
    <w:rsid w:val="0035049C"/>
    <w:rsid w:val="003504AC"/>
    <w:rsid w:val="0035058F"/>
    <w:rsid w:val="003506AD"/>
    <w:rsid w:val="0035094F"/>
    <w:rsid w:val="00350F1F"/>
    <w:rsid w:val="00351129"/>
    <w:rsid w:val="003511AD"/>
    <w:rsid w:val="00351D48"/>
    <w:rsid w:val="0035251B"/>
    <w:rsid w:val="00352893"/>
    <w:rsid w:val="00352ACF"/>
    <w:rsid w:val="00352E6E"/>
    <w:rsid w:val="003531B6"/>
    <w:rsid w:val="003531B7"/>
    <w:rsid w:val="0035323B"/>
    <w:rsid w:val="003534C4"/>
    <w:rsid w:val="00354029"/>
    <w:rsid w:val="00354219"/>
    <w:rsid w:val="003543DD"/>
    <w:rsid w:val="003546D7"/>
    <w:rsid w:val="00354A39"/>
    <w:rsid w:val="00354ACC"/>
    <w:rsid w:val="00354B33"/>
    <w:rsid w:val="00354C21"/>
    <w:rsid w:val="00354ED8"/>
    <w:rsid w:val="00354FE5"/>
    <w:rsid w:val="00355025"/>
    <w:rsid w:val="003554BD"/>
    <w:rsid w:val="00355716"/>
    <w:rsid w:val="003562BC"/>
    <w:rsid w:val="003563B0"/>
    <w:rsid w:val="0035656C"/>
    <w:rsid w:val="00356801"/>
    <w:rsid w:val="00356EC9"/>
    <w:rsid w:val="0035702E"/>
    <w:rsid w:val="0035707B"/>
    <w:rsid w:val="0035724B"/>
    <w:rsid w:val="003575B7"/>
    <w:rsid w:val="003575BE"/>
    <w:rsid w:val="00357725"/>
    <w:rsid w:val="0035783F"/>
    <w:rsid w:val="003602EC"/>
    <w:rsid w:val="003604F1"/>
    <w:rsid w:val="00360710"/>
    <w:rsid w:val="00360994"/>
    <w:rsid w:val="00360B0F"/>
    <w:rsid w:val="00360D9A"/>
    <w:rsid w:val="00360E09"/>
    <w:rsid w:val="003619E8"/>
    <w:rsid w:val="00361D41"/>
    <w:rsid w:val="00361F38"/>
    <w:rsid w:val="00362D07"/>
    <w:rsid w:val="00362EB6"/>
    <w:rsid w:val="00363890"/>
    <w:rsid w:val="00363DAA"/>
    <w:rsid w:val="00363DF7"/>
    <w:rsid w:val="00363F38"/>
    <w:rsid w:val="003643B4"/>
    <w:rsid w:val="00364C01"/>
    <w:rsid w:val="00364FE6"/>
    <w:rsid w:val="00365237"/>
    <w:rsid w:val="00365269"/>
    <w:rsid w:val="003654CA"/>
    <w:rsid w:val="00365595"/>
    <w:rsid w:val="0036581F"/>
    <w:rsid w:val="00365D0B"/>
    <w:rsid w:val="00365D2E"/>
    <w:rsid w:val="00366570"/>
    <w:rsid w:val="00366C13"/>
    <w:rsid w:val="00366C4E"/>
    <w:rsid w:val="00366D60"/>
    <w:rsid w:val="003670C1"/>
    <w:rsid w:val="003674DF"/>
    <w:rsid w:val="0036768E"/>
    <w:rsid w:val="003677BB"/>
    <w:rsid w:val="00367CF9"/>
    <w:rsid w:val="00370325"/>
    <w:rsid w:val="003706EF"/>
    <w:rsid w:val="00370A4A"/>
    <w:rsid w:val="00370AB6"/>
    <w:rsid w:val="00370C7E"/>
    <w:rsid w:val="00370ECF"/>
    <w:rsid w:val="00371235"/>
    <w:rsid w:val="00371736"/>
    <w:rsid w:val="00371795"/>
    <w:rsid w:val="00371DC4"/>
    <w:rsid w:val="003720B9"/>
    <w:rsid w:val="00372422"/>
    <w:rsid w:val="003727F0"/>
    <w:rsid w:val="00372810"/>
    <w:rsid w:val="00372A9C"/>
    <w:rsid w:val="00373365"/>
    <w:rsid w:val="003736B7"/>
    <w:rsid w:val="00373B85"/>
    <w:rsid w:val="00373CD6"/>
    <w:rsid w:val="00373FA4"/>
    <w:rsid w:val="00373FA5"/>
    <w:rsid w:val="003742F6"/>
    <w:rsid w:val="003743F3"/>
    <w:rsid w:val="00374A01"/>
    <w:rsid w:val="00374A72"/>
    <w:rsid w:val="00374C15"/>
    <w:rsid w:val="00375253"/>
    <w:rsid w:val="00375538"/>
    <w:rsid w:val="003759E1"/>
    <w:rsid w:val="00375B85"/>
    <w:rsid w:val="003763C2"/>
    <w:rsid w:val="00376ACE"/>
    <w:rsid w:val="00376D37"/>
    <w:rsid w:val="00376E29"/>
    <w:rsid w:val="00376E73"/>
    <w:rsid w:val="00376F87"/>
    <w:rsid w:val="00376FEC"/>
    <w:rsid w:val="00377736"/>
    <w:rsid w:val="00377A44"/>
    <w:rsid w:val="003800A2"/>
    <w:rsid w:val="003800DD"/>
    <w:rsid w:val="003801F5"/>
    <w:rsid w:val="00380304"/>
    <w:rsid w:val="003804D4"/>
    <w:rsid w:val="00380A1C"/>
    <w:rsid w:val="00380B7B"/>
    <w:rsid w:val="00380E4B"/>
    <w:rsid w:val="0038104A"/>
    <w:rsid w:val="003811EE"/>
    <w:rsid w:val="0038158E"/>
    <w:rsid w:val="003815A4"/>
    <w:rsid w:val="00381600"/>
    <w:rsid w:val="00381620"/>
    <w:rsid w:val="003816C4"/>
    <w:rsid w:val="003816E3"/>
    <w:rsid w:val="00381C96"/>
    <w:rsid w:val="00381D01"/>
    <w:rsid w:val="00381E96"/>
    <w:rsid w:val="00381EEE"/>
    <w:rsid w:val="00382444"/>
    <w:rsid w:val="003828AB"/>
    <w:rsid w:val="003828D0"/>
    <w:rsid w:val="00382F54"/>
    <w:rsid w:val="0038320F"/>
    <w:rsid w:val="003833A0"/>
    <w:rsid w:val="003838FF"/>
    <w:rsid w:val="00383B10"/>
    <w:rsid w:val="00383EA6"/>
    <w:rsid w:val="00383FAA"/>
    <w:rsid w:val="003840DF"/>
    <w:rsid w:val="003842A2"/>
    <w:rsid w:val="003844FF"/>
    <w:rsid w:val="0038451B"/>
    <w:rsid w:val="003845FC"/>
    <w:rsid w:val="0038491D"/>
    <w:rsid w:val="00384BB4"/>
    <w:rsid w:val="00384C63"/>
    <w:rsid w:val="00384CE3"/>
    <w:rsid w:val="00384E96"/>
    <w:rsid w:val="00384EC9"/>
    <w:rsid w:val="00385338"/>
    <w:rsid w:val="00385356"/>
    <w:rsid w:val="00385433"/>
    <w:rsid w:val="003859FA"/>
    <w:rsid w:val="00385B4E"/>
    <w:rsid w:val="00385DE4"/>
    <w:rsid w:val="00386019"/>
    <w:rsid w:val="00386FD5"/>
    <w:rsid w:val="003873CE"/>
    <w:rsid w:val="00387497"/>
    <w:rsid w:val="0038769C"/>
    <w:rsid w:val="00387981"/>
    <w:rsid w:val="00387B32"/>
    <w:rsid w:val="00387B90"/>
    <w:rsid w:val="00387C1B"/>
    <w:rsid w:val="00390392"/>
    <w:rsid w:val="0039089E"/>
    <w:rsid w:val="003908FA"/>
    <w:rsid w:val="00390AAC"/>
    <w:rsid w:val="003910DB"/>
    <w:rsid w:val="00391374"/>
    <w:rsid w:val="0039190F"/>
    <w:rsid w:val="00391B84"/>
    <w:rsid w:val="00391D91"/>
    <w:rsid w:val="00391ED0"/>
    <w:rsid w:val="00391F4B"/>
    <w:rsid w:val="0039203F"/>
    <w:rsid w:val="0039252B"/>
    <w:rsid w:val="003925DC"/>
    <w:rsid w:val="003926B4"/>
    <w:rsid w:val="00392963"/>
    <w:rsid w:val="00393102"/>
    <w:rsid w:val="0039359F"/>
    <w:rsid w:val="0039380B"/>
    <w:rsid w:val="00393B8B"/>
    <w:rsid w:val="0039412C"/>
    <w:rsid w:val="003943A1"/>
    <w:rsid w:val="0039456B"/>
    <w:rsid w:val="00394C97"/>
    <w:rsid w:val="00394D1E"/>
    <w:rsid w:val="00394E3F"/>
    <w:rsid w:val="00395136"/>
    <w:rsid w:val="003952A9"/>
    <w:rsid w:val="0039543F"/>
    <w:rsid w:val="0039573A"/>
    <w:rsid w:val="003963CC"/>
    <w:rsid w:val="003966B0"/>
    <w:rsid w:val="00396913"/>
    <w:rsid w:val="00396AAD"/>
    <w:rsid w:val="00396BC0"/>
    <w:rsid w:val="003978E9"/>
    <w:rsid w:val="00397AF9"/>
    <w:rsid w:val="003A00D0"/>
    <w:rsid w:val="003A021A"/>
    <w:rsid w:val="003A02F7"/>
    <w:rsid w:val="003A053F"/>
    <w:rsid w:val="003A06F7"/>
    <w:rsid w:val="003A0AE3"/>
    <w:rsid w:val="003A0F2F"/>
    <w:rsid w:val="003A0F42"/>
    <w:rsid w:val="003A13F9"/>
    <w:rsid w:val="003A1638"/>
    <w:rsid w:val="003A1E95"/>
    <w:rsid w:val="003A225A"/>
    <w:rsid w:val="003A24B8"/>
    <w:rsid w:val="003A255F"/>
    <w:rsid w:val="003A2563"/>
    <w:rsid w:val="003A25B6"/>
    <w:rsid w:val="003A2BE9"/>
    <w:rsid w:val="003A31B0"/>
    <w:rsid w:val="003A31BA"/>
    <w:rsid w:val="003A331F"/>
    <w:rsid w:val="003A377E"/>
    <w:rsid w:val="003A397F"/>
    <w:rsid w:val="003A39C9"/>
    <w:rsid w:val="003A3B20"/>
    <w:rsid w:val="003A3B58"/>
    <w:rsid w:val="003A3FEF"/>
    <w:rsid w:val="003A4103"/>
    <w:rsid w:val="003A43AF"/>
    <w:rsid w:val="003A48FF"/>
    <w:rsid w:val="003A4C52"/>
    <w:rsid w:val="003A4D40"/>
    <w:rsid w:val="003A51F1"/>
    <w:rsid w:val="003A5325"/>
    <w:rsid w:val="003A54D3"/>
    <w:rsid w:val="003A580A"/>
    <w:rsid w:val="003A5975"/>
    <w:rsid w:val="003A5AC3"/>
    <w:rsid w:val="003A5E90"/>
    <w:rsid w:val="003A62E2"/>
    <w:rsid w:val="003A6425"/>
    <w:rsid w:val="003A6BA4"/>
    <w:rsid w:val="003A6E3A"/>
    <w:rsid w:val="003A7158"/>
    <w:rsid w:val="003A75B2"/>
    <w:rsid w:val="003A78BE"/>
    <w:rsid w:val="003A7D1C"/>
    <w:rsid w:val="003B029F"/>
    <w:rsid w:val="003B03F1"/>
    <w:rsid w:val="003B061A"/>
    <w:rsid w:val="003B0650"/>
    <w:rsid w:val="003B09F5"/>
    <w:rsid w:val="003B0AD5"/>
    <w:rsid w:val="003B0EB7"/>
    <w:rsid w:val="003B1188"/>
    <w:rsid w:val="003B1280"/>
    <w:rsid w:val="003B194D"/>
    <w:rsid w:val="003B1B0D"/>
    <w:rsid w:val="003B2044"/>
    <w:rsid w:val="003B28BD"/>
    <w:rsid w:val="003B29A6"/>
    <w:rsid w:val="003B2F04"/>
    <w:rsid w:val="003B2F5A"/>
    <w:rsid w:val="003B34C5"/>
    <w:rsid w:val="003B357C"/>
    <w:rsid w:val="003B378D"/>
    <w:rsid w:val="003B44C9"/>
    <w:rsid w:val="003B450C"/>
    <w:rsid w:val="003B48F9"/>
    <w:rsid w:val="003B4D26"/>
    <w:rsid w:val="003B4DE7"/>
    <w:rsid w:val="003B4F18"/>
    <w:rsid w:val="003B56EB"/>
    <w:rsid w:val="003B5B90"/>
    <w:rsid w:val="003B6106"/>
    <w:rsid w:val="003B704C"/>
    <w:rsid w:val="003B72A4"/>
    <w:rsid w:val="003B7367"/>
    <w:rsid w:val="003B79BE"/>
    <w:rsid w:val="003B7C92"/>
    <w:rsid w:val="003C00DF"/>
    <w:rsid w:val="003C019B"/>
    <w:rsid w:val="003C0598"/>
    <w:rsid w:val="003C05C2"/>
    <w:rsid w:val="003C069E"/>
    <w:rsid w:val="003C0833"/>
    <w:rsid w:val="003C0FA0"/>
    <w:rsid w:val="003C1325"/>
    <w:rsid w:val="003C1551"/>
    <w:rsid w:val="003C18C8"/>
    <w:rsid w:val="003C1C52"/>
    <w:rsid w:val="003C1D2A"/>
    <w:rsid w:val="003C1E7B"/>
    <w:rsid w:val="003C21FE"/>
    <w:rsid w:val="003C270F"/>
    <w:rsid w:val="003C2764"/>
    <w:rsid w:val="003C28C2"/>
    <w:rsid w:val="003C2A17"/>
    <w:rsid w:val="003C2A48"/>
    <w:rsid w:val="003C2C19"/>
    <w:rsid w:val="003C2FCB"/>
    <w:rsid w:val="003C2FEE"/>
    <w:rsid w:val="003C312E"/>
    <w:rsid w:val="003C45E3"/>
    <w:rsid w:val="003C4B51"/>
    <w:rsid w:val="003C4C56"/>
    <w:rsid w:val="003C5198"/>
    <w:rsid w:val="003C5256"/>
    <w:rsid w:val="003C5275"/>
    <w:rsid w:val="003C5784"/>
    <w:rsid w:val="003C5858"/>
    <w:rsid w:val="003C591C"/>
    <w:rsid w:val="003C5E68"/>
    <w:rsid w:val="003C6529"/>
    <w:rsid w:val="003C658D"/>
    <w:rsid w:val="003C6789"/>
    <w:rsid w:val="003C6C7D"/>
    <w:rsid w:val="003C6DE5"/>
    <w:rsid w:val="003C7A90"/>
    <w:rsid w:val="003C7BB7"/>
    <w:rsid w:val="003C7D5B"/>
    <w:rsid w:val="003C7EE1"/>
    <w:rsid w:val="003D0077"/>
    <w:rsid w:val="003D0486"/>
    <w:rsid w:val="003D08BB"/>
    <w:rsid w:val="003D0F4B"/>
    <w:rsid w:val="003D10A9"/>
    <w:rsid w:val="003D12BD"/>
    <w:rsid w:val="003D1809"/>
    <w:rsid w:val="003D1A84"/>
    <w:rsid w:val="003D1AE0"/>
    <w:rsid w:val="003D1B1B"/>
    <w:rsid w:val="003D1CFA"/>
    <w:rsid w:val="003D1DD9"/>
    <w:rsid w:val="003D2605"/>
    <w:rsid w:val="003D2960"/>
    <w:rsid w:val="003D298D"/>
    <w:rsid w:val="003D2A1A"/>
    <w:rsid w:val="003D2C5B"/>
    <w:rsid w:val="003D2D52"/>
    <w:rsid w:val="003D3076"/>
    <w:rsid w:val="003D3873"/>
    <w:rsid w:val="003D3C45"/>
    <w:rsid w:val="003D42BD"/>
    <w:rsid w:val="003D44B1"/>
    <w:rsid w:val="003D4560"/>
    <w:rsid w:val="003D4775"/>
    <w:rsid w:val="003D48AE"/>
    <w:rsid w:val="003D4BA1"/>
    <w:rsid w:val="003D4E6A"/>
    <w:rsid w:val="003D5128"/>
    <w:rsid w:val="003D520B"/>
    <w:rsid w:val="003D53E4"/>
    <w:rsid w:val="003D5874"/>
    <w:rsid w:val="003D5D58"/>
    <w:rsid w:val="003D60C2"/>
    <w:rsid w:val="003D61D1"/>
    <w:rsid w:val="003D6371"/>
    <w:rsid w:val="003D6FFE"/>
    <w:rsid w:val="003D7186"/>
    <w:rsid w:val="003D73E4"/>
    <w:rsid w:val="003D7687"/>
    <w:rsid w:val="003D7726"/>
    <w:rsid w:val="003D78EF"/>
    <w:rsid w:val="003E0210"/>
    <w:rsid w:val="003E0387"/>
    <w:rsid w:val="003E0399"/>
    <w:rsid w:val="003E06EA"/>
    <w:rsid w:val="003E0969"/>
    <w:rsid w:val="003E0C7D"/>
    <w:rsid w:val="003E0C9C"/>
    <w:rsid w:val="003E0FC5"/>
    <w:rsid w:val="003E110E"/>
    <w:rsid w:val="003E12C6"/>
    <w:rsid w:val="003E18E3"/>
    <w:rsid w:val="003E1F80"/>
    <w:rsid w:val="003E2018"/>
    <w:rsid w:val="003E2EDF"/>
    <w:rsid w:val="003E30DF"/>
    <w:rsid w:val="003E30E8"/>
    <w:rsid w:val="003E3134"/>
    <w:rsid w:val="003E3532"/>
    <w:rsid w:val="003E3A32"/>
    <w:rsid w:val="003E3AF1"/>
    <w:rsid w:val="003E3DC5"/>
    <w:rsid w:val="003E41DD"/>
    <w:rsid w:val="003E46C2"/>
    <w:rsid w:val="003E4865"/>
    <w:rsid w:val="003E4B74"/>
    <w:rsid w:val="003E525D"/>
    <w:rsid w:val="003E57F6"/>
    <w:rsid w:val="003E5D06"/>
    <w:rsid w:val="003E5D31"/>
    <w:rsid w:val="003E605A"/>
    <w:rsid w:val="003E61C4"/>
    <w:rsid w:val="003E622F"/>
    <w:rsid w:val="003E638B"/>
    <w:rsid w:val="003E65A0"/>
    <w:rsid w:val="003E69F7"/>
    <w:rsid w:val="003E6ABD"/>
    <w:rsid w:val="003E6EE6"/>
    <w:rsid w:val="003E70EE"/>
    <w:rsid w:val="003E74EF"/>
    <w:rsid w:val="003E75BA"/>
    <w:rsid w:val="003E7632"/>
    <w:rsid w:val="003E7DEC"/>
    <w:rsid w:val="003E7E68"/>
    <w:rsid w:val="003F00F2"/>
    <w:rsid w:val="003F0349"/>
    <w:rsid w:val="003F0563"/>
    <w:rsid w:val="003F0640"/>
    <w:rsid w:val="003F0833"/>
    <w:rsid w:val="003F0997"/>
    <w:rsid w:val="003F0A0D"/>
    <w:rsid w:val="003F0B65"/>
    <w:rsid w:val="003F0CF7"/>
    <w:rsid w:val="003F15AE"/>
    <w:rsid w:val="003F1A6C"/>
    <w:rsid w:val="003F1B8B"/>
    <w:rsid w:val="003F1EA3"/>
    <w:rsid w:val="003F1EAB"/>
    <w:rsid w:val="003F2097"/>
    <w:rsid w:val="003F24B9"/>
    <w:rsid w:val="003F26E3"/>
    <w:rsid w:val="003F274D"/>
    <w:rsid w:val="003F276E"/>
    <w:rsid w:val="003F27A5"/>
    <w:rsid w:val="003F2D70"/>
    <w:rsid w:val="003F33B9"/>
    <w:rsid w:val="003F3891"/>
    <w:rsid w:val="003F38DE"/>
    <w:rsid w:val="003F3CE9"/>
    <w:rsid w:val="003F3DC9"/>
    <w:rsid w:val="003F3E1F"/>
    <w:rsid w:val="003F3FDC"/>
    <w:rsid w:val="003F4497"/>
    <w:rsid w:val="003F498C"/>
    <w:rsid w:val="003F4A0C"/>
    <w:rsid w:val="003F4FAC"/>
    <w:rsid w:val="003F51CC"/>
    <w:rsid w:val="003F521C"/>
    <w:rsid w:val="003F5263"/>
    <w:rsid w:val="003F532B"/>
    <w:rsid w:val="003F54C8"/>
    <w:rsid w:val="003F5AC8"/>
    <w:rsid w:val="003F5C7B"/>
    <w:rsid w:val="003F5CC2"/>
    <w:rsid w:val="003F5DA6"/>
    <w:rsid w:val="003F60F1"/>
    <w:rsid w:val="003F6129"/>
    <w:rsid w:val="003F6B41"/>
    <w:rsid w:val="003F6B7C"/>
    <w:rsid w:val="003F7CCB"/>
    <w:rsid w:val="003F7F17"/>
    <w:rsid w:val="004003D3"/>
    <w:rsid w:val="004004CB"/>
    <w:rsid w:val="00400531"/>
    <w:rsid w:val="004005C1"/>
    <w:rsid w:val="00400AC0"/>
    <w:rsid w:val="00400FBC"/>
    <w:rsid w:val="00401998"/>
    <w:rsid w:val="00401C9E"/>
    <w:rsid w:val="00401CB6"/>
    <w:rsid w:val="0040207C"/>
    <w:rsid w:val="004020F7"/>
    <w:rsid w:val="0040238F"/>
    <w:rsid w:val="004023AA"/>
    <w:rsid w:val="00402482"/>
    <w:rsid w:val="00402491"/>
    <w:rsid w:val="004024C6"/>
    <w:rsid w:val="00402A95"/>
    <w:rsid w:val="00402B72"/>
    <w:rsid w:val="00402D0C"/>
    <w:rsid w:val="00403061"/>
    <w:rsid w:val="00403536"/>
    <w:rsid w:val="00403728"/>
    <w:rsid w:val="00403950"/>
    <w:rsid w:val="00403A40"/>
    <w:rsid w:val="00403A43"/>
    <w:rsid w:val="00403D04"/>
    <w:rsid w:val="00403DF4"/>
    <w:rsid w:val="00403F75"/>
    <w:rsid w:val="004046E6"/>
    <w:rsid w:val="004048C4"/>
    <w:rsid w:val="0040498D"/>
    <w:rsid w:val="004049DD"/>
    <w:rsid w:val="00404C87"/>
    <w:rsid w:val="00404CBC"/>
    <w:rsid w:val="00405181"/>
    <w:rsid w:val="00405192"/>
    <w:rsid w:val="00405458"/>
    <w:rsid w:val="004057CD"/>
    <w:rsid w:val="00405B2B"/>
    <w:rsid w:val="00405C4B"/>
    <w:rsid w:val="00405C5E"/>
    <w:rsid w:val="00406719"/>
    <w:rsid w:val="0040676C"/>
    <w:rsid w:val="004068B7"/>
    <w:rsid w:val="00407147"/>
    <w:rsid w:val="0040719F"/>
    <w:rsid w:val="0040759C"/>
    <w:rsid w:val="004075AA"/>
    <w:rsid w:val="004075B8"/>
    <w:rsid w:val="004078E1"/>
    <w:rsid w:val="004079B1"/>
    <w:rsid w:val="004079C5"/>
    <w:rsid w:val="00407C8D"/>
    <w:rsid w:val="00410176"/>
    <w:rsid w:val="004101F5"/>
    <w:rsid w:val="00410343"/>
    <w:rsid w:val="0041042C"/>
    <w:rsid w:val="0041051B"/>
    <w:rsid w:val="004105C9"/>
    <w:rsid w:val="004107C8"/>
    <w:rsid w:val="004108CC"/>
    <w:rsid w:val="00410C8A"/>
    <w:rsid w:val="00410D49"/>
    <w:rsid w:val="00411505"/>
    <w:rsid w:val="0041152A"/>
    <w:rsid w:val="0041199D"/>
    <w:rsid w:val="00411A3C"/>
    <w:rsid w:val="00411AF2"/>
    <w:rsid w:val="00411AF8"/>
    <w:rsid w:val="004128DF"/>
    <w:rsid w:val="00412987"/>
    <w:rsid w:val="00413120"/>
    <w:rsid w:val="004132A0"/>
    <w:rsid w:val="00413338"/>
    <w:rsid w:val="00413403"/>
    <w:rsid w:val="00413697"/>
    <w:rsid w:val="0041394E"/>
    <w:rsid w:val="0041398A"/>
    <w:rsid w:val="00413A76"/>
    <w:rsid w:val="004140D5"/>
    <w:rsid w:val="00414349"/>
    <w:rsid w:val="00414423"/>
    <w:rsid w:val="0041446F"/>
    <w:rsid w:val="0041474D"/>
    <w:rsid w:val="0041474E"/>
    <w:rsid w:val="004148C2"/>
    <w:rsid w:val="00414962"/>
    <w:rsid w:val="004149C1"/>
    <w:rsid w:val="00414C3D"/>
    <w:rsid w:val="00414E1C"/>
    <w:rsid w:val="00414E4B"/>
    <w:rsid w:val="004150A1"/>
    <w:rsid w:val="00415229"/>
    <w:rsid w:val="004154BF"/>
    <w:rsid w:val="00415561"/>
    <w:rsid w:val="004158E5"/>
    <w:rsid w:val="00415E15"/>
    <w:rsid w:val="00416149"/>
    <w:rsid w:val="00416765"/>
    <w:rsid w:val="00416810"/>
    <w:rsid w:val="004169D8"/>
    <w:rsid w:val="00416A90"/>
    <w:rsid w:val="00416B18"/>
    <w:rsid w:val="00416B97"/>
    <w:rsid w:val="00416C16"/>
    <w:rsid w:val="00416E25"/>
    <w:rsid w:val="0041771A"/>
    <w:rsid w:val="004179BB"/>
    <w:rsid w:val="00417BA7"/>
    <w:rsid w:val="0042000F"/>
    <w:rsid w:val="0042013D"/>
    <w:rsid w:val="00420205"/>
    <w:rsid w:val="004203CE"/>
    <w:rsid w:val="004206A1"/>
    <w:rsid w:val="00420CB1"/>
    <w:rsid w:val="0042181E"/>
    <w:rsid w:val="00421839"/>
    <w:rsid w:val="004218AF"/>
    <w:rsid w:val="00421D73"/>
    <w:rsid w:val="0042288F"/>
    <w:rsid w:val="00422C0F"/>
    <w:rsid w:val="00422F4C"/>
    <w:rsid w:val="0042312C"/>
    <w:rsid w:val="004235A3"/>
    <w:rsid w:val="00423868"/>
    <w:rsid w:val="00423E9D"/>
    <w:rsid w:val="004242A2"/>
    <w:rsid w:val="00424726"/>
    <w:rsid w:val="004248DC"/>
    <w:rsid w:val="00424A9B"/>
    <w:rsid w:val="00424ACD"/>
    <w:rsid w:val="00424BBD"/>
    <w:rsid w:val="00424CAA"/>
    <w:rsid w:val="00425163"/>
    <w:rsid w:val="00425598"/>
    <w:rsid w:val="004265F3"/>
    <w:rsid w:val="0042669D"/>
    <w:rsid w:val="00426B4F"/>
    <w:rsid w:val="00426D8C"/>
    <w:rsid w:val="00427300"/>
    <w:rsid w:val="004273A5"/>
    <w:rsid w:val="00427BEE"/>
    <w:rsid w:val="00427F0D"/>
    <w:rsid w:val="0043040F"/>
    <w:rsid w:val="00430910"/>
    <w:rsid w:val="00430963"/>
    <w:rsid w:val="004309BA"/>
    <w:rsid w:val="00430BFB"/>
    <w:rsid w:val="00430D04"/>
    <w:rsid w:val="00430D85"/>
    <w:rsid w:val="00430FEA"/>
    <w:rsid w:val="0043127F"/>
    <w:rsid w:val="00431288"/>
    <w:rsid w:val="004313BF"/>
    <w:rsid w:val="00431972"/>
    <w:rsid w:val="00431C9C"/>
    <w:rsid w:val="004320BF"/>
    <w:rsid w:val="00432530"/>
    <w:rsid w:val="00432904"/>
    <w:rsid w:val="00432986"/>
    <w:rsid w:val="00432AD2"/>
    <w:rsid w:val="0043304F"/>
    <w:rsid w:val="0043326D"/>
    <w:rsid w:val="0043357C"/>
    <w:rsid w:val="00433773"/>
    <w:rsid w:val="00433925"/>
    <w:rsid w:val="00433B40"/>
    <w:rsid w:val="00433B56"/>
    <w:rsid w:val="00433BDB"/>
    <w:rsid w:val="0043470B"/>
    <w:rsid w:val="004347B5"/>
    <w:rsid w:val="004348AE"/>
    <w:rsid w:val="00434AF3"/>
    <w:rsid w:val="00434EDB"/>
    <w:rsid w:val="0043562F"/>
    <w:rsid w:val="0043567C"/>
    <w:rsid w:val="004356E5"/>
    <w:rsid w:val="00435D5C"/>
    <w:rsid w:val="00435EA6"/>
    <w:rsid w:val="00435EC3"/>
    <w:rsid w:val="00436008"/>
    <w:rsid w:val="004362D4"/>
    <w:rsid w:val="004362DA"/>
    <w:rsid w:val="00436529"/>
    <w:rsid w:val="0043683A"/>
    <w:rsid w:val="00436AEE"/>
    <w:rsid w:val="00436BD8"/>
    <w:rsid w:val="00436BF5"/>
    <w:rsid w:val="00436C8B"/>
    <w:rsid w:val="00436D36"/>
    <w:rsid w:val="00437345"/>
    <w:rsid w:val="0043794C"/>
    <w:rsid w:val="00437C8E"/>
    <w:rsid w:val="00440165"/>
    <w:rsid w:val="00440448"/>
    <w:rsid w:val="00440A25"/>
    <w:rsid w:val="00440CEF"/>
    <w:rsid w:val="0044122B"/>
    <w:rsid w:val="004412BD"/>
    <w:rsid w:val="00441689"/>
    <w:rsid w:val="004418A1"/>
    <w:rsid w:val="0044198F"/>
    <w:rsid w:val="00441C05"/>
    <w:rsid w:val="00441E9F"/>
    <w:rsid w:val="00442121"/>
    <w:rsid w:val="0044269B"/>
    <w:rsid w:val="00443316"/>
    <w:rsid w:val="00443666"/>
    <w:rsid w:val="00443785"/>
    <w:rsid w:val="004438FD"/>
    <w:rsid w:val="00443CB0"/>
    <w:rsid w:val="00443D3F"/>
    <w:rsid w:val="004441B3"/>
    <w:rsid w:val="00444316"/>
    <w:rsid w:val="0044435D"/>
    <w:rsid w:val="0044455F"/>
    <w:rsid w:val="00444B72"/>
    <w:rsid w:val="00444B88"/>
    <w:rsid w:val="00444B8D"/>
    <w:rsid w:val="00444C44"/>
    <w:rsid w:val="0044515C"/>
    <w:rsid w:val="00445288"/>
    <w:rsid w:val="00445A4D"/>
    <w:rsid w:val="00445CBC"/>
    <w:rsid w:val="00445FAB"/>
    <w:rsid w:val="00446359"/>
    <w:rsid w:val="00446385"/>
    <w:rsid w:val="004465B9"/>
    <w:rsid w:val="00446D80"/>
    <w:rsid w:val="00446E23"/>
    <w:rsid w:val="00447299"/>
    <w:rsid w:val="00447567"/>
    <w:rsid w:val="00447E9E"/>
    <w:rsid w:val="004506D3"/>
    <w:rsid w:val="00450733"/>
    <w:rsid w:val="00450BAA"/>
    <w:rsid w:val="00450EB1"/>
    <w:rsid w:val="00450FAC"/>
    <w:rsid w:val="00451082"/>
    <w:rsid w:val="0045114D"/>
    <w:rsid w:val="004511BE"/>
    <w:rsid w:val="004513CB"/>
    <w:rsid w:val="004515AB"/>
    <w:rsid w:val="00451DAD"/>
    <w:rsid w:val="0045227C"/>
    <w:rsid w:val="00452736"/>
    <w:rsid w:val="00452843"/>
    <w:rsid w:val="00452CAE"/>
    <w:rsid w:val="00453017"/>
    <w:rsid w:val="0045320D"/>
    <w:rsid w:val="004532D4"/>
    <w:rsid w:val="0045349A"/>
    <w:rsid w:val="0045350F"/>
    <w:rsid w:val="004538EE"/>
    <w:rsid w:val="00453A00"/>
    <w:rsid w:val="00453A96"/>
    <w:rsid w:val="00453E71"/>
    <w:rsid w:val="00453F2F"/>
    <w:rsid w:val="00454005"/>
    <w:rsid w:val="00454569"/>
    <w:rsid w:val="004545C2"/>
    <w:rsid w:val="004545D8"/>
    <w:rsid w:val="004546D9"/>
    <w:rsid w:val="004547AB"/>
    <w:rsid w:val="004548DF"/>
    <w:rsid w:val="004548E3"/>
    <w:rsid w:val="004548FB"/>
    <w:rsid w:val="00455537"/>
    <w:rsid w:val="0045566A"/>
    <w:rsid w:val="00455893"/>
    <w:rsid w:val="004563B8"/>
    <w:rsid w:val="004565F8"/>
    <w:rsid w:val="004566B5"/>
    <w:rsid w:val="004567C6"/>
    <w:rsid w:val="00456984"/>
    <w:rsid w:val="00456BAE"/>
    <w:rsid w:val="004572A9"/>
    <w:rsid w:val="00457522"/>
    <w:rsid w:val="00457566"/>
    <w:rsid w:val="004578F8"/>
    <w:rsid w:val="00457A9E"/>
    <w:rsid w:val="00457D0F"/>
    <w:rsid w:val="00457FB1"/>
    <w:rsid w:val="00460153"/>
    <w:rsid w:val="00460192"/>
    <w:rsid w:val="00460294"/>
    <w:rsid w:val="00460401"/>
    <w:rsid w:val="004604EF"/>
    <w:rsid w:val="00460A59"/>
    <w:rsid w:val="00460B74"/>
    <w:rsid w:val="00460D3A"/>
    <w:rsid w:val="004611EA"/>
    <w:rsid w:val="004614F6"/>
    <w:rsid w:val="00461689"/>
    <w:rsid w:val="004616E8"/>
    <w:rsid w:val="00461745"/>
    <w:rsid w:val="00461E94"/>
    <w:rsid w:val="00462291"/>
    <w:rsid w:val="00462298"/>
    <w:rsid w:val="00462355"/>
    <w:rsid w:val="0046266D"/>
    <w:rsid w:val="00462836"/>
    <w:rsid w:val="00462AA6"/>
    <w:rsid w:val="00462EA3"/>
    <w:rsid w:val="004633CE"/>
    <w:rsid w:val="004636C7"/>
    <w:rsid w:val="00463A16"/>
    <w:rsid w:val="00463AF4"/>
    <w:rsid w:val="00463B12"/>
    <w:rsid w:val="00463B98"/>
    <w:rsid w:val="00463BB5"/>
    <w:rsid w:val="00463C02"/>
    <w:rsid w:val="0046416E"/>
    <w:rsid w:val="0046440D"/>
    <w:rsid w:val="004645BF"/>
    <w:rsid w:val="00464761"/>
    <w:rsid w:val="00464BE2"/>
    <w:rsid w:val="00464BF3"/>
    <w:rsid w:val="00464E39"/>
    <w:rsid w:val="004650F5"/>
    <w:rsid w:val="00465334"/>
    <w:rsid w:val="004659DF"/>
    <w:rsid w:val="0046625D"/>
    <w:rsid w:val="00466388"/>
    <w:rsid w:val="004669C2"/>
    <w:rsid w:val="00466CCC"/>
    <w:rsid w:val="00466CFB"/>
    <w:rsid w:val="00466ECF"/>
    <w:rsid w:val="00467AFA"/>
    <w:rsid w:val="00467EF9"/>
    <w:rsid w:val="00470007"/>
    <w:rsid w:val="004705B6"/>
    <w:rsid w:val="0047076C"/>
    <w:rsid w:val="0047090A"/>
    <w:rsid w:val="00470C13"/>
    <w:rsid w:val="00471077"/>
    <w:rsid w:val="00471532"/>
    <w:rsid w:val="00471663"/>
    <w:rsid w:val="00471932"/>
    <w:rsid w:val="00471999"/>
    <w:rsid w:val="00472162"/>
    <w:rsid w:val="00472402"/>
    <w:rsid w:val="00472A1B"/>
    <w:rsid w:val="00472B02"/>
    <w:rsid w:val="00472E7A"/>
    <w:rsid w:val="00472FA7"/>
    <w:rsid w:val="004735FB"/>
    <w:rsid w:val="0047420F"/>
    <w:rsid w:val="004747DE"/>
    <w:rsid w:val="004748CD"/>
    <w:rsid w:val="00474B7B"/>
    <w:rsid w:val="00474DEF"/>
    <w:rsid w:val="00474FD4"/>
    <w:rsid w:val="00474FE6"/>
    <w:rsid w:val="00475132"/>
    <w:rsid w:val="0047524A"/>
    <w:rsid w:val="0047527F"/>
    <w:rsid w:val="00475436"/>
    <w:rsid w:val="00475896"/>
    <w:rsid w:val="00475A5E"/>
    <w:rsid w:val="00475B7F"/>
    <w:rsid w:val="004761EF"/>
    <w:rsid w:val="00476219"/>
    <w:rsid w:val="0047664B"/>
    <w:rsid w:val="0047667F"/>
    <w:rsid w:val="0047676B"/>
    <w:rsid w:val="00476E96"/>
    <w:rsid w:val="0047707A"/>
    <w:rsid w:val="004773A3"/>
    <w:rsid w:val="004773C2"/>
    <w:rsid w:val="00477C45"/>
    <w:rsid w:val="00477E8C"/>
    <w:rsid w:val="004801A2"/>
    <w:rsid w:val="00480257"/>
    <w:rsid w:val="00480362"/>
    <w:rsid w:val="00480428"/>
    <w:rsid w:val="0048066B"/>
    <w:rsid w:val="0048080C"/>
    <w:rsid w:val="00480A6D"/>
    <w:rsid w:val="00480C58"/>
    <w:rsid w:val="00480CDC"/>
    <w:rsid w:val="00481541"/>
    <w:rsid w:val="004815FC"/>
    <w:rsid w:val="00481C60"/>
    <w:rsid w:val="0048219F"/>
    <w:rsid w:val="0048265D"/>
    <w:rsid w:val="00482676"/>
    <w:rsid w:val="00482DB6"/>
    <w:rsid w:val="004832FD"/>
    <w:rsid w:val="00483B31"/>
    <w:rsid w:val="00483E30"/>
    <w:rsid w:val="00483FA4"/>
    <w:rsid w:val="0048416F"/>
    <w:rsid w:val="0048456E"/>
    <w:rsid w:val="004845FA"/>
    <w:rsid w:val="00484C1E"/>
    <w:rsid w:val="00484E0E"/>
    <w:rsid w:val="00484FC8"/>
    <w:rsid w:val="0048514B"/>
    <w:rsid w:val="00485827"/>
    <w:rsid w:val="00485B99"/>
    <w:rsid w:val="00485F74"/>
    <w:rsid w:val="004860C0"/>
    <w:rsid w:val="004863D7"/>
    <w:rsid w:val="00486479"/>
    <w:rsid w:val="004866A2"/>
    <w:rsid w:val="004868E5"/>
    <w:rsid w:val="00486CB4"/>
    <w:rsid w:val="00487064"/>
    <w:rsid w:val="004877C0"/>
    <w:rsid w:val="00487829"/>
    <w:rsid w:val="004878E0"/>
    <w:rsid w:val="00487B69"/>
    <w:rsid w:val="00487BFC"/>
    <w:rsid w:val="00487CDB"/>
    <w:rsid w:val="00487D30"/>
    <w:rsid w:val="0049007E"/>
    <w:rsid w:val="00490196"/>
    <w:rsid w:val="00490539"/>
    <w:rsid w:val="004905F5"/>
    <w:rsid w:val="0049081B"/>
    <w:rsid w:val="004908A8"/>
    <w:rsid w:val="00490F64"/>
    <w:rsid w:val="004914FD"/>
    <w:rsid w:val="00491858"/>
    <w:rsid w:val="00491D68"/>
    <w:rsid w:val="0049235C"/>
    <w:rsid w:val="00492402"/>
    <w:rsid w:val="00492570"/>
    <w:rsid w:val="00492604"/>
    <w:rsid w:val="00492DBA"/>
    <w:rsid w:val="00493136"/>
    <w:rsid w:val="004945CC"/>
    <w:rsid w:val="00494778"/>
    <w:rsid w:val="004947D0"/>
    <w:rsid w:val="004949AD"/>
    <w:rsid w:val="00494B7A"/>
    <w:rsid w:val="00494E12"/>
    <w:rsid w:val="00495383"/>
    <w:rsid w:val="00495858"/>
    <w:rsid w:val="004958F5"/>
    <w:rsid w:val="00495FFB"/>
    <w:rsid w:val="00496396"/>
    <w:rsid w:val="00496448"/>
    <w:rsid w:val="004964CF"/>
    <w:rsid w:val="004964F1"/>
    <w:rsid w:val="004965DF"/>
    <w:rsid w:val="0049688B"/>
    <w:rsid w:val="00496989"/>
    <w:rsid w:val="00496A35"/>
    <w:rsid w:val="00496CA2"/>
    <w:rsid w:val="00496DEB"/>
    <w:rsid w:val="0049703B"/>
    <w:rsid w:val="004973B9"/>
    <w:rsid w:val="004973DD"/>
    <w:rsid w:val="00497831"/>
    <w:rsid w:val="00497FAE"/>
    <w:rsid w:val="004A0047"/>
    <w:rsid w:val="004A010A"/>
    <w:rsid w:val="004A03A4"/>
    <w:rsid w:val="004A0538"/>
    <w:rsid w:val="004A0CA2"/>
    <w:rsid w:val="004A120D"/>
    <w:rsid w:val="004A16B5"/>
    <w:rsid w:val="004A17E1"/>
    <w:rsid w:val="004A17F0"/>
    <w:rsid w:val="004A1BA7"/>
    <w:rsid w:val="004A1E2F"/>
    <w:rsid w:val="004A20ED"/>
    <w:rsid w:val="004A2110"/>
    <w:rsid w:val="004A24DF"/>
    <w:rsid w:val="004A2811"/>
    <w:rsid w:val="004A30C6"/>
    <w:rsid w:val="004A324A"/>
    <w:rsid w:val="004A3A03"/>
    <w:rsid w:val="004A3B9A"/>
    <w:rsid w:val="004A3E05"/>
    <w:rsid w:val="004A3FAE"/>
    <w:rsid w:val="004A46A4"/>
    <w:rsid w:val="004A4B59"/>
    <w:rsid w:val="004A4D75"/>
    <w:rsid w:val="004A4D83"/>
    <w:rsid w:val="004A584E"/>
    <w:rsid w:val="004A5892"/>
    <w:rsid w:val="004A5D35"/>
    <w:rsid w:val="004A61AC"/>
    <w:rsid w:val="004A6806"/>
    <w:rsid w:val="004A724F"/>
    <w:rsid w:val="004A747C"/>
    <w:rsid w:val="004A79AD"/>
    <w:rsid w:val="004A7FB5"/>
    <w:rsid w:val="004B05B8"/>
    <w:rsid w:val="004B0671"/>
    <w:rsid w:val="004B0843"/>
    <w:rsid w:val="004B0FC8"/>
    <w:rsid w:val="004B10C1"/>
    <w:rsid w:val="004B1189"/>
    <w:rsid w:val="004B13ED"/>
    <w:rsid w:val="004B14CE"/>
    <w:rsid w:val="004B1594"/>
    <w:rsid w:val="004B1626"/>
    <w:rsid w:val="004B18E3"/>
    <w:rsid w:val="004B1922"/>
    <w:rsid w:val="004B1B6C"/>
    <w:rsid w:val="004B1E45"/>
    <w:rsid w:val="004B24AD"/>
    <w:rsid w:val="004B287D"/>
    <w:rsid w:val="004B29D8"/>
    <w:rsid w:val="004B2B7D"/>
    <w:rsid w:val="004B2B85"/>
    <w:rsid w:val="004B3058"/>
    <w:rsid w:val="004B339C"/>
    <w:rsid w:val="004B3DF6"/>
    <w:rsid w:val="004B411F"/>
    <w:rsid w:val="004B53F2"/>
    <w:rsid w:val="004B5997"/>
    <w:rsid w:val="004B5C3F"/>
    <w:rsid w:val="004B5E4D"/>
    <w:rsid w:val="004B5EE0"/>
    <w:rsid w:val="004B637D"/>
    <w:rsid w:val="004B6546"/>
    <w:rsid w:val="004B6679"/>
    <w:rsid w:val="004B7126"/>
    <w:rsid w:val="004B72AC"/>
    <w:rsid w:val="004B77F8"/>
    <w:rsid w:val="004B7816"/>
    <w:rsid w:val="004B794E"/>
    <w:rsid w:val="004B799C"/>
    <w:rsid w:val="004B7C78"/>
    <w:rsid w:val="004B7E16"/>
    <w:rsid w:val="004B7E66"/>
    <w:rsid w:val="004B7EEF"/>
    <w:rsid w:val="004C0103"/>
    <w:rsid w:val="004C01F3"/>
    <w:rsid w:val="004C06C0"/>
    <w:rsid w:val="004C0D0B"/>
    <w:rsid w:val="004C0D70"/>
    <w:rsid w:val="004C0DEF"/>
    <w:rsid w:val="004C10B9"/>
    <w:rsid w:val="004C13C3"/>
    <w:rsid w:val="004C163D"/>
    <w:rsid w:val="004C1A0C"/>
    <w:rsid w:val="004C2078"/>
    <w:rsid w:val="004C22B5"/>
    <w:rsid w:val="004C2352"/>
    <w:rsid w:val="004C2AE9"/>
    <w:rsid w:val="004C2C6E"/>
    <w:rsid w:val="004C2E2F"/>
    <w:rsid w:val="004C2F19"/>
    <w:rsid w:val="004C306E"/>
    <w:rsid w:val="004C3223"/>
    <w:rsid w:val="004C32F0"/>
    <w:rsid w:val="004C33F7"/>
    <w:rsid w:val="004C3782"/>
    <w:rsid w:val="004C3B2B"/>
    <w:rsid w:val="004C424C"/>
    <w:rsid w:val="004C427A"/>
    <w:rsid w:val="004C4AEF"/>
    <w:rsid w:val="004C4C06"/>
    <w:rsid w:val="004C4D6A"/>
    <w:rsid w:val="004C51D3"/>
    <w:rsid w:val="004C5421"/>
    <w:rsid w:val="004C5D87"/>
    <w:rsid w:val="004C6486"/>
    <w:rsid w:val="004C6539"/>
    <w:rsid w:val="004C67EA"/>
    <w:rsid w:val="004C680C"/>
    <w:rsid w:val="004C689A"/>
    <w:rsid w:val="004C6C6B"/>
    <w:rsid w:val="004C6CAC"/>
    <w:rsid w:val="004C6D6D"/>
    <w:rsid w:val="004C702D"/>
    <w:rsid w:val="004C7065"/>
    <w:rsid w:val="004C7178"/>
    <w:rsid w:val="004C7992"/>
    <w:rsid w:val="004C7DAB"/>
    <w:rsid w:val="004D02B8"/>
    <w:rsid w:val="004D0375"/>
    <w:rsid w:val="004D087E"/>
    <w:rsid w:val="004D0F19"/>
    <w:rsid w:val="004D0F28"/>
    <w:rsid w:val="004D12E4"/>
    <w:rsid w:val="004D15D1"/>
    <w:rsid w:val="004D199C"/>
    <w:rsid w:val="004D1CE1"/>
    <w:rsid w:val="004D21C0"/>
    <w:rsid w:val="004D24D4"/>
    <w:rsid w:val="004D2824"/>
    <w:rsid w:val="004D2EBD"/>
    <w:rsid w:val="004D359F"/>
    <w:rsid w:val="004D3716"/>
    <w:rsid w:val="004D37F1"/>
    <w:rsid w:val="004D394F"/>
    <w:rsid w:val="004D44BA"/>
    <w:rsid w:val="004D461E"/>
    <w:rsid w:val="004D46E6"/>
    <w:rsid w:val="004D4D93"/>
    <w:rsid w:val="004D4EBE"/>
    <w:rsid w:val="004D5706"/>
    <w:rsid w:val="004D58E5"/>
    <w:rsid w:val="004D5CBC"/>
    <w:rsid w:val="004D5E86"/>
    <w:rsid w:val="004D6147"/>
    <w:rsid w:val="004D64AE"/>
    <w:rsid w:val="004D68C7"/>
    <w:rsid w:val="004D6D9F"/>
    <w:rsid w:val="004D6F76"/>
    <w:rsid w:val="004D7D9F"/>
    <w:rsid w:val="004D7FAA"/>
    <w:rsid w:val="004E01AD"/>
    <w:rsid w:val="004E0917"/>
    <w:rsid w:val="004E0A48"/>
    <w:rsid w:val="004E0D4C"/>
    <w:rsid w:val="004E0DF1"/>
    <w:rsid w:val="004E1741"/>
    <w:rsid w:val="004E17FA"/>
    <w:rsid w:val="004E1A18"/>
    <w:rsid w:val="004E1A67"/>
    <w:rsid w:val="004E1F83"/>
    <w:rsid w:val="004E2192"/>
    <w:rsid w:val="004E21B0"/>
    <w:rsid w:val="004E243C"/>
    <w:rsid w:val="004E2481"/>
    <w:rsid w:val="004E257C"/>
    <w:rsid w:val="004E25CD"/>
    <w:rsid w:val="004E281C"/>
    <w:rsid w:val="004E28BE"/>
    <w:rsid w:val="004E2B05"/>
    <w:rsid w:val="004E2B1C"/>
    <w:rsid w:val="004E2D0F"/>
    <w:rsid w:val="004E2E91"/>
    <w:rsid w:val="004E2F60"/>
    <w:rsid w:val="004E32A1"/>
    <w:rsid w:val="004E355C"/>
    <w:rsid w:val="004E3732"/>
    <w:rsid w:val="004E3CDF"/>
    <w:rsid w:val="004E3DCD"/>
    <w:rsid w:val="004E403D"/>
    <w:rsid w:val="004E424D"/>
    <w:rsid w:val="004E44A8"/>
    <w:rsid w:val="004E48A3"/>
    <w:rsid w:val="004E494F"/>
    <w:rsid w:val="004E4994"/>
    <w:rsid w:val="004E4C3F"/>
    <w:rsid w:val="004E5893"/>
    <w:rsid w:val="004E6814"/>
    <w:rsid w:val="004E6CA5"/>
    <w:rsid w:val="004E6F9E"/>
    <w:rsid w:val="004E700F"/>
    <w:rsid w:val="004E76C8"/>
    <w:rsid w:val="004E7E4A"/>
    <w:rsid w:val="004E7EFC"/>
    <w:rsid w:val="004E7F1F"/>
    <w:rsid w:val="004E7FAD"/>
    <w:rsid w:val="004F00DA"/>
    <w:rsid w:val="004F0351"/>
    <w:rsid w:val="004F0433"/>
    <w:rsid w:val="004F0440"/>
    <w:rsid w:val="004F0443"/>
    <w:rsid w:val="004F0876"/>
    <w:rsid w:val="004F0906"/>
    <w:rsid w:val="004F0C1D"/>
    <w:rsid w:val="004F14FD"/>
    <w:rsid w:val="004F1798"/>
    <w:rsid w:val="004F195E"/>
    <w:rsid w:val="004F2094"/>
    <w:rsid w:val="004F2150"/>
    <w:rsid w:val="004F2171"/>
    <w:rsid w:val="004F2243"/>
    <w:rsid w:val="004F22EB"/>
    <w:rsid w:val="004F2656"/>
    <w:rsid w:val="004F292E"/>
    <w:rsid w:val="004F2ECA"/>
    <w:rsid w:val="004F2F26"/>
    <w:rsid w:val="004F2F88"/>
    <w:rsid w:val="004F31CE"/>
    <w:rsid w:val="004F33B0"/>
    <w:rsid w:val="004F3457"/>
    <w:rsid w:val="004F356F"/>
    <w:rsid w:val="004F40F2"/>
    <w:rsid w:val="004F4109"/>
    <w:rsid w:val="004F4446"/>
    <w:rsid w:val="004F4A10"/>
    <w:rsid w:val="004F507D"/>
    <w:rsid w:val="004F50F5"/>
    <w:rsid w:val="004F5579"/>
    <w:rsid w:val="004F57B5"/>
    <w:rsid w:val="004F57F8"/>
    <w:rsid w:val="004F5849"/>
    <w:rsid w:val="004F5877"/>
    <w:rsid w:val="004F5C34"/>
    <w:rsid w:val="004F5E25"/>
    <w:rsid w:val="004F6508"/>
    <w:rsid w:val="004F66F5"/>
    <w:rsid w:val="004F6708"/>
    <w:rsid w:val="004F6975"/>
    <w:rsid w:val="004F6C00"/>
    <w:rsid w:val="004F6C54"/>
    <w:rsid w:val="004F7314"/>
    <w:rsid w:val="004F7647"/>
    <w:rsid w:val="004F766C"/>
    <w:rsid w:val="004F770C"/>
    <w:rsid w:val="004F77D0"/>
    <w:rsid w:val="004F7FA8"/>
    <w:rsid w:val="0050008B"/>
    <w:rsid w:val="0050082A"/>
    <w:rsid w:val="00500FC7"/>
    <w:rsid w:val="00501228"/>
    <w:rsid w:val="005013E3"/>
    <w:rsid w:val="00501593"/>
    <w:rsid w:val="005019BB"/>
    <w:rsid w:val="005019F5"/>
    <w:rsid w:val="00501C64"/>
    <w:rsid w:val="00501E7B"/>
    <w:rsid w:val="00501FFC"/>
    <w:rsid w:val="00502654"/>
    <w:rsid w:val="005028EC"/>
    <w:rsid w:val="00502CEF"/>
    <w:rsid w:val="00502F8F"/>
    <w:rsid w:val="00502FCA"/>
    <w:rsid w:val="00503077"/>
    <w:rsid w:val="005037A9"/>
    <w:rsid w:val="005038E4"/>
    <w:rsid w:val="00503AFA"/>
    <w:rsid w:val="00503C2E"/>
    <w:rsid w:val="00503EED"/>
    <w:rsid w:val="005046C5"/>
    <w:rsid w:val="005046EA"/>
    <w:rsid w:val="005047E7"/>
    <w:rsid w:val="00504B5F"/>
    <w:rsid w:val="00504CE5"/>
    <w:rsid w:val="00505157"/>
    <w:rsid w:val="00505B99"/>
    <w:rsid w:val="00505E6D"/>
    <w:rsid w:val="005060B9"/>
    <w:rsid w:val="00506180"/>
    <w:rsid w:val="00506452"/>
    <w:rsid w:val="0050696D"/>
    <w:rsid w:val="00506983"/>
    <w:rsid w:val="00506AAC"/>
    <w:rsid w:val="00506B1B"/>
    <w:rsid w:val="00506DC7"/>
    <w:rsid w:val="0050732F"/>
    <w:rsid w:val="005074D2"/>
    <w:rsid w:val="005078A5"/>
    <w:rsid w:val="005102A1"/>
    <w:rsid w:val="00510401"/>
    <w:rsid w:val="0051042F"/>
    <w:rsid w:val="0051068F"/>
    <w:rsid w:val="0051126A"/>
    <w:rsid w:val="005112A8"/>
    <w:rsid w:val="005112D0"/>
    <w:rsid w:val="00511301"/>
    <w:rsid w:val="00511334"/>
    <w:rsid w:val="005115D0"/>
    <w:rsid w:val="00511715"/>
    <w:rsid w:val="00511731"/>
    <w:rsid w:val="00511853"/>
    <w:rsid w:val="00511A62"/>
    <w:rsid w:val="00511C32"/>
    <w:rsid w:val="00511F8C"/>
    <w:rsid w:val="005120F4"/>
    <w:rsid w:val="005127CE"/>
    <w:rsid w:val="005127EB"/>
    <w:rsid w:val="00512A14"/>
    <w:rsid w:val="00513126"/>
    <w:rsid w:val="005136B5"/>
    <w:rsid w:val="00513812"/>
    <w:rsid w:val="00513C16"/>
    <w:rsid w:val="00513C66"/>
    <w:rsid w:val="00513CF4"/>
    <w:rsid w:val="0051424D"/>
    <w:rsid w:val="005147C9"/>
    <w:rsid w:val="00514B92"/>
    <w:rsid w:val="00514C9A"/>
    <w:rsid w:val="0051512A"/>
    <w:rsid w:val="00515CBE"/>
    <w:rsid w:val="00516364"/>
    <w:rsid w:val="00516499"/>
    <w:rsid w:val="00516E09"/>
    <w:rsid w:val="00516E25"/>
    <w:rsid w:val="00516ECA"/>
    <w:rsid w:val="00517386"/>
    <w:rsid w:val="005176A8"/>
    <w:rsid w:val="0051771F"/>
    <w:rsid w:val="00517BAD"/>
    <w:rsid w:val="00517E99"/>
    <w:rsid w:val="00517FA1"/>
    <w:rsid w:val="00520021"/>
    <w:rsid w:val="005200EF"/>
    <w:rsid w:val="005204DA"/>
    <w:rsid w:val="00520811"/>
    <w:rsid w:val="00520BA3"/>
    <w:rsid w:val="00520EA3"/>
    <w:rsid w:val="00520EC8"/>
    <w:rsid w:val="00520F83"/>
    <w:rsid w:val="00520FA1"/>
    <w:rsid w:val="005211C6"/>
    <w:rsid w:val="005211CB"/>
    <w:rsid w:val="0052152B"/>
    <w:rsid w:val="005215B6"/>
    <w:rsid w:val="00521BC4"/>
    <w:rsid w:val="00521DDD"/>
    <w:rsid w:val="005220B7"/>
    <w:rsid w:val="0052254F"/>
    <w:rsid w:val="00522704"/>
    <w:rsid w:val="005227A5"/>
    <w:rsid w:val="0052281C"/>
    <w:rsid w:val="00522BE2"/>
    <w:rsid w:val="00523134"/>
    <w:rsid w:val="0052348D"/>
    <w:rsid w:val="00523911"/>
    <w:rsid w:val="00523940"/>
    <w:rsid w:val="00523E4F"/>
    <w:rsid w:val="00524A44"/>
    <w:rsid w:val="00524DBB"/>
    <w:rsid w:val="005254CC"/>
    <w:rsid w:val="005254D6"/>
    <w:rsid w:val="00525515"/>
    <w:rsid w:val="0052588D"/>
    <w:rsid w:val="005259F9"/>
    <w:rsid w:val="00525A7B"/>
    <w:rsid w:val="00525B19"/>
    <w:rsid w:val="00525D78"/>
    <w:rsid w:val="00525E9D"/>
    <w:rsid w:val="00525F88"/>
    <w:rsid w:val="0052682F"/>
    <w:rsid w:val="00526AEC"/>
    <w:rsid w:val="00527094"/>
    <w:rsid w:val="00527459"/>
    <w:rsid w:val="0052772F"/>
    <w:rsid w:val="00527B1B"/>
    <w:rsid w:val="00527CBE"/>
    <w:rsid w:val="00527D30"/>
    <w:rsid w:val="00530002"/>
    <w:rsid w:val="0053031D"/>
    <w:rsid w:val="0053048A"/>
    <w:rsid w:val="00530700"/>
    <w:rsid w:val="00530718"/>
    <w:rsid w:val="005307A1"/>
    <w:rsid w:val="005307A9"/>
    <w:rsid w:val="005308AC"/>
    <w:rsid w:val="005309AE"/>
    <w:rsid w:val="005310F4"/>
    <w:rsid w:val="0053167A"/>
    <w:rsid w:val="00531AEE"/>
    <w:rsid w:val="00531C32"/>
    <w:rsid w:val="00531EB3"/>
    <w:rsid w:val="00531F48"/>
    <w:rsid w:val="005320C6"/>
    <w:rsid w:val="005321F4"/>
    <w:rsid w:val="005322E5"/>
    <w:rsid w:val="0053266B"/>
    <w:rsid w:val="005326F4"/>
    <w:rsid w:val="0053298E"/>
    <w:rsid w:val="005329AD"/>
    <w:rsid w:val="00532B35"/>
    <w:rsid w:val="00532C10"/>
    <w:rsid w:val="00532DD7"/>
    <w:rsid w:val="00533082"/>
    <w:rsid w:val="0053325C"/>
    <w:rsid w:val="005335AE"/>
    <w:rsid w:val="005338F9"/>
    <w:rsid w:val="0053396C"/>
    <w:rsid w:val="00533B01"/>
    <w:rsid w:val="00533C8C"/>
    <w:rsid w:val="005341F1"/>
    <w:rsid w:val="00534969"/>
    <w:rsid w:val="00534982"/>
    <w:rsid w:val="00534A31"/>
    <w:rsid w:val="00534ACA"/>
    <w:rsid w:val="00535991"/>
    <w:rsid w:val="00535CE4"/>
    <w:rsid w:val="00535DBC"/>
    <w:rsid w:val="00535FC2"/>
    <w:rsid w:val="0053618B"/>
    <w:rsid w:val="0053653F"/>
    <w:rsid w:val="00536572"/>
    <w:rsid w:val="005365E2"/>
    <w:rsid w:val="005366B6"/>
    <w:rsid w:val="00536A6C"/>
    <w:rsid w:val="00536AD6"/>
    <w:rsid w:val="00536B4F"/>
    <w:rsid w:val="00536BFF"/>
    <w:rsid w:val="00536C61"/>
    <w:rsid w:val="00536D4E"/>
    <w:rsid w:val="00537CC7"/>
    <w:rsid w:val="005401A0"/>
    <w:rsid w:val="0054061B"/>
    <w:rsid w:val="005407A5"/>
    <w:rsid w:val="005408F3"/>
    <w:rsid w:val="00540C8C"/>
    <w:rsid w:val="0054101E"/>
    <w:rsid w:val="005413C5"/>
    <w:rsid w:val="00541AAA"/>
    <w:rsid w:val="00541B3E"/>
    <w:rsid w:val="00541CBA"/>
    <w:rsid w:val="00542B7A"/>
    <w:rsid w:val="00542C80"/>
    <w:rsid w:val="00543094"/>
    <w:rsid w:val="00543248"/>
    <w:rsid w:val="005435F1"/>
    <w:rsid w:val="00543A6D"/>
    <w:rsid w:val="00543E27"/>
    <w:rsid w:val="0054427B"/>
    <w:rsid w:val="00544454"/>
    <w:rsid w:val="00544647"/>
    <w:rsid w:val="00544A05"/>
    <w:rsid w:val="00544A1A"/>
    <w:rsid w:val="00544B39"/>
    <w:rsid w:val="00544B9B"/>
    <w:rsid w:val="00544BA9"/>
    <w:rsid w:val="00544F8D"/>
    <w:rsid w:val="0054524E"/>
    <w:rsid w:val="00545365"/>
    <w:rsid w:val="005454A9"/>
    <w:rsid w:val="005458B9"/>
    <w:rsid w:val="00545BF0"/>
    <w:rsid w:val="00545EB3"/>
    <w:rsid w:val="005461EF"/>
    <w:rsid w:val="00546B3A"/>
    <w:rsid w:val="00546BA8"/>
    <w:rsid w:val="00546E3B"/>
    <w:rsid w:val="00546FFE"/>
    <w:rsid w:val="005473A9"/>
    <w:rsid w:val="00547472"/>
    <w:rsid w:val="00547758"/>
    <w:rsid w:val="00547C8B"/>
    <w:rsid w:val="00550AF6"/>
    <w:rsid w:val="005511E8"/>
    <w:rsid w:val="005513F0"/>
    <w:rsid w:val="005515B4"/>
    <w:rsid w:val="00551DC7"/>
    <w:rsid w:val="00551E78"/>
    <w:rsid w:val="005525E9"/>
    <w:rsid w:val="005527A6"/>
    <w:rsid w:val="005527C7"/>
    <w:rsid w:val="00552CFD"/>
    <w:rsid w:val="0055333C"/>
    <w:rsid w:val="005539A9"/>
    <w:rsid w:val="00553AC1"/>
    <w:rsid w:val="00553AE8"/>
    <w:rsid w:val="00553EC6"/>
    <w:rsid w:val="00554515"/>
    <w:rsid w:val="005545B8"/>
    <w:rsid w:val="005546CD"/>
    <w:rsid w:val="0055479A"/>
    <w:rsid w:val="00554B9C"/>
    <w:rsid w:val="00554BB6"/>
    <w:rsid w:val="00554BF3"/>
    <w:rsid w:val="00555FD6"/>
    <w:rsid w:val="00556048"/>
    <w:rsid w:val="00556096"/>
    <w:rsid w:val="005561A6"/>
    <w:rsid w:val="00556314"/>
    <w:rsid w:val="0055667C"/>
    <w:rsid w:val="00556912"/>
    <w:rsid w:val="00556941"/>
    <w:rsid w:val="00556A06"/>
    <w:rsid w:val="00556B95"/>
    <w:rsid w:val="00556E57"/>
    <w:rsid w:val="005576CE"/>
    <w:rsid w:val="00560613"/>
    <w:rsid w:val="00560CFB"/>
    <w:rsid w:val="00560F5C"/>
    <w:rsid w:val="00560FE0"/>
    <w:rsid w:val="005612A0"/>
    <w:rsid w:val="00561368"/>
    <w:rsid w:val="00561394"/>
    <w:rsid w:val="005616E7"/>
    <w:rsid w:val="0056192C"/>
    <w:rsid w:val="00561A3B"/>
    <w:rsid w:val="00561ACB"/>
    <w:rsid w:val="00561E4F"/>
    <w:rsid w:val="00561E9D"/>
    <w:rsid w:val="00561EF7"/>
    <w:rsid w:val="005623F5"/>
    <w:rsid w:val="005627D0"/>
    <w:rsid w:val="00562803"/>
    <w:rsid w:val="00562E8A"/>
    <w:rsid w:val="00562FB3"/>
    <w:rsid w:val="005632AA"/>
    <w:rsid w:val="00563C43"/>
    <w:rsid w:val="00563D1B"/>
    <w:rsid w:val="00563DDE"/>
    <w:rsid w:val="005644BE"/>
    <w:rsid w:val="005644F0"/>
    <w:rsid w:val="0056465D"/>
    <w:rsid w:val="005648FA"/>
    <w:rsid w:val="00564B19"/>
    <w:rsid w:val="00564C40"/>
    <w:rsid w:val="00564D3C"/>
    <w:rsid w:val="00564EAC"/>
    <w:rsid w:val="0056560D"/>
    <w:rsid w:val="00565D59"/>
    <w:rsid w:val="005663C3"/>
    <w:rsid w:val="005666A3"/>
    <w:rsid w:val="005666F5"/>
    <w:rsid w:val="005669D7"/>
    <w:rsid w:val="00566C12"/>
    <w:rsid w:val="00566D3F"/>
    <w:rsid w:val="00566E66"/>
    <w:rsid w:val="00566FEF"/>
    <w:rsid w:val="00567156"/>
    <w:rsid w:val="005673A8"/>
    <w:rsid w:val="0056790E"/>
    <w:rsid w:val="00567BF7"/>
    <w:rsid w:val="00567CEF"/>
    <w:rsid w:val="00570CF8"/>
    <w:rsid w:val="00570D73"/>
    <w:rsid w:val="00571574"/>
    <w:rsid w:val="00571625"/>
    <w:rsid w:val="00571D61"/>
    <w:rsid w:val="00571DC8"/>
    <w:rsid w:val="00571F31"/>
    <w:rsid w:val="005725C5"/>
    <w:rsid w:val="00572719"/>
    <w:rsid w:val="0057294D"/>
    <w:rsid w:val="00572D04"/>
    <w:rsid w:val="00572F7A"/>
    <w:rsid w:val="00573095"/>
    <w:rsid w:val="00573480"/>
    <w:rsid w:val="0057396D"/>
    <w:rsid w:val="00573971"/>
    <w:rsid w:val="00573C8C"/>
    <w:rsid w:val="00573E0A"/>
    <w:rsid w:val="00573F17"/>
    <w:rsid w:val="00574127"/>
    <w:rsid w:val="0057420C"/>
    <w:rsid w:val="00574262"/>
    <w:rsid w:val="00574618"/>
    <w:rsid w:val="00575469"/>
    <w:rsid w:val="005756A1"/>
    <w:rsid w:val="0057585E"/>
    <w:rsid w:val="0057595F"/>
    <w:rsid w:val="00575EB2"/>
    <w:rsid w:val="00576101"/>
    <w:rsid w:val="00576129"/>
    <w:rsid w:val="005764E4"/>
    <w:rsid w:val="00576B66"/>
    <w:rsid w:val="00576FCD"/>
    <w:rsid w:val="00577328"/>
    <w:rsid w:val="005773DD"/>
    <w:rsid w:val="00577848"/>
    <w:rsid w:val="00577ACA"/>
    <w:rsid w:val="00577C44"/>
    <w:rsid w:val="00577C57"/>
    <w:rsid w:val="0058016E"/>
    <w:rsid w:val="005805BC"/>
    <w:rsid w:val="00580608"/>
    <w:rsid w:val="00580787"/>
    <w:rsid w:val="00580B71"/>
    <w:rsid w:val="00580C02"/>
    <w:rsid w:val="00580E37"/>
    <w:rsid w:val="0058119C"/>
    <w:rsid w:val="0058124C"/>
    <w:rsid w:val="00581412"/>
    <w:rsid w:val="005818BE"/>
    <w:rsid w:val="005818E4"/>
    <w:rsid w:val="00581A0D"/>
    <w:rsid w:val="00581CF7"/>
    <w:rsid w:val="005821EF"/>
    <w:rsid w:val="005827F4"/>
    <w:rsid w:val="005828DD"/>
    <w:rsid w:val="00582A88"/>
    <w:rsid w:val="00582AB2"/>
    <w:rsid w:val="00582E6A"/>
    <w:rsid w:val="005830C5"/>
    <w:rsid w:val="005831F8"/>
    <w:rsid w:val="0058324E"/>
    <w:rsid w:val="00583611"/>
    <w:rsid w:val="00583B75"/>
    <w:rsid w:val="00583D76"/>
    <w:rsid w:val="00583FBC"/>
    <w:rsid w:val="005844EC"/>
    <w:rsid w:val="0058471E"/>
    <w:rsid w:val="00584738"/>
    <w:rsid w:val="00584C4B"/>
    <w:rsid w:val="00584C57"/>
    <w:rsid w:val="00584EB4"/>
    <w:rsid w:val="005851B4"/>
    <w:rsid w:val="0058544A"/>
    <w:rsid w:val="005855A2"/>
    <w:rsid w:val="005856B7"/>
    <w:rsid w:val="00585809"/>
    <w:rsid w:val="005858DA"/>
    <w:rsid w:val="00585B69"/>
    <w:rsid w:val="00586214"/>
    <w:rsid w:val="0058636C"/>
    <w:rsid w:val="0058636F"/>
    <w:rsid w:val="00586FAC"/>
    <w:rsid w:val="00587583"/>
    <w:rsid w:val="00587CCC"/>
    <w:rsid w:val="00587D1F"/>
    <w:rsid w:val="0059032E"/>
    <w:rsid w:val="0059125C"/>
    <w:rsid w:val="00591439"/>
    <w:rsid w:val="00591A23"/>
    <w:rsid w:val="00591DFC"/>
    <w:rsid w:val="00591F18"/>
    <w:rsid w:val="005924CF"/>
    <w:rsid w:val="00592D18"/>
    <w:rsid w:val="00592DCF"/>
    <w:rsid w:val="00592DED"/>
    <w:rsid w:val="005931A4"/>
    <w:rsid w:val="005931C4"/>
    <w:rsid w:val="0059328D"/>
    <w:rsid w:val="00593479"/>
    <w:rsid w:val="00593582"/>
    <w:rsid w:val="00593734"/>
    <w:rsid w:val="00594098"/>
    <w:rsid w:val="005947F9"/>
    <w:rsid w:val="00595187"/>
    <w:rsid w:val="005953D3"/>
    <w:rsid w:val="00595455"/>
    <w:rsid w:val="00595524"/>
    <w:rsid w:val="0059585A"/>
    <w:rsid w:val="0059589E"/>
    <w:rsid w:val="00595D89"/>
    <w:rsid w:val="00595E7D"/>
    <w:rsid w:val="00595FEB"/>
    <w:rsid w:val="005962C4"/>
    <w:rsid w:val="00596481"/>
    <w:rsid w:val="005969FA"/>
    <w:rsid w:val="00596CF7"/>
    <w:rsid w:val="005970D9"/>
    <w:rsid w:val="00597753"/>
    <w:rsid w:val="005A005C"/>
    <w:rsid w:val="005A014F"/>
    <w:rsid w:val="005A0180"/>
    <w:rsid w:val="005A0426"/>
    <w:rsid w:val="005A04DA"/>
    <w:rsid w:val="005A06F7"/>
    <w:rsid w:val="005A072B"/>
    <w:rsid w:val="005A1062"/>
    <w:rsid w:val="005A1083"/>
    <w:rsid w:val="005A1205"/>
    <w:rsid w:val="005A14E1"/>
    <w:rsid w:val="005A1E6E"/>
    <w:rsid w:val="005A2138"/>
    <w:rsid w:val="005A2F3A"/>
    <w:rsid w:val="005A314E"/>
    <w:rsid w:val="005A32CD"/>
    <w:rsid w:val="005A38F7"/>
    <w:rsid w:val="005A3C29"/>
    <w:rsid w:val="005A3FB4"/>
    <w:rsid w:val="005A42D0"/>
    <w:rsid w:val="005A4568"/>
    <w:rsid w:val="005A4C35"/>
    <w:rsid w:val="005A4DD1"/>
    <w:rsid w:val="005A4F4B"/>
    <w:rsid w:val="005A4FD6"/>
    <w:rsid w:val="005A50E6"/>
    <w:rsid w:val="005A5254"/>
    <w:rsid w:val="005A59DF"/>
    <w:rsid w:val="005A5D38"/>
    <w:rsid w:val="005A640B"/>
    <w:rsid w:val="005A674E"/>
    <w:rsid w:val="005A6A03"/>
    <w:rsid w:val="005A6BBA"/>
    <w:rsid w:val="005A6E3D"/>
    <w:rsid w:val="005A700D"/>
    <w:rsid w:val="005A7B02"/>
    <w:rsid w:val="005A7C47"/>
    <w:rsid w:val="005A7CCA"/>
    <w:rsid w:val="005B0050"/>
    <w:rsid w:val="005B008D"/>
    <w:rsid w:val="005B01E9"/>
    <w:rsid w:val="005B0440"/>
    <w:rsid w:val="005B0504"/>
    <w:rsid w:val="005B059B"/>
    <w:rsid w:val="005B0E07"/>
    <w:rsid w:val="005B0E11"/>
    <w:rsid w:val="005B1178"/>
    <w:rsid w:val="005B1194"/>
    <w:rsid w:val="005B13C3"/>
    <w:rsid w:val="005B13CC"/>
    <w:rsid w:val="005B1B67"/>
    <w:rsid w:val="005B259D"/>
    <w:rsid w:val="005B297F"/>
    <w:rsid w:val="005B2ABE"/>
    <w:rsid w:val="005B2D51"/>
    <w:rsid w:val="005B3442"/>
    <w:rsid w:val="005B36CD"/>
    <w:rsid w:val="005B3963"/>
    <w:rsid w:val="005B3E73"/>
    <w:rsid w:val="005B3F80"/>
    <w:rsid w:val="005B4412"/>
    <w:rsid w:val="005B4489"/>
    <w:rsid w:val="005B46E5"/>
    <w:rsid w:val="005B50AD"/>
    <w:rsid w:val="005B524F"/>
    <w:rsid w:val="005B55BB"/>
    <w:rsid w:val="005B55E7"/>
    <w:rsid w:val="005B5BA2"/>
    <w:rsid w:val="005B5EA0"/>
    <w:rsid w:val="005B6000"/>
    <w:rsid w:val="005B6391"/>
    <w:rsid w:val="005B64E4"/>
    <w:rsid w:val="005B67C6"/>
    <w:rsid w:val="005B72A5"/>
    <w:rsid w:val="005B7326"/>
    <w:rsid w:val="005B7336"/>
    <w:rsid w:val="005B77E7"/>
    <w:rsid w:val="005B78CB"/>
    <w:rsid w:val="005B7C91"/>
    <w:rsid w:val="005B7DF8"/>
    <w:rsid w:val="005C0013"/>
    <w:rsid w:val="005C0024"/>
    <w:rsid w:val="005C0026"/>
    <w:rsid w:val="005C06CE"/>
    <w:rsid w:val="005C0AC7"/>
    <w:rsid w:val="005C0AE3"/>
    <w:rsid w:val="005C0E7A"/>
    <w:rsid w:val="005C1187"/>
    <w:rsid w:val="005C1900"/>
    <w:rsid w:val="005C19A7"/>
    <w:rsid w:val="005C2036"/>
    <w:rsid w:val="005C2203"/>
    <w:rsid w:val="005C2264"/>
    <w:rsid w:val="005C231D"/>
    <w:rsid w:val="005C23CC"/>
    <w:rsid w:val="005C23EE"/>
    <w:rsid w:val="005C259C"/>
    <w:rsid w:val="005C29FC"/>
    <w:rsid w:val="005C311C"/>
    <w:rsid w:val="005C332D"/>
    <w:rsid w:val="005C3379"/>
    <w:rsid w:val="005C3502"/>
    <w:rsid w:val="005C3A27"/>
    <w:rsid w:val="005C3ADC"/>
    <w:rsid w:val="005C3AF0"/>
    <w:rsid w:val="005C3C44"/>
    <w:rsid w:val="005C4161"/>
    <w:rsid w:val="005C42DB"/>
    <w:rsid w:val="005C42EF"/>
    <w:rsid w:val="005C4988"/>
    <w:rsid w:val="005C4B50"/>
    <w:rsid w:val="005C5002"/>
    <w:rsid w:val="005C56C2"/>
    <w:rsid w:val="005C5789"/>
    <w:rsid w:val="005C58A2"/>
    <w:rsid w:val="005C5A96"/>
    <w:rsid w:val="005C5EDE"/>
    <w:rsid w:val="005C6541"/>
    <w:rsid w:val="005C673B"/>
    <w:rsid w:val="005C68CC"/>
    <w:rsid w:val="005C6BAD"/>
    <w:rsid w:val="005C6C01"/>
    <w:rsid w:val="005C6DC6"/>
    <w:rsid w:val="005C6E61"/>
    <w:rsid w:val="005C6FA4"/>
    <w:rsid w:val="005C700F"/>
    <w:rsid w:val="005C71C6"/>
    <w:rsid w:val="005C7233"/>
    <w:rsid w:val="005C73FA"/>
    <w:rsid w:val="005C7895"/>
    <w:rsid w:val="005C7B25"/>
    <w:rsid w:val="005C7BB7"/>
    <w:rsid w:val="005C7CB4"/>
    <w:rsid w:val="005C7D5A"/>
    <w:rsid w:val="005D06BE"/>
    <w:rsid w:val="005D0BB9"/>
    <w:rsid w:val="005D0EE0"/>
    <w:rsid w:val="005D0FDC"/>
    <w:rsid w:val="005D139C"/>
    <w:rsid w:val="005D16EF"/>
    <w:rsid w:val="005D1A2D"/>
    <w:rsid w:val="005D1A59"/>
    <w:rsid w:val="005D1B65"/>
    <w:rsid w:val="005D1BD1"/>
    <w:rsid w:val="005D21DD"/>
    <w:rsid w:val="005D224C"/>
    <w:rsid w:val="005D236D"/>
    <w:rsid w:val="005D310B"/>
    <w:rsid w:val="005D3CD0"/>
    <w:rsid w:val="005D3D2F"/>
    <w:rsid w:val="005D3EC7"/>
    <w:rsid w:val="005D457E"/>
    <w:rsid w:val="005D4661"/>
    <w:rsid w:val="005D4FB8"/>
    <w:rsid w:val="005D5927"/>
    <w:rsid w:val="005D5BED"/>
    <w:rsid w:val="005D5C57"/>
    <w:rsid w:val="005D634F"/>
    <w:rsid w:val="005D6799"/>
    <w:rsid w:val="005D690F"/>
    <w:rsid w:val="005D6944"/>
    <w:rsid w:val="005D6954"/>
    <w:rsid w:val="005D6A1C"/>
    <w:rsid w:val="005D6CD2"/>
    <w:rsid w:val="005D6FD8"/>
    <w:rsid w:val="005D70AF"/>
    <w:rsid w:val="005D7206"/>
    <w:rsid w:val="005D75C3"/>
    <w:rsid w:val="005D7605"/>
    <w:rsid w:val="005D7856"/>
    <w:rsid w:val="005E0950"/>
    <w:rsid w:val="005E0AEB"/>
    <w:rsid w:val="005E0C65"/>
    <w:rsid w:val="005E13ED"/>
    <w:rsid w:val="005E167C"/>
    <w:rsid w:val="005E192D"/>
    <w:rsid w:val="005E19A8"/>
    <w:rsid w:val="005E19F1"/>
    <w:rsid w:val="005E19F8"/>
    <w:rsid w:val="005E1B7A"/>
    <w:rsid w:val="005E1E12"/>
    <w:rsid w:val="005E21E4"/>
    <w:rsid w:val="005E237E"/>
    <w:rsid w:val="005E251E"/>
    <w:rsid w:val="005E279A"/>
    <w:rsid w:val="005E2A7F"/>
    <w:rsid w:val="005E2C41"/>
    <w:rsid w:val="005E3110"/>
    <w:rsid w:val="005E323E"/>
    <w:rsid w:val="005E3D10"/>
    <w:rsid w:val="005E3F05"/>
    <w:rsid w:val="005E42A1"/>
    <w:rsid w:val="005E42B3"/>
    <w:rsid w:val="005E4587"/>
    <w:rsid w:val="005E48A5"/>
    <w:rsid w:val="005E4B73"/>
    <w:rsid w:val="005E4BAA"/>
    <w:rsid w:val="005E4D73"/>
    <w:rsid w:val="005E54EA"/>
    <w:rsid w:val="005E57C8"/>
    <w:rsid w:val="005E59D6"/>
    <w:rsid w:val="005E5AA5"/>
    <w:rsid w:val="005E5C8B"/>
    <w:rsid w:val="005E5E5B"/>
    <w:rsid w:val="005E6056"/>
    <w:rsid w:val="005E611F"/>
    <w:rsid w:val="005E6766"/>
    <w:rsid w:val="005E6A05"/>
    <w:rsid w:val="005E7774"/>
    <w:rsid w:val="005E785B"/>
    <w:rsid w:val="005E78BD"/>
    <w:rsid w:val="005F02BE"/>
    <w:rsid w:val="005F0308"/>
    <w:rsid w:val="005F03DD"/>
    <w:rsid w:val="005F0414"/>
    <w:rsid w:val="005F08AD"/>
    <w:rsid w:val="005F0C9E"/>
    <w:rsid w:val="005F0F1C"/>
    <w:rsid w:val="005F142D"/>
    <w:rsid w:val="005F1735"/>
    <w:rsid w:val="005F18F4"/>
    <w:rsid w:val="005F1914"/>
    <w:rsid w:val="005F1F5E"/>
    <w:rsid w:val="005F216C"/>
    <w:rsid w:val="005F29AF"/>
    <w:rsid w:val="005F2A49"/>
    <w:rsid w:val="005F31D3"/>
    <w:rsid w:val="005F3221"/>
    <w:rsid w:val="005F3459"/>
    <w:rsid w:val="005F381E"/>
    <w:rsid w:val="005F3942"/>
    <w:rsid w:val="005F3A1A"/>
    <w:rsid w:val="005F450F"/>
    <w:rsid w:val="005F45DF"/>
    <w:rsid w:val="005F4C12"/>
    <w:rsid w:val="005F4C63"/>
    <w:rsid w:val="005F4DC4"/>
    <w:rsid w:val="005F4F47"/>
    <w:rsid w:val="005F4FAD"/>
    <w:rsid w:val="005F541B"/>
    <w:rsid w:val="005F5E12"/>
    <w:rsid w:val="005F60C6"/>
    <w:rsid w:val="005F6234"/>
    <w:rsid w:val="005F681F"/>
    <w:rsid w:val="005F6C58"/>
    <w:rsid w:val="005F6D49"/>
    <w:rsid w:val="005F6E6C"/>
    <w:rsid w:val="005F7120"/>
    <w:rsid w:val="005F712C"/>
    <w:rsid w:val="005F7711"/>
    <w:rsid w:val="005F7B38"/>
    <w:rsid w:val="00600058"/>
    <w:rsid w:val="00600629"/>
    <w:rsid w:val="006006A6"/>
    <w:rsid w:val="006007F5"/>
    <w:rsid w:val="00600802"/>
    <w:rsid w:val="00600874"/>
    <w:rsid w:val="00600DF9"/>
    <w:rsid w:val="00600FB7"/>
    <w:rsid w:val="006012B3"/>
    <w:rsid w:val="00601657"/>
    <w:rsid w:val="00601BC8"/>
    <w:rsid w:val="00602012"/>
    <w:rsid w:val="006021AA"/>
    <w:rsid w:val="006022E5"/>
    <w:rsid w:val="0060265C"/>
    <w:rsid w:val="00602F36"/>
    <w:rsid w:val="006031C8"/>
    <w:rsid w:val="006032C1"/>
    <w:rsid w:val="00603615"/>
    <w:rsid w:val="00603BF3"/>
    <w:rsid w:val="00603EC8"/>
    <w:rsid w:val="00603EE6"/>
    <w:rsid w:val="006044CD"/>
    <w:rsid w:val="0060475F"/>
    <w:rsid w:val="00604D04"/>
    <w:rsid w:val="00604F60"/>
    <w:rsid w:val="00605073"/>
    <w:rsid w:val="0060535B"/>
    <w:rsid w:val="006053C4"/>
    <w:rsid w:val="006055C1"/>
    <w:rsid w:val="006055F9"/>
    <w:rsid w:val="00605B87"/>
    <w:rsid w:val="006060AA"/>
    <w:rsid w:val="006060CD"/>
    <w:rsid w:val="006074C5"/>
    <w:rsid w:val="00607A95"/>
    <w:rsid w:val="006101A9"/>
    <w:rsid w:val="00610D81"/>
    <w:rsid w:val="00610E90"/>
    <w:rsid w:val="00610FCF"/>
    <w:rsid w:val="006112A0"/>
    <w:rsid w:val="006112B6"/>
    <w:rsid w:val="00611345"/>
    <w:rsid w:val="00611DC7"/>
    <w:rsid w:val="00611FA7"/>
    <w:rsid w:val="00611FFD"/>
    <w:rsid w:val="006125A9"/>
    <w:rsid w:val="00612622"/>
    <w:rsid w:val="006128BD"/>
    <w:rsid w:val="00612A27"/>
    <w:rsid w:val="00612B01"/>
    <w:rsid w:val="00612E68"/>
    <w:rsid w:val="0061304C"/>
    <w:rsid w:val="006132F7"/>
    <w:rsid w:val="0061331C"/>
    <w:rsid w:val="0061354F"/>
    <w:rsid w:val="006138DC"/>
    <w:rsid w:val="006139B5"/>
    <w:rsid w:val="006142A7"/>
    <w:rsid w:val="0061432C"/>
    <w:rsid w:val="00614351"/>
    <w:rsid w:val="0061449E"/>
    <w:rsid w:val="00614D75"/>
    <w:rsid w:val="00614DC3"/>
    <w:rsid w:val="00614DCB"/>
    <w:rsid w:val="006151B1"/>
    <w:rsid w:val="006151D1"/>
    <w:rsid w:val="00615657"/>
    <w:rsid w:val="006158B0"/>
    <w:rsid w:val="0061592A"/>
    <w:rsid w:val="00615ECE"/>
    <w:rsid w:val="00616135"/>
    <w:rsid w:val="00616214"/>
    <w:rsid w:val="0061622E"/>
    <w:rsid w:val="00616407"/>
    <w:rsid w:val="00616883"/>
    <w:rsid w:val="006169A6"/>
    <w:rsid w:val="00616B98"/>
    <w:rsid w:val="00616F05"/>
    <w:rsid w:val="00617085"/>
    <w:rsid w:val="006174FC"/>
    <w:rsid w:val="00617716"/>
    <w:rsid w:val="00617749"/>
    <w:rsid w:val="006179F0"/>
    <w:rsid w:val="00617A7C"/>
    <w:rsid w:val="00617BA7"/>
    <w:rsid w:val="00617C72"/>
    <w:rsid w:val="00617CF8"/>
    <w:rsid w:val="0062002C"/>
    <w:rsid w:val="0062032D"/>
    <w:rsid w:val="00620C81"/>
    <w:rsid w:val="00620EBA"/>
    <w:rsid w:val="006213E1"/>
    <w:rsid w:val="00621494"/>
    <w:rsid w:val="006214D2"/>
    <w:rsid w:val="006218A3"/>
    <w:rsid w:val="00621DC5"/>
    <w:rsid w:val="00622236"/>
    <w:rsid w:val="006222C5"/>
    <w:rsid w:val="006223BD"/>
    <w:rsid w:val="0062265D"/>
    <w:rsid w:val="00622970"/>
    <w:rsid w:val="006229FB"/>
    <w:rsid w:val="00622C87"/>
    <w:rsid w:val="00622CA2"/>
    <w:rsid w:val="006231A7"/>
    <w:rsid w:val="00623213"/>
    <w:rsid w:val="006234AD"/>
    <w:rsid w:val="0062356B"/>
    <w:rsid w:val="00623573"/>
    <w:rsid w:val="0062394B"/>
    <w:rsid w:val="00623E62"/>
    <w:rsid w:val="00623ED6"/>
    <w:rsid w:val="0062488D"/>
    <w:rsid w:val="00624BF9"/>
    <w:rsid w:val="0062502A"/>
    <w:rsid w:val="0062520A"/>
    <w:rsid w:val="00625339"/>
    <w:rsid w:val="006253FA"/>
    <w:rsid w:val="006258B9"/>
    <w:rsid w:val="00625A21"/>
    <w:rsid w:val="00625A6C"/>
    <w:rsid w:val="00625DBB"/>
    <w:rsid w:val="006261DA"/>
    <w:rsid w:val="00626319"/>
    <w:rsid w:val="006263EF"/>
    <w:rsid w:val="006268D3"/>
    <w:rsid w:val="00627212"/>
    <w:rsid w:val="00627406"/>
    <w:rsid w:val="006276EA"/>
    <w:rsid w:val="00627827"/>
    <w:rsid w:val="006279C2"/>
    <w:rsid w:val="00627BBA"/>
    <w:rsid w:val="00627C2C"/>
    <w:rsid w:val="00627E0B"/>
    <w:rsid w:val="00630167"/>
    <w:rsid w:val="00630716"/>
    <w:rsid w:val="00630952"/>
    <w:rsid w:val="00630E3E"/>
    <w:rsid w:val="0063106C"/>
    <w:rsid w:val="00631531"/>
    <w:rsid w:val="006315F7"/>
    <w:rsid w:val="0063187D"/>
    <w:rsid w:val="00631A3E"/>
    <w:rsid w:val="00631BC9"/>
    <w:rsid w:val="00631F14"/>
    <w:rsid w:val="0063206B"/>
    <w:rsid w:val="00632476"/>
    <w:rsid w:val="00632A4C"/>
    <w:rsid w:val="006331B8"/>
    <w:rsid w:val="006331DE"/>
    <w:rsid w:val="006332A9"/>
    <w:rsid w:val="006333BA"/>
    <w:rsid w:val="006333F0"/>
    <w:rsid w:val="00633405"/>
    <w:rsid w:val="0063351D"/>
    <w:rsid w:val="00633C34"/>
    <w:rsid w:val="0063468D"/>
    <w:rsid w:val="00634E12"/>
    <w:rsid w:val="00635351"/>
    <w:rsid w:val="006353EB"/>
    <w:rsid w:val="00635484"/>
    <w:rsid w:val="0063576F"/>
    <w:rsid w:val="0063592C"/>
    <w:rsid w:val="006360FE"/>
    <w:rsid w:val="006367CE"/>
    <w:rsid w:val="00636814"/>
    <w:rsid w:val="0063698F"/>
    <w:rsid w:val="00636BE7"/>
    <w:rsid w:val="0063716E"/>
    <w:rsid w:val="00637728"/>
    <w:rsid w:val="0063773A"/>
    <w:rsid w:val="0063778C"/>
    <w:rsid w:val="00637A25"/>
    <w:rsid w:val="006404D6"/>
    <w:rsid w:val="00640730"/>
    <w:rsid w:val="0064087D"/>
    <w:rsid w:val="0064095E"/>
    <w:rsid w:val="00640B79"/>
    <w:rsid w:val="00640FE2"/>
    <w:rsid w:val="0064135E"/>
    <w:rsid w:val="00641674"/>
    <w:rsid w:val="006417FA"/>
    <w:rsid w:val="006419C8"/>
    <w:rsid w:val="00641A6E"/>
    <w:rsid w:val="00641AD7"/>
    <w:rsid w:val="00641D6F"/>
    <w:rsid w:val="00642554"/>
    <w:rsid w:val="0064255F"/>
    <w:rsid w:val="0064263B"/>
    <w:rsid w:val="00642A0B"/>
    <w:rsid w:val="00642A90"/>
    <w:rsid w:val="00642DA6"/>
    <w:rsid w:val="00642E4F"/>
    <w:rsid w:val="00643405"/>
    <w:rsid w:val="00643806"/>
    <w:rsid w:val="006447C1"/>
    <w:rsid w:val="00644814"/>
    <w:rsid w:val="00644B93"/>
    <w:rsid w:val="00644FF2"/>
    <w:rsid w:val="006455C2"/>
    <w:rsid w:val="00645646"/>
    <w:rsid w:val="0064571E"/>
    <w:rsid w:val="00645AFA"/>
    <w:rsid w:val="00645C67"/>
    <w:rsid w:val="00645E51"/>
    <w:rsid w:val="00646084"/>
    <w:rsid w:val="006460E3"/>
    <w:rsid w:val="00646502"/>
    <w:rsid w:val="0064686C"/>
    <w:rsid w:val="00646CB7"/>
    <w:rsid w:val="00646D47"/>
    <w:rsid w:val="00647B74"/>
    <w:rsid w:val="00647ECF"/>
    <w:rsid w:val="00647F3F"/>
    <w:rsid w:val="00647FE5"/>
    <w:rsid w:val="006507EC"/>
    <w:rsid w:val="00650B1C"/>
    <w:rsid w:val="00650B76"/>
    <w:rsid w:val="006510FB"/>
    <w:rsid w:val="0065134C"/>
    <w:rsid w:val="00651446"/>
    <w:rsid w:val="006514A3"/>
    <w:rsid w:val="00651E3E"/>
    <w:rsid w:val="00652145"/>
    <w:rsid w:val="006522DD"/>
    <w:rsid w:val="0065247B"/>
    <w:rsid w:val="00652502"/>
    <w:rsid w:val="00652DA2"/>
    <w:rsid w:val="0065315D"/>
    <w:rsid w:val="00653298"/>
    <w:rsid w:val="006532B1"/>
    <w:rsid w:val="00653356"/>
    <w:rsid w:val="00653973"/>
    <w:rsid w:val="00653EB7"/>
    <w:rsid w:val="006545C0"/>
    <w:rsid w:val="00654A17"/>
    <w:rsid w:val="00655282"/>
    <w:rsid w:val="006552CF"/>
    <w:rsid w:val="00655E25"/>
    <w:rsid w:val="00656002"/>
    <w:rsid w:val="006569D7"/>
    <w:rsid w:val="00656A0F"/>
    <w:rsid w:val="00656B62"/>
    <w:rsid w:val="006571B4"/>
    <w:rsid w:val="0065738C"/>
    <w:rsid w:val="0065791B"/>
    <w:rsid w:val="00657FD1"/>
    <w:rsid w:val="00660272"/>
    <w:rsid w:val="00660AD9"/>
    <w:rsid w:val="00660C49"/>
    <w:rsid w:val="00660EA8"/>
    <w:rsid w:val="00660F7F"/>
    <w:rsid w:val="00660FF2"/>
    <w:rsid w:val="006611C0"/>
    <w:rsid w:val="00661457"/>
    <w:rsid w:val="00661471"/>
    <w:rsid w:val="00661914"/>
    <w:rsid w:val="00661C07"/>
    <w:rsid w:val="0066210A"/>
    <w:rsid w:val="006621EA"/>
    <w:rsid w:val="006623F6"/>
    <w:rsid w:val="006625B9"/>
    <w:rsid w:val="00662912"/>
    <w:rsid w:val="00662A04"/>
    <w:rsid w:val="00662FA8"/>
    <w:rsid w:val="006631D7"/>
    <w:rsid w:val="0066332B"/>
    <w:rsid w:val="0066339A"/>
    <w:rsid w:val="00663606"/>
    <w:rsid w:val="0066379B"/>
    <w:rsid w:val="0066387C"/>
    <w:rsid w:val="00663E35"/>
    <w:rsid w:val="00664010"/>
    <w:rsid w:val="0066417E"/>
    <w:rsid w:val="006641C5"/>
    <w:rsid w:val="0066446B"/>
    <w:rsid w:val="006645FC"/>
    <w:rsid w:val="0066492F"/>
    <w:rsid w:val="00664C09"/>
    <w:rsid w:val="00664DCF"/>
    <w:rsid w:val="00665023"/>
    <w:rsid w:val="00665102"/>
    <w:rsid w:val="006651DD"/>
    <w:rsid w:val="006652D9"/>
    <w:rsid w:val="0066539A"/>
    <w:rsid w:val="0066551D"/>
    <w:rsid w:val="0066569C"/>
    <w:rsid w:val="006656E5"/>
    <w:rsid w:val="00665933"/>
    <w:rsid w:val="0066596F"/>
    <w:rsid w:val="00665A6F"/>
    <w:rsid w:val="00665B4C"/>
    <w:rsid w:val="006660EA"/>
    <w:rsid w:val="006662AF"/>
    <w:rsid w:val="006669DA"/>
    <w:rsid w:val="00666CF7"/>
    <w:rsid w:val="0066706E"/>
    <w:rsid w:val="006670B1"/>
    <w:rsid w:val="006671E2"/>
    <w:rsid w:val="00667478"/>
    <w:rsid w:val="00667875"/>
    <w:rsid w:val="006678BC"/>
    <w:rsid w:val="00667934"/>
    <w:rsid w:val="00667AD5"/>
    <w:rsid w:val="00667E19"/>
    <w:rsid w:val="00667E44"/>
    <w:rsid w:val="00670349"/>
    <w:rsid w:val="0067034F"/>
    <w:rsid w:val="0067040E"/>
    <w:rsid w:val="0067091E"/>
    <w:rsid w:val="00670D4B"/>
    <w:rsid w:val="00670E44"/>
    <w:rsid w:val="006710E5"/>
    <w:rsid w:val="006711B1"/>
    <w:rsid w:val="00671568"/>
    <w:rsid w:val="0067168C"/>
    <w:rsid w:val="006716AF"/>
    <w:rsid w:val="0067176F"/>
    <w:rsid w:val="0067191A"/>
    <w:rsid w:val="00671AB4"/>
    <w:rsid w:val="006720C6"/>
    <w:rsid w:val="0067247B"/>
    <w:rsid w:val="0067279F"/>
    <w:rsid w:val="006729F5"/>
    <w:rsid w:val="00672FE7"/>
    <w:rsid w:val="0067325F"/>
    <w:rsid w:val="00673377"/>
    <w:rsid w:val="006733F6"/>
    <w:rsid w:val="006735EC"/>
    <w:rsid w:val="00673607"/>
    <w:rsid w:val="00673944"/>
    <w:rsid w:val="00673F89"/>
    <w:rsid w:val="0067400A"/>
    <w:rsid w:val="00674133"/>
    <w:rsid w:val="00674D07"/>
    <w:rsid w:val="00674DF1"/>
    <w:rsid w:val="0067547B"/>
    <w:rsid w:val="0067551D"/>
    <w:rsid w:val="00675AFB"/>
    <w:rsid w:val="00675B44"/>
    <w:rsid w:val="00675D02"/>
    <w:rsid w:val="006764C9"/>
    <w:rsid w:val="006764D7"/>
    <w:rsid w:val="00676784"/>
    <w:rsid w:val="00676C80"/>
    <w:rsid w:val="00676DAB"/>
    <w:rsid w:val="00676DC4"/>
    <w:rsid w:val="00676E63"/>
    <w:rsid w:val="00676FE2"/>
    <w:rsid w:val="00677518"/>
    <w:rsid w:val="00677709"/>
    <w:rsid w:val="00677B39"/>
    <w:rsid w:val="00677D2C"/>
    <w:rsid w:val="00677DD8"/>
    <w:rsid w:val="006804CA"/>
    <w:rsid w:val="00680570"/>
    <w:rsid w:val="00680668"/>
    <w:rsid w:val="00680909"/>
    <w:rsid w:val="006809A0"/>
    <w:rsid w:val="00680E5D"/>
    <w:rsid w:val="0068111A"/>
    <w:rsid w:val="00681177"/>
    <w:rsid w:val="006818D4"/>
    <w:rsid w:val="0068193D"/>
    <w:rsid w:val="00681ADE"/>
    <w:rsid w:val="00682661"/>
    <w:rsid w:val="006826CE"/>
    <w:rsid w:val="0068287A"/>
    <w:rsid w:val="0068299D"/>
    <w:rsid w:val="00682B52"/>
    <w:rsid w:val="0068314F"/>
    <w:rsid w:val="0068326F"/>
    <w:rsid w:val="00683344"/>
    <w:rsid w:val="0068358A"/>
    <w:rsid w:val="006835CE"/>
    <w:rsid w:val="0068362C"/>
    <w:rsid w:val="006837CA"/>
    <w:rsid w:val="00683813"/>
    <w:rsid w:val="00683A55"/>
    <w:rsid w:val="00683A62"/>
    <w:rsid w:val="00683EDC"/>
    <w:rsid w:val="00684624"/>
    <w:rsid w:val="006849FF"/>
    <w:rsid w:val="006852B0"/>
    <w:rsid w:val="00685325"/>
    <w:rsid w:val="006855E5"/>
    <w:rsid w:val="00685803"/>
    <w:rsid w:val="00685CC7"/>
    <w:rsid w:val="00686815"/>
    <w:rsid w:val="00686B5F"/>
    <w:rsid w:val="00686D08"/>
    <w:rsid w:val="006871BA"/>
    <w:rsid w:val="00687AAA"/>
    <w:rsid w:val="00687DFD"/>
    <w:rsid w:val="00690193"/>
    <w:rsid w:val="006908DB"/>
    <w:rsid w:val="006909B0"/>
    <w:rsid w:val="00690BA6"/>
    <w:rsid w:val="00690DCD"/>
    <w:rsid w:val="00691756"/>
    <w:rsid w:val="00691979"/>
    <w:rsid w:val="00691AC1"/>
    <w:rsid w:val="00691BEE"/>
    <w:rsid w:val="00691C27"/>
    <w:rsid w:val="006929AF"/>
    <w:rsid w:val="00692DE6"/>
    <w:rsid w:val="00692F08"/>
    <w:rsid w:val="00693162"/>
    <w:rsid w:val="00693306"/>
    <w:rsid w:val="00693416"/>
    <w:rsid w:val="00693747"/>
    <w:rsid w:val="00693908"/>
    <w:rsid w:val="00693BE6"/>
    <w:rsid w:val="00693C7A"/>
    <w:rsid w:val="006941DB"/>
    <w:rsid w:val="00694455"/>
    <w:rsid w:val="0069472A"/>
    <w:rsid w:val="00694F9D"/>
    <w:rsid w:val="006950A1"/>
    <w:rsid w:val="006951C4"/>
    <w:rsid w:val="006955E6"/>
    <w:rsid w:val="00695F3C"/>
    <w:rsid w:val="006960E9"/>
    <w:rsid w:val="00696A10"/>
    <w:rsid w:val="00696B7F"/>
    <w:rsid w:val="00696BE9"/>
    <w:rsid w:val="006970D5"/>
    <w:rsid w:val="00697577"/>
    <w:rsid w:val="006978F2"/>
    <w:rsid w:val="00697B06"/>
    <w:rsid w:val="00697FA0"/>
    <w:rsid w:val="00697FE2"/>
    <w:rsid w:val="006A026E"/>
    <w:rsid w:val="006A05DE"/>
    <w:rsid w:val="006A0AA1"/>
    <w:rsid w:val="006A0CC8"/>
    <w:rsid w:val="006A0E51"/>
    <w:rsid w:val="006A1029"/>
    <w:rsid w:val="006A104C"/>
    <w:rsid w:val="006A1674"/>
    <w:rsid w:val="006A1691"/>
    <w:rsid w:val="006A172A"/>
    <w:rsid w:val="006A18CA"/>
    <w:rsid w:val="006A18D7"/>
    <w:rsid w:val="006A2243"/>
    <w:rsid w:val="006A2539"/>
    <w:rsid w:val="006A289A"/>
    <w:rsid w:val="006A2D4B"/>
    <w:rsid w:val="006A2E16"/>
    <w:rsid w:val="006A3211"/>
    <w:rsid w:val="006A3926"/>
    <w:rsid w:val="006A39C1"/>
    <w:rsid w:val="006A3A94"/>
    <w:rsid w:val="006A3E9B"/>
    <w:rsid w:val="006A46D7"/>
    <w:rsid w:val="006A4A71"/>
    <w:rsid w:val="006A4AC3"/>
    <w:rsid w:val="006A4E0A"/>
    <w:rsid w:val="006A541D"/>
    <w:rsid w:val="006A5722"/>
    <w:rsid w:val="006A58FD"/>
    <w:rsid w:val="006A5A1D"/>
    <w:rsid w:val="006A5AF9"/>
    <w:rsid w:val="006A5FBB"/>
    <w:rsid w:val="006A605B"/>
    <w:rsid w:val="006A6889"/>
    <w:rsid w:val="006A6F4A"/>
    <w:rsid w:val="006A7531"/>
    <w:rsid w:val="006A75F3"/>
    <w:rsid w:val="006A7B8A"/>
    <w:rsid w:val="006B0067"/>
    <w:rsid w:val="006B0359"/>
    <w:rsid w:val="006B035D"/>
    <w:rsid w:val="006B0469"/>
    <w:rsid w:val="006B054C"/>
    <w:rsid w:val="006B05FB"/>
    <w:rsid w:val="006B0A34"/>
    <w:rsid w:val="006B0FC1"/>
    <w:rsid w:val="006B1400"/>
    <w:rsid w:val="006B1795"/>
    <w:rsid w:val="006B18BE"/>
    <w:rsid w:val="006B1E29"/>
    <w:rsid w:val="006B1F6D"/>
    <w:rsid w:val="006B20D9"/>
    <w:rsid w:val="006B21A0"/>
    <w:rsid w:val="006B2297"/>
    <w:rsid w:val="006B2589"/>
    <w:rsid w:val="006B25F0"/>
    <w:rsid w:val="006B2C6C"/>
    <w:rsid w:val="006B37D7"/>
    <w:rsid w:val="006B3887"/>
    <w:rsid w:val="006B38DE"/>
    <w:rsid w:val="006B40E6"/>
    <w:rsid w:val="006B438A"/>
    <w:rsid w:val="006B4543"/>
    <w:rsid w:val="006B465B"/>
    <w:rsid w:val="006B4780"/>
    <w:rsid w:val="006B48EE"/>
    <w:rsid w:val="006B4BBE"/>
    <w:rsid w:val="006B4F3A"/>
    <w:rsid w:val="006B5177"/>
    <w:rsid w:val="006B556C"/>
    <w:rsid w:val="006B563F"/>
    <w:rsid w:val="006B56C5"/>
    <w:rsid w:val="006B581F"/>
    <w:rsid w:val="006B5AE2"/>
    <w:rsid w:val="006B5CF7"/>
    <w:rsid w:val="006B5E3A"/>
    <w:rsid w:val="006B62A6"/>
    <w:rsid w:val="006B653F"/>
    <w:rsid w:val="006B6884"/>
    <w:rsid w:val="006B692C"/>
    <w:rsid w:val="006B6B54"/>
    <w:rsid w:val="006B6CF7"/>
    <w:rsid w:val="006B6EAB"/>
    <w:rsid w:val="006B71ED"/>
    <w:rsid w:val="006B72D1"/>
    <w:rsid w:val="006B7313"/>
    <w:rsid w:val="006B73BD"/>
    <w:rsid w:val="006B743D"/>
    <w:rsid w:val="006B774D"/>
    <w:rsid w:val="006B7CDF"/>
    <w:rsid w:val="006B7D4C"/>
    <w:rsid w:val="006B7DAF"/>
    <w:rsid w:val="006C0549"/>
    <w:rsid w:val="006C0582"/>
    <w:rsid w:val="006C120F"/>
    <w:rsid w:val="006C168B"/>
    <w:rsid w:val="006C1796"/>
    <w:rsid w:val="006C18D5"/>
    <w:rsid w:val="006C19FB"/>
    <w:rsid w:val="006C1A38"/>
    <w:rsid w:val="006C1AB0"/>
    <w:rsid w:val="006C1B58"/>
    <w:rsid w:val="006C1E39"/>
    <w:rsid w:val="006C1F83"/>
    <w:rsid w:val="006C244C"/>
    <w:rsid w:val="006C269D"/>
    <w:rsid w:val="006C27A3"/>
    <w:rsid w:val="006C300F"/>
    <w:rsid w:val="006C32FC"/>
    <w:rsid w:val="006C330E"/>
    <w:rsid w:val="006C35F5"/>
    <w:rsid w:val="006C3619"/>
    <w:rsid w:val="006C362A"/>
    <w:rsid w:val="006C4174"/>
    <w:rsid w:val="006C41DA"/>
    <w:rsid w:val="006C4313"/>
    <w:rsid w:val="006C46A1"/>
    <w:rsid w:val="006C4A9B"/>
    <w:rsid w:val="006C4AF7"/>
    <w:rsid w:val="006C5144"/>
    <w:rsid w:val="006C55BE"/>
    <w:rsid w:val="006C5642"/>
    <w:rsid w:val="006C565A"/>
    <w:rsid w:val="006C5699"/>
    <w:rsid w:val="006C5728"/>
    <w:rsid w:val="006C5755"/>
    <w:rsid w:val="006C58DF"/>
    <w:rsid w:val="006C65E1"/>
    <w:rsid w:val="006C66A1"/>
    <w:rsid w:val="006C67B8"/>
    <w:rsid w:val="006C694E"/>
    <w:rsid w:val="006C698C"/>
    <w:rsid w:val="006C6B0E"/>
    <w:rsid w:val="006C762C"/>
    <w:rsid w:val="006C7A7B"/>
    <w:rsid w:val="006C7A7C"/>
    <w:rsid w:val="006C7AD3"/>
    <w:rsid w:val="006C7B6B"/>
    <w:rsid w:val="006C7C87"/>
    <w:rsid w:val="006C7CA6"/>
    <w:rsid w:val="006C7E07"/>
    <w:rsid w:val="006C7F87"/>
    <w:rsid w:val="006C7FC0"/>
    <w:rsid w:val="006D07A0"/>
    <w:rsid w:val="006D0A61"/>
    <w:rsid w:val="006D0D56"/>
    <w:rsid w:val="006D0E44"/>
    <w:rsid w:val="006D11EF"/>
    <w:rsid w:val="006D1A57"/>
    <w:rsid w:val="006D1D80"/>
    <w:rsid w:val="006D1EAD"/>
    <w:rsid w:val="006D2079"/>
    <w:rsid w:val="006D23CE"/>
    <w:rsid w:val="006D2495"/>
    <w:rsid w:val="006D25D6"/>
    <w:rsid w:val="006D28F5"/>
    <w:rsid w:val="006D2D3D"/>
    <w:rsid w:val="006D3035"/>
    <w:rsid w:val="006D3041"/>
    <w:rsid w:val="006D32DD"/>
    <w:rsid w:val="006D36D0"/>
    <w:rsid w:val="006D3736"/>
    <w:rsid w:val="006D37FC"/>
    <w:rsid w:val="006D3C66"/>
    <w:rsid w:val="006D3C7B"/>
    <w:rsid w:val="006D3D98"/>
    <w:rsid w:val="006D3DA4"/>
    <w:rsid w:val="006D3E3D"/>
    <w:rsid w:val="006D4067"/>
    <w:rsid w:val="006D42F0"/>
    <w:rsid w:val="006D467F"/>
    <w:rsid w:val="006D4B98"/>
    <w:rsid w:val="006D4F46"/>
    <w:rsid w:val="006D503E"/>
    <w:rsid w:val="006D50BC"/>
    <w:rsid w:val="006D56A2"/>
    <w:rsid w:val="006D5711"/>
    <w:rsid w:val="006D5A98"/>
    <w:rsid w:val="006D5B35"/>
    <w:rsid w:val="006D5D56"/>
    <w:rsid w:val="006D5FF3"/>
    <w:rsid w:val="006D6127"/>
    <w:rsid w:val="006D63A3"/>
    <w:rsid w:val="006D66E3"/>
    <w:rsid w:val="006D67DB"/>
    <w:rsid w:val="006D68F5"/>
    <w:rsid w:val="006D6B74"/>
    <w:rsid w:val="006D71DA"/>
    <w:rsid w:val="006D7523"/>
    <w:rsid w:val="006D7957"/>
    <w:rsid w:val="006D79DD"/>
    <w:rsid w:val="006D7A74"/>
    <w:rsid w:val="006D7EA7"/>
    <w:rsid w:val="006D7EA8"/>
    <w:rsid w:val="006E09A9"/>
    <w:rsid w:val="006E0C6E"/>
    <w:rsid w:val="006E0E0E"/>
    <w:rsid w:val="006E0F6A"/>
    <w:rsid w:val="006E1086"/>
    <w:rsid w:val="006E1406"/>
    <w:rsid w:val="006E1431"/>
    <w:rsid w:val="006E146E"/>
    <w:rsid w:val="006E1F6B"/>
    <w:rsid w:val="006E21CE"/>
    <w:rsid w:val="006E21DE"/>
    <w:rsid w:val="006E29B3"/>
    <w:rsid w:val="006E2E00"/>
    <w:rsid w:val="006E3465"/>
    <w:rsid w:val="006E3674"/>
    <w:rsid w:val="006E3679"/>
    <w:rsid w:val="006E3755"/>
    <w:rsid w:val="006E3CDC"/>
    <w:rsid w:val="006E4516"/>
    <w:rsid w:val="006E4664"/>
    <w:rsid w:val="006E4BD1"/>
    <w:rsid w:val="006E4DD2"/>
    <w:rsid w:val="006E5147"/>
    <w:rsid w:val="006E52B9"/>
    <w:rsid w:val="006E5A7E"/>
    <w:rsid w:val="006E5CB4"/>
    <w:rsid w:val="006E5E74"/>
    <w:rsid w:val="006E5EBE"/>
    <w:rsid w:val="006E65E8"/>
    <w:rsid w:val="006E68FF"/>
    <w:rsid w:val="006E6B05"/>
    <w:rsid w:val="006E700A"/>
    <w:rsid w:val="006E7420"/>
    <w:rsid w:val="006E74BE"/>
    <w:rsid w:val="006E7593"/>
    <w:rsid w:val="006E7F6C"/>
    <w:rsid w:val="006F008F"/>
    <w:rsid w:val="006F1147"/>
    <w:rsid w:val="006F1596"/>
    <w:rsid w:val="006F1904"/>
    <w:rsid w:val="006F224B"/>
    <w:rsid w:val="006F26F2"/>
    <w:rsid w:val="006F288B"/>
    <w:rsid w:val="006F2B27"/>
    <w:rsid w:val="006F2F6C"/>
    <w:rsid w:val="006F31FB"/>
    <w:rsid w:val="006F342D"/>
    <w:rsid w:val="006F350A"/>
    <w:rsid w:val="006F39E8"/>
    <w:rsid w:val="006F3C61"/>
    <w:rsid w:val="006F4176"/>
    <w:rsid w:val="006F4363"/>
    <w:rsid w:val="006F48C3"/>
    <w:rsid w:val="006F4B67"/>
    <w:rsid w:val="006F52D3"/>
    <w:rsid w:val="006F5363"/>
    <w:rsid w:val="006F5C30"/>
    <w:rsid w:val="006F6225"/>
    <w:rsid w:val="006F6932"/>
    <w:rsid w:val="006F693E"/>
    <w:rsid w:val="006F6AF5"/>
    <w:rsid w:val="006F6AFE"/>
    <w:rsid w:val="006F6D57"/>
    <w:rsid w:val="006F6DD3"/>
    <w:rsid w:val="006F6F10"/>
    <w:rsid w:val="006F7792"/>
    <w:rsid w:val="006F779E"/>
    <w:rsid w:val="006F7CCE"/>
    <w:rsid w:val="006F7F44"/>
    <w:rsid w:val="007004EB"/>
    <w:rsid w:val="00700950"/>
    <w:rsid w:val="00700D21"/>
    <w:rsid w:val="00700D24"/>
    <w:rsid w:val="00701144"/>
    <w:rsid w:val="007013CE"/>
    <w:rsid w:val="00701801"/>
    <w:rsid w:val="007018B4"/>
    <w:rsid w:val="00701921"/>
    <w:rsid w:val="00701B4D"/>
    <w:rsid w:val="00701DB7"/>
    <w:rsid w:val="00701E94"/>
    <w:rsid w:val="00701F5F"/>
    <w:rsid w:val="007024E2"/>
    <w:rsid w:val="00702C1F"/>
    <w:rsid w:val="00703127"/>
    <w:rsid w:val="0070321A"/>
    <w:rsid w:val="0070346C"/>
    <w:rsid w:val="007039FF"/>
    <w:rsid w:val="00704134"/>
    <w:rsid w:val="00704175"/>
    <w:rsid w:val="00704AA9"/>
    <w:rsid w:val="00704CC3"/>
    <w:rsid w:val="00704F4B"/>
    <w:rsid w:val="00704FC9"/>
    <w:rsid w:val="007051A7"/>
    <w:rsid w:val="0070583F"/>
    <w:rsid w:val="00705A19"/>
    <w:rsid w:val="00705B5C"/>
    <w:rsid w:val="00705C79"/>
    <w:rsid w:val="00705EBE"/>
    <w:rsid w:val="00705F69"/>
    <w:rsid w:val="00706284"/>
    <w:rsid w:val="00706968"/>
    <w:rsid w:val="00707102"/>
    <w:rsid w:val="0070733A"/>
    <w:rsid w:val="00707985"/>
    <w:rsid w:val="00707C4A"/>
    <w:rsid w:val="00707F7B"/>
    <w:rsid w:val="0071008A"/>
    <w:rsid w:val="007104F9"/>
    <w:rsid w:val="007105F2"/>
    <w:rsid w:val="00710696"/>
    <w:rsid w:val="0071076E"/>
    <w:rsid w:val="00710894"/>
    <w:rsid w:val="007108BC"/>
    <w:rsid w:val="00710A6F"/>
    <w:rsid w:val="00710B03"/>
    <w:rsid w:val="007116A3"/>
    <w:rsid w:val="00711B6D"/>
    <w:rsid w:val="00712378"/>
    <w:rsid w:val="0071253C"/>
    <w:rsid w:val="00712AD4"/>
    <w:rsid w:val="00712CA1"/>
    <w:rsid w:val="007130C5"/>
    <w:rsid w:val="00713152"/>
    <w:rsid w:val="007134CE"/>
    <w:rsid w:val="00713BF3"/>
    <w:rsid w:val="00713BF5"/>
    <w:rsid w:val="00713D6A"/>
    <w:rsid w:val="00713F5F"/>
    <w:rsid w:val="00713F8E"/>
    <w:rsid w:val="007143C8"/>
    <w:rsid w:val="00714496"/>
    <w:rsid w:val="007145A6"/>
    <w:rsid w:val="0071464B"/>
    <w:rsid w:val="00714E67"/>
    <w:rsid w:val="00714E88"/>
    <w:rsid w:val="007151E1"/>
    <w:rsid w:val="007158B9"/>
    <w:rsid w:val="00715DF8"/>
    <w:rsid w:val="007164E2"/>
    <w:rsid w:val="0071660A"/>
    <w:rsid w:val="00716687"/>
    <w:rsid w:val="0071691D"/>
    <w:rsid w:val="0071693C"/>
    <w:rsid w:val="007170F7"/>
    <w:rsid w:val="007172D5"/>
    <w:rsid w:val="00717345"/>
    <w:rsid w:val="00717373"/>
    <w:rsid w:val="007173AB"/>
    <w:rsid w:val="00717D93"/>
    <w:rsid w:val="00717DE5"/>
    <w:rsid w:val="007206DF"/>
    <w:rsid w:val="00720B2C"/>
    <w:rsid w:val="00720F0E"/>
    <w:rsid w:val="0072143B"/>
    <w:rsid w:val="0072148A"/>
    <w:rsid w:val="00721625"/>
    <w:rsid w:val="007218A0"/>
    <w:rsid w:val="00721FCF"/>
    <w:rsid w:val="00722679"/>
    <w:rsid w:val="0072362E"/>
    <w:rsid w:val="0072380E"/>
    <w:rsid w:val="0072386F"/>
    <w:rsid w:val="00723EAF"/>
    <w:rsid w:val="007244CE"/>
    <w:rsid w:val="00724ABC"/>
    <w:rsid w:val="00724F81"/>
    <w:rsid w:val="007251B9"/>
    <w:rsid w:val="0072523C"/>
    <w:rsid w:val="0072552C"/>
    <w:rsid w:val="007256A6"/>
    <w:rsid w:val="00725E53"/>
    <w:rsid w:val="007260A6"/>
    <w:rsid w:val="007262EB"/>
    <w:rsid w:val="00726363"/>
    <w:rsid w:val="00726ACE"/>
    <w:rsid w:val="007272F5"/>
    <w:rsid w:val="00727341"/>
    <w:rsid w:val="00727415"/>
    <w:rsid w:val="0072745A"/>
    <w:rsid w:val="007276AB"/>
    <w:rsid w:val="00727833"/>
    <w:rsid w:val="00727927"/>
    <w:rsid w:val="0073022E"/>
    <w:rsid w:val="007303C3"/>
    <w:rsid w:val="007304EC"/>
    <w:rsid w:val="00730685"/>
    <w:rsid w:val="007308C8"/>
    <w:rsid w:val="00730C58"/>
    <w:rsid w:val="007312E7"/>
    <w:rsid w:val="0073143D"/>
    <w:rsid w:val="00731545"/>
    <w:rsid w:val="00731AF0"/>
    <w:rsid w:val="0073242F"/>
    <w:rsid w:val="007325BA"/>
    <w:rsid w:val="007327C7"/>
    <w:rsid w:val="00732952"/>
    <w:rsid w:val="00732B34"/>
    <w:rsid w:val="00732BDE"/>
    <w:rsid w:val="00732EC3"/>
    <w:rsid w:val="00733313"/>
    <w:rsid w:val="007337AA"/>
    <w:rsid w:val="007337B2"/>
    <w:rsid w:val="00733CAD"/>
    <w:rsid w:val="00733CC3"/>
    <w:rsid w:val="00733F15"/>
    <w:rsid w:val="007340D4"/>
    <w:rsid w:val="00734332"/>
    <w:rsid w:val="007343E2"/>
    <w:rsid w:val="00734696"/>
    <w:rsid w:val="00734CD2"/>
    <w:rsid w:val="00734E3D"/>
    <w:rsid w:val="007351BE"/>
    <w:rsid w:val="00735390"/>
    <w:rsid w:val="0073555C"/>
    <w:rsid w:val="0073564C"/>
    <w:rsid w:val="00735892"/>
    <w:rsid w:val="00735945"/>
    <w:rsid w:val="00735A59"/>
    <w:rsid w:val="00736EE0"/>
    <w:rsid w:val="00737811"/>
    <w:rsid w:val="0074063D"/>
    <w:rsid w:val="00740646"/>
    <w:rsid w:val="0074074A"/>
    <w:rsid w:val="00740C6D"/>
    <w:rsid w:val="00740CE9"/>
    <w:rsid w:val="0074112D"/>
    <w:rsid w:val="007411CB"/>
    <w:rsid w:val="007417A2"/>
    <w:rsid w:val="007418E6"/>
    <w:rsid w:val="00741F75"/>
    <w:rsid w:val="007424EC"/>
    <w:rsid w:val="007426EA"/>
    <w:rsid w:val="007427CE"/>
    <w:rsid w:val="007429AF"/>
    <w:rsid w:val="00743498"/>
    <w:rsid w:val="00743540"/>
    <w:rsid w:val="00743FFD"/>
    <w:rsid w:val="00744022"/>
    <w:rsid w:val="0074424D"/>
    <w:rsid w:val="0074440E"/>
    <w:rsid w:val="00744415"/>
    <w:rsid w:val="007445B8"/>
    <w:rsid w:val="00744E3A"/>
    <w:rsid w:val="00744E6B"/>
    <w:rsid w:val="00745280"/>
    <w:rsid w:val="00745706"/>
    <w:rsid w:val="00745851"/>
    <w:rsid w:val="00745D7B"/>
    <w:rsid w:val="00745DA7"/>
    <w:rsid w:val="007478E5"/>
    <w:rsid w:val="00747982"/>
    <w:rsid w:val="00747DB7"/>
    <w:rsid w:val="00747EF9"/>
    <w:rsid w:val="007500CD"/>
    <w:rsid w:val="0075043B"/>
    <w:rsid w:val="0075091E"/>
    <w:rsid w:val="00750C40"/>
    <w:rsid w:val="00750F3B"/>
    <w:rsid w:val="00751082"/>
    <w:rsid w:val="007510BD"/>
    <w:rsid w:val="00751182"/>
    <w:rsid w:val="00751243"/>
    <w:rsid w:val="0075177A"/>
    <w:rsid w:val="007518E9"/>
    <w:rsid w:val="00751FC2"/>
    <w:rsid w:val="007522B9"/>
    <w:rsid w:val="007523C0"/>
    <w:rsid w:val="0075262F"/>
    <w:rsid w:val="00752730"/>
    <w:rsid w:val="00752C9D"/>
    <w:rsid w:val="00752CE3"/>
    <w:rsid w:val="00752D30"/>
    <w:rsid w:val="0075315F"/>
    <w:rsid w:val="007538C7"/>
    <w:rsid w:val="00753A52"/>
    <w:rsid w:val="00753DB5"/>
    <w:rsid w:val="00753E6A"/>
    <w:rsid w:val="00753FB8"/>
    <w:rsid w:val="007548BF"/>
    <w:rsid w:val="007552EB"/>
    <w:rsid w:val="007555E1"/>
    <w:rsid w:val="00755600"/>
    <w:rsid w:val="00755962"/>
    <w:rsid w:val="007560F7"/>
    <w:rsid w:val="00756ACA"/>
    <w:rsid w:val="00756D6C"/>
    <w:rsid w:val="00756E53"/>
    <w:rsid w:val="0075758B"/>
    <w:rsid w:val="00757DE7"/>
    <w:rsid w:val="00757F42"/>
    <w:rsid w:val="007604A2"/>
    <w:rsid w:val="00760B5A"/>
    <w:rsid w:val="0076106E"/>
    <w:rsid w:val="007610E4"/>
    <w:rsid w:val="007611A1"/>
    <w:rsid w:val="00761549"/>
    <w:rsid w:val="00761DAF"/>
    <w:rsid w:val="007627C2"/>
    <w:rsid w:val="007629B3"/>
    <w:rsid w:val="00762C0B"/>
    <w:rsid w:val="00762EB9"/>
    <w:rsid w:val="00763156"/>
    <w:rsid w:val="0076334A"/>
    <w:rsid w:val="0076363A"/>
    <w:rsid w:val="00763679"/>
    <w:rsid w:val="00763ACE"/>
    <w:rsid w:val="00763CDF"/>
    <w:rsid w:val="007644FF"/>
    <w:rsid w:val="00764595"/>
    <w:rsid w:val="0076460E"/>
    <w:rsid w:val="0076469F"/>
    <w:rsid w:val="00764C4D"/>
    <w:rsid w:val="00764CFD"/>
    <w:rsid w:val="007657EF"/>
    <w:rsid w:val="00765AB9"/>
    <w:rsid w:val="00765B90"/>
    <w:rsid w:val="0076619B"/>
    <w:rsid w:val="007666B4"/>
    <w:rsid w:val="00766E4F"/>
    <w:rsid w:val="0076737A"/>
    <w:rsid w:val="0076760D"/>
    <w:rsid w:val="00767AB9"/>
    <w:rsid w:val="00767F00"/>
    <w:rsid w:val="0077061F"/>
    <w:rsid w:val="007709FB"/>
    <w:rsid w:val="00770F08"/>
    <w:rsid w:val="00770FB5"/>
    <w:rsid w:val="00771031"/>
    <w:rsid w:val="00771095"/>
    <w:rsid w:val="0077153E"/>
    <w:rsid w:val="007718A9"/>
    <w:rsid w:val="0077190C"/>
    <w:rsid w:val="00771A15"/>
    <w:rsid w:val="00771CFC"/>
    <w:rsid w:val="007720FA"/>
    <w:rsid w:val="007724C3"/>
    <w:rsid w:val="00772882"/>
    <w:rsid w:val="00772A3B"/>
    <w:rsid w:val="00772ED9"/>
    <w:rsid w:val="0077350F"/>
    <w:rsid w:val="00773777"/>
    <w:rsid w:val="00773877"/>
    <w:rsid w:val="0077399D"/>
    <w:rsid w:val="007739F6"/>
    <w:rsid w:val="00773E00"/>
    <w:rsid w:val="00773E4C"/>
    <w:rsid w:val="00773F42"/>
    <w:rsid w:val="0077409D"/>
    <w:rsid w:val="00774DAA"/>
    <w:rsid w:val="0077501C"/>
    <w:rsid w:val="00775682"/>
    <w:rsid w:val="00775898"/>
    <w:rsid w:val="0077595A"/>
    <w:rsid w:val="007759DD"/>
    <w:rsid w:val="00775EA4"/>
    <w:rsid w:val="007760A7"/>
    <w:rsid w:val="00776236"/>
    <w:rsid w:val="007766D0"/>
    <w:rsid w:val="00776725"/>
    <w:rsid w:val="0077672A"/>
    <w:rsid w:val="007769A3"/>
    <w:rsid w:val="00776EE8"/>
    <w:rsid w:val="00777E65"/>
    <w:rsid w:val="00777FFB"/>
    <w:rsid w:val="007801C1"/>
    <w:rsid w:val="007805DA"/>
    <w:rsid w:val="00780828"/>
    <w:rsid w:val="00780D9B"/>
    <w:rsid w:val="007810F5"/>
    <w:rsid w:val="007811FE"/>
    <w:rsid w:val="00781327"/>
    <w:rsid w:val="00781711"/>
    <w:rsid w:val="007818E4"/>
    <w:rsid w:val="00781C2E"/>
    <w:rsid w:val="00781E11"/>
    <w:rsid w:val="00782338"/>
    <w:rsid w:val="0078244A"/>
    <w:rsid w:val="00782504"/>
    <w:rsid w:val="007825EB"/>
    <w:rsid w:val="0078278D"/>
    <w:rsid w:val="00782848"/>
    <w:rsid w:val="00782A5F"/>
    <w:rsid w:val="00782AA2"/>
    <w:rsid w:val="00782CC0"/>
    <w:rsid w:val="00782DF5"/>
    <w:rsid w:val="00782EBD"/>
    <w:rsid w:val="00783700"/>
    <w:rsid w:val="0078384C"/>
    <w:rsid w:val="00783895"/>
    <w:rsid w:val="0078391F"/>
    <w:rsid w:val="00784135"/>
    <w:rsid w:val="00784DED"/>
    <w:rsid w:val="00784E43"/>
    <w:rsid w:val="007857FE"/>
    <w:rsid w:val="00785C10"/>
    <w:rsid w:val="0078677F"/>
    <w:rsid w:val="007867E1"/>
    <w:rsid w:val="0078691B"/>
    <w:rsid w:val="00786A01"/>
    <w:rsid w:val="00786AFE"/>
    <w:rsid w:val="00786D0B"/>
    <w:rsid w:val="007873BB"/>
    <w:rsid w:val="007874F9"/>
    <w:rsid w:val="007877CF"/>
    <w:rsid w:val="00787A66"/>
    <w:rsid w:val="0079007D"/>
    <w:rsid w:val="00790158"/>
    <w:rsid w:val="0079033B"/>
    <w:rsid w:val="0079041D"/>
    <w:rsid w:val="007907D2"/>
    <w:rsid w:val="00790B60"/>
    <w:rsid w:val="00790C1E"/>
    <w:rsid w:val="00790D6B"/>
    <w:rsid w:val="00790FCD"/>
    <w:rsid w:val="00791375"/>
    <w:rsid w:val="00791817"/>
    <w:rsid w:val="00791A35"/>
    <w:rsid w:val="00791C13"/>
    <w:rsid w:val="00791DB6"/>
    <w:rsid w:val="00791FDC"/>
    <w:rsid w:val="00792113"/>
    <w:rsid w:val="007923DA"/>
    <w:rsid w:val="00792A85"/>
    <w:rsid w:val="00792B3C"/>
    <w:rsid w:val="0079347E"/>
    <w:rsid w:val="0079362E"/>
    <w:rsid w:val="00793A57"/>
    <w:rsid w:val="00793BD5"/>
    <w:rsid w:val="00793D33"/>
    <w:rsid w:val="00793EA4"/>
    <w:rsid w:val="00794048"/>
    <w:rsid w:val="007942C4"/>
    <w:rsid w:val="00794303"/>
    <w:rsid w:val="007943D3"/>
    <w:rsid w:val="007944B9"/>
    <w:rsid w:val="0079498E"/>
    <w:rsid w:val="00795153"/>
    <w:rsid w:val="00795415"/>
    <w:rsid w:val="00795AD0"/>
    <w:rsid w:val="00795B4D"/>
    <w:rsid w:val="00795C98"/>
    <w:rsid w:val="00795FA5"/>
    <w:rsid w:val="007961A0"/>
    <w:rsid w:val="0079677E"/>
    <w:rsid w:val="00796AA7"/>
    <w:rsid w:val="00796D46"/>
    <w:rsid w:val="0079708D"/>
    <w:rsid w:val="007972FE"/>
    <w:rsid w:val="007973EE"/>
    <w:rsid w:val="00797409"/>
    <w:rsid w:val="00797928"/>
    <w:rsid w:val="00797A9F"/>
    <w:rsid w:val="00797C2D"/>
    <w:rsid w:val="00797CB4"/>
    <w:rsid w:val="00797CCA"/>
    <w:rsid w:val="00797E09"/>
    <w:rsid w:val="007A0069"/>
    <w:rsid w:val="007A036E"/>
    <w:rsid w:val="007A045B"/>
    <w:rsid w:val="007A0AC7"/>
    <w:rsid w:val="007A0DBE"/>
    <w:rsid w:val="007A0E59"/>
    <w:rsid w:val="007A0F3F"/>
    <w:rsid w:val="007A1210"/>
    <w:rsid w:val="007A152F"/>
    <w:rsid w:val="007A1AFD"/>
    <w:rsid w:val="007A2082"/>
    <w:rsid w:val="007A21F1"/>
    <w:rsid w:val="007A260A"/>
    <w:rsid w:val="007A28D4"/>
    <w:rsid w:val="007A296F"/>
    <w:rsid w:val="007A2FA9"/>
    <w:rsid w:val="007A34C3"/>
    <w:rsid w:val="007A380F"/>
    <w:rsid w:val="007A386E"/>
    <w:rsid w:val="007A3DF1"/>
    <w:rsid w:val="007A4033"/>
    <w:rsid w:val="007A4263"/>
    <w:rsid w:val="007A42A5"/>
    <w:rsid w:val="007A47DA"/>
    <w:rsid w:val="007A48CC"/>
    <w:rsid w:val="007A4C37"/>
    <w:rsid w:val="007A4D2A"/>
    <w:rsid w:val="007A5366"/>
    <w:rsid w:val="007A5996"/>
    <w:rsid w:val="007A5C4A"/>
    <w:rsid w:val="007A6031"/>
    <w:rsid w:val="007A62C7"/>
    <w:rsid w:val="007A66D2"/>
    <w:rsid w:val="007A69C3"/>
    <w:rsid w:val="007A6A05"/>
    <w:rsid w:val="007A6B7F"/>
    <w:rsid w:val="007A6D10"/>
    <w:rsid w:val="007A6D82"/>
    <w:rsid w:val="007B01A8"/>
    <w:rsid w:val="007B0360"/>
    <w:rsid w:val="007B04C6"/>
    <w:rsid w:val="007B0A46"/>
    <w:rsid w:val="007B0C74"/>
    <w:rsid w:val="007B0E96"/>
    <w:rsid w:val="007B0E98"/>
    <w:rsid w:val="007B12A4"/>
    <w:rsid w:val="007B13EA"/>
    <w:rsid w:val="007B140B"/>
    <w:rsid w:val="007B1414"/>
    <w:rsid w:val="007B1431"/>
    <w:rsid w:val="007B19A7"/>
    <w:rsid w:val="007B1AB7"/>
    <w:rsid w:val="007B1AC1"/>
    <w:rsid w:val="007B247A"/>
    <w:rsid w:val="007B29D9"/>
    <w:rsid w:val="007B29F1"/>
    <w:rsid w:val="007B2A7E"/>
    <w:rsid w:val="007B2AC4"/>
    <w:rsid w:val="007B345C"/>
    <w:rsid w:val="007B3852"/>
    <w:rsid w:val="007B3E03"/>
    <w:rsid w:val="007B420C"/>
    <w:rsid w:val="007B494D"/>
    <w:rsid w:val="007B4BCB"/>
    <w:rsid w:val="007B5155"/>
    <w:rsid w:val="007B5167"/>
    <w:rsid w:val="007B5202"/>
    <w:rsid w:val="007B5247"/>
    <w:rsid w:val="007B5300"/>
    <w:rsid w:val="007B5568"/>
    <w:rsid w:val="007B5698"/>
    <w:rsid w:val="007B5F92"/>
    <w:rsid w:val="007B6066"/>
    <w:rsid w:val="007B60BA"/>
    <w:rsid w:val="007B6A8D"/>
    <w:rsid w:val="007B6C53"/>
    <w:rsid w:val="007B6D56"/>
    <w:rsid w:val="007B6EDB"/>
    <w:rsid w:val="007B7220"/>
    <w:rsid w:val="007B72EC"/>
    <w:rsid w:val="007B7482"/>
    <w:rsid w:val="007B7497"/>
    <w:rsid w:val="007B75E6"/>
    <w:rsid w:val="007B76D7"/>
    <w:rsid w:val="007B7712"/>
    <w:rsid w:val="007B7808"/>
    <w:rsid w:val="007B7D1C"/>
    <w:rsid w:val="007C0144"/>
    <w:rsid w:val="007C04F2"/>
    <w:rsid w:val="007C0BE0"/>
    <w:rsid w:val="007C0BE6"/>
    <w:rsid w:val="007C0C27"/>
    <w:rsid w:val="007C0D80"/>
    <w:rsid w:val="007C12F7"/>
    <w:rsid w:val="007C1376"/>
    <w:rsid w:val="007C1643"/>
    <w:rsid w:val="007C17B4"/>
    <w:rsid w:val="007C183F"/>
    <w:rsid w:val="007C1AE4"/>
    <w:rsid w:val="007C1EA0"/>
    <w:rsid w:val="007C283B"/>
    <w:rsid w:val="007C284F"/>
    <w:rsid w:val="007C2E30"/>
    <w:rsid w:val="007C2E4E"/>
    <w:rsid w:val="007C2EB3"/>
    <w:rsid w:val="007C323B"/>
    <w:rsid w:val="007C3403"/>
    <w:rsid w:val="007C34AD"/>
    <w:rsid w:val="007C3D51"/>
    <w:rsid w:val="007C3DE9"/>
    <w:rsid w:val="007C3E79"/>
    <w:rsid w:val="007C46C9"/>
    <w:rsid w:val="007C4890"/>
    <w:rsid w:val="007C4912"/>
    <w:rsid w:val="007C4B35"/>
    <w:rsid w:val="007C4BC8"/>
    <w:rsid w:val="007C56CB"/>
    <w:rsid w:val="007C589D"/>
    <w:rsid w:val="007C5E48"/>
    <w:rsid w:val="007C5E91"/>
    <w:rsid w:val="007C69F7"/>
    <w:rsid w:val="007C6A64"/>
    <w:rsid w:val="007C6C05"/>
    <w:rsid w:val="007C706E"/>
    <w:rsid w:val="007C7723"/>
    <w:rsid w:val="007C79EB"/>
    <w:rsid w:val="007C7BB4"/>
    <w:rsid w:val="007C7D15"/>
    <w:rsid w:val="007C7FAB"/>
    <w:rsid w:val="007D04C1"/>
    <w:rsid w:val="007D06CE"/>
    <w:rsid w:val="007D06F9"/>
    <w:rsid w:val="007D0D39"/>
    <w:rsid w:val="007D0DE6"/>
    <w:rsid w:val="007D1068"/>
    <w:rsid w:val="007D1402"/>
    <w:rsid w:val="007D15FE"/>
    <w:rsid w:val="007D1735"/>
    <w:rsid w:val="007D17B8"/>
    <w:rsid w:val="007D1D2D"/>
    <w:rsid w:val="007D1E18"/>
    <w:rsid w:val="007D1FBA"/>
    <w:rsid w:val="007D1FFB"/>
    <w:rsid w:val="007D2174"/>
    <w:rsid w:val="007D2420"/>
    <w:rsid w:val="007D24FE"/>
    <w:rsid w:val="007D26C0"/>
    <w:rsid w:val="007D2CF5"/>
    <w:rsid w:val="007D2E55"/>
    <w:rsid w:val="007D3295"/>
    <w:rsid w:val="007D3349"/>
    <w:rsid w:val="007D3464"/>
    <w:rsid w:val="007D3AA6"/>
    <w:rsid w:val="007D48CB"/>
    <w:rsid w:val="007D4C1C"/>
    <w:rsid w:val="007D5448"/>
    <w:rsid w:val="007D5457"/>
    <w:rsid w:val="007D5671"/>
    <w:rsid w:val="007D58AD"/>
    <w:rsid w:val="007D5BD3"/>
    <w:rsid w:val="007D5F1C"/>
    <w:rsid w:val="007D5F78"/>
    <w:rsid w:val="007D62E2"/>
    <w:rsid w:val="007D6453"/>
    <w:rsid w:val="007D650D"/>
    <w:rsid w:val="007D70A1"/>
    <w:rsid w:val="007D715A"/>
    <w:rsid w:val="007D76D3"/>
    <w:rsid w:val="007D7A72"/>
    <w:rsid w:val="007E0775"/>
    <w:rsid w:val="007E07B0"/>
    <w:rsid w:val="007E0986"/>
    <w:rsid w:val="007E0CC9"/>
    <w:rsid w:val="007E0E93"/>
    <w:rsid w:val="007E0EDF"/>
    <w:rsid w:val="007E105E"/>
    <w:rsid w:val="007E127C"/>
    <w:rsid w:val="007E1AE5"/>
    <w:rsid w:val="007E1F97"/>
    <w:rsid w:val="007E1FFA"/>
    <w:rsid w:val="007E2389"/>
    <w:rsid w:val="007E2896"/>
    <w:rsid w:val="007E299A"/>
    <w:rsid w:val="007E2A88"/>
    <w:rsid w:val="007E32B3"/>
    <w:rsid w:val="007E3333"/>
    <w:rsid w:val="007E33CA"/>
    <w:rsid w:val="007E3440"/>
    <w:rsid w:val="007E34EF"/>
    <w:rsid w:val="007E3539"/>
    <w:rsid w:val="007E38D6"/>
    <w:rsid w:val="007E39BC"/>
    <w:rsid w:val="007E42D6"/>
    <w:rsid w:val="007E4451"/>
    <w:rsid w:val="007E48A6"/>
    <w:rsid w:val="007E49C2"/>
    <w:rsid w:val="007E50F4"/>
    <w:rsid w:val="007E5C29"/>
    <w:rsid w:val="007E5FF5"/>
    <w:rsid w:val="007E6A88"/>
    <w:rsid w:val="007E6B89"/>
    <w:rsid w:val="007E6FA7"/>
    <w:rsid w:val="007E736F"/>
    <w:rsid w:val="007E7BC4"/>
    <w:rsid w:val="007E7BE1"/>
    <w:rsid w:val="007E7FD2"/>
    <w:rsid w:val="007F0595"/>
    <w:rsid w:val="007F0603"/>
    <w:rsid w:val="007F0BBD"/>
    <w:rsid w:val="007F0CCB"/>
    <w:rsid w:val="007F167B"/>
    <w:rsid w:val="007F16D7"/>
    <w:rsid w:val="007F1833"/>
    <w:rsid w:val="007F1C4A"/>
    <w:rsid w:val="007F20CC"/>
    <w:rsid w:val="007F210C"/>
    <w:rsid w:val="007F248B"/>
    <w:rsid w:val="007F24B8"/>
    <w:rsid w:val="007F25A4"/>
    <w:rsid w:val="007F261B"/>
    <w:rsid w:val="007F26FC"/>
    <w:rsid w:val="007F2DFE"/>
    <w:rsid w:val="007F2FA3"/>
    <w:rsid w:val="007F3090"/>
    <w:rsid w:val="007F3428"/>
    <w:rsid w:val="007F35C4"/>
    <w:rsid w:val="007F385C"/>
    <w:rsid w:val="007F398D"/>
    <w:rsid w:val="007F3F87"/>
    <w:rsid w:val="007F4449"/>
    <w:rsid w:val="007F4608"/>
    <w:rsid w:val="007F482F"/>
    <w:rsid w:val="007F4B43"/>
    <w:rsid w:val="007F4C3D"/>
    <w:rsid w:val="007F4CE6"/>
    <w:rsid w:val="007F50DF"/>
    <w:rsid w:val="007F5326"/>
    <w:rsid w:val="007F5504"/>
    <w:rsid w:val="007F55DC"/>
    <w:rsid w:val="007F5B85"/>
    <w:rsid w:val="007F5D4E"/>
    <w:rsid w:val="007F5E0E"/>
    <w:rsid w:val="007F5FBC"/>
    <w:rsid w:val="007F631C"/>
    <w:rsid w:val="007F6357"/>
    <w:rsid w:val="007F64CD"/>
    <w:rsid w:val="007F6F3B"/>
    <w:rsid w:val="007F767D"/>
    <w:rsid w:val="007F7DAD"/>
    <w:rsid w:val="007F7DD2"/>
    <w:rsid w:val="00800341"/>
    <w:rsid w:val="00800607"/>
    <w:rsid w:val="00800981"/>
    <w:rsid w:val="00800C58"/>
    <w:rsid w:val="00800ED0"/>
    <w:rsid w:val="00801B6B"/>
    <w:rsid w:val="008028BA"/>
    <w:rsid w:val="00802F5A"/>
    <w:rsid w:val="00803163"/>
    <w:rsid w:val="00803293"/>
    <w:rsid w:val="00803587"/>
    <w:rsid w:val="008037EB"/>
    <w:rsid w:val="008038BD"/>
    <w:rsid w:val="00803B9F"/>
    <w:rsid w:val="00804DA9"/>
    <w:rsid w:val="00804F83"/>
    <w:rsid w:val="00804FDB"/>
    <w:rsid w:val="00805ABD"/>
    <w:rsid w:val="008063FF"/>
    <w:rsid w:val="00806D1D"/>
    <w:rsid w:val="0080701E"/>
    <w:rsid w:val="0080721D"/>
    <w:rsid w:val="008078A3"/>
    <w:rsid w:val="00807D3F"/>
    <w:rsid w:val="00810025"/>
    <w:rsid w:val="00810309"/>
    <w:rsid w:val="00810C82"/>
    <w:rsid w:val="00810DEE"/>
    <w:rsid w:val="00810EC5"/>
    <w:rsid w:val="0081121C"/>
    <w:rsid w:val="00811274"/>
    <w:rsid w:val="00811342"/>
    <w:rsid w:val="00811457"/>
    <w:rsid w:val="00811832"/>
    <w:rsid w:val="00811A24"/>
    <w:rsid w:val="008120A5"/>
    <w:rsid w:val="008127A6"/>
    <w:rsid w:val="00812C35"/>
    <w:rsid w:val="00812CE2"/>
    <w:rsid w:val="00812D05"/>
    <w:rsid w:val="0081372A"/>
    <w:rsid w:val="0081383C"/>
    <w:rsid w:val="00813945"/>
    <w:rsid w:val="00813EA3"/>
    <w:rsid w:val="00814013"/>
    <w:rsid w:val="0081420E"/>
    <w:rsid w:val="0081425C"/>
    <w:rsid w:val="00814513"/>
    <w:rsid w:val="00814B41"/>
    <w:rsid w:val="00814E87"/>
    <w:rsid w:val="00814EBA"/>
    <w:rsid w:val="00815020"/>
    <w:rsid w:val="0081511F"/>
    <w:rsid w:val="00815272"/>
    <w:rsid w:val="008155E9"/>
    <w:rsid w:val="008158CE"/>
    <w:rsid w:val="008158E8"/>
    <w:rsid w:val="00815DDA"/>
    <w:rsid w:val="00816171"/>
    <w:rsid w:val="008164BF"/>
    <w:rsid w:val="0081653E"/>
    <w:rsid w:val="00816ACC"/>
    <w:rsid w:val="00816DC4"/>
    <w:rsid w:val="008170D1"/>
    <w:rsid w:val="00817286"/>
    <w:rsid w:val="008174EA"/>
    <w:rsid w:val="0081759E"/>
    <w:rsid w:val="0081795E"/>
    <w:rsid w:val="00820046"/>
    <w:rsid w:val="0082019A"/>
    <w:rsid w:val="008202C4"/>
    <w:rsid w:val="00820A69"/>
    <w:rsid w:val="00820A72"/>
    <w:rsid w:val="00820D73"/>
    <w:rsid w:val="00820E7C"/>
    <w:rsid w:val="00821252"/>
    <w:rsid w:val="008215B2"/>
    <w:rsid w:val="00821888"/>
    <w:rsid w:val="00822BEF"/>
    <w:rsid w:val="00822C4A"/>
    <w:rsid w:val="00822E46"/>
    <w:rsid w:val="00823064"/>
    <w:rsid w:val="0082307D"/>
    <w:rsid w:val="0082323B"/>
    <w:rsid w:val="00823540"/>
    <w:rsid w:val="00823573"/>
    <w:rsid w:val="00823575"/>
    <w:rsid w:val="00823A01"/>
    <w:rsid w:val="00823A05"/>
    <w:rsid w:val="00823E25"/>
    <w:rsid w:val="0082434C"/>
    <w:rsid w:val="008245E8"/>
    <w:rsid w:val="00824886"/>
    <w:rsid w:val="00824912"/>
    <w:rsid w:val="00824AF3"/>
    <w:rsid w:val="00824B11"/>
    <w:rsid w:val="008252F0"/>
    <w:rsid w:val="008253F3"/>
    <w:rsid w:val="008255AB"/>
    <w:rsid w:val="00825B4E"/>
    <w:rsid w:val="008267C5"/>
    <w:rsid w:val="00826B0F"/>
    <w:rsid w:val="00826CD5"/>
    <w:rsid w:val="0082724E"/>
    <w:rsid w:val="008274F7"/>
    <w:rsid w:val="008275E8"/>
    <w:rsid w:val="00827EA5"/>
    <w:rsid w:val="008303B2"/>
    <w:rsid w:val="008306A8"/>
    <w:rsid w:val="00830D9A"/>
    <w:rsid w:val="00830F25"/>
    <w:rsid w:val="008316FC"/>
    <w:rsid w:val="00831F86"/>
    <w:rsid w:val="00832292"/>
    <w:rsid w:val="008325D0"/>
    <w:rsid w:val="00832AF2"/>
    <w:rsid w:val="00832DE0"/>
    <w:rsid w:val="00832E49"/>
    <w:rsid w:val="00832FE4"/>
    <w:rsid w:val="00833450"/>
    <w:rsid w:val="0083358D"/>
    <w:rsid w:val="00833B50"/>
    <w:rsid w:val="00833DB4"/>
    <w:rsid w:val="00833F8D"/>
    <w:rsid w:val="0083406C"/>
    <w:rsid w:val="00834072"/>
    <w:rsid w:val="008342A4"/>
    <w:rsid w:val="008343F7"/>
    <w:rsid w:val="00834749"/>
    <w:rsid w:val="008347F6"/>
    <w:rsid w:val="00834E76"/>
    <w:rsid w:val="00834F6B"/>
    <w:rsid w:val="00835172"/>
    <w:rsid w:val="0083553D"/>
    <w:rsid w:val="008358BE"/>
    <w:rsid w:val="008359AE"/>
    <w:rsid w:val="008359C9"/>
    <w:rsid w:val="00835A6E"/>
    <w:rsid w:val="00835CA5"/>
    <w:rsid w:val="00835E04"/>
    <w:rsid w:val="008364EC"/>
    <w:rsid w:val="00836719"/>
    <w:rsid w:val="008372A4"/>
    <w:rsid w:val="008374EA"/>
    <w:rsid w:val="008377A7"/>
    <w:rsid w:val="00837A45"/>
    <w:rsid w:val="00837E15"/>
    <w:rsid w:val="00840115"/>
    <w:rsid w:val="00840177"/>
    <w:rsid w:val="0084079C"/>
    <w:rsid w:val="00840C51"/>
    <w:rsid w:val="00841111"/>
    <w:rsid w:val="008412FC"/>
    <w:rsid w:val="00841601"/>
    <w:rsid w:val="00841792"/>
    <w:rsid w:val="00841F23"/>
    <w:rsid w:val="0084207B"/>
    <w:rsid w:val="0084221E"/>
    <w:rsid w:val="008422F8"/>
    <w:rsid w:val="008426A3"/>
    <w:rsid w:val="008426D0"/>
    <w:rsid w:val="0084287F"/>
    <w:rsid w:val="00842C27"/>
    <w:rsid w:val="00842D11"/>
    <w:rsid w:val="00842DFD"/>
    <w:rsid w:val="0084303D"/>
    <w:rsid w:val="00843302"/>
    <w:rsid w:val="00843381"/>
    <w:rsid w:val="00843389"/>
    <w:rsid w:val="0084378A"/>
    <w:rsid w:val="00843DE7"/>
    <w:rsid w:val="00843E14"/>
    <w:rsid w:val="00844137"/>
    <w:rsid w:val="0084449B"/>
    <w:rsid w:val="0084477E"/>
    <w:rsid w:val="008447B5"/>
    <w:rsid w:val="00844A91"/>
    <w:rsid w:val="00844C47"/>
    <w:rsid w:val="00844E14"/>
    <w:rsid w:val="00844E56"/>
    <w:rsid w:val="00844F25"/>
    <w:rsid w:val="00844F3F"/>
    <w:rsid w:val="008451BA"/>
    <w:rsid w:val="008455BA"/>
    <w:rsid w:val="00845C2A"/>
    <w:rsid w:val="00845EB9"/>
    <w:rsid w:val="008461D8"/>
    <w:rsid w:val="00846249"/>
    <w:rsid w:val="008463A2"/>
    <w:rsid w:val="0084646B"/>
    <w:rsid w:val="00846A32"/>
    <w:rsid w:val="008475F1"/>
    <w:rsid w:val="00847FF9"/>
    <w:rsid w:val="008500A3"/>
    <w:rsid w:val="008500CB"/>
    <w:rsid w:val="008504AD"/>
    <w:rsid w:val="00850D5B"/>
    <w:rsid w:val="008519D8"/>
    <w:rsid w:val="00851BEE"/>
    <w:rsid w:val="00851C7A"/>
    <w:rsid w:val="00851F42"/>
    <w:rsid w:val="0085277D"/>
    <w:rsid w:val="00852853"/>
    <w:rsid w:val="00852B34"/>
    <w:rsid w:val="00852CBC"/>
    <w:rsid w:val="00853C66"/>
    <w:rsid w:val="00853D1D"/>
    <w:rsid w:val="00854155"/>
    <w:rsid w:val="008542BB"/>
    <w:rsid w:val="0085441C"/>
    <w:rsid w:val="00854446"/>
    <w:rsid w:val="008546B9"/>
    <w:rsid w:val="008546C3"/>
    <w:rsid w:val="0085489D"/>
    <w:rsid w:val="00854973"/>
    <w:rsid w:val="00854D4C"/>
    <w:rsid w:val="00854EEF"/>
    <w:rsid w:val="00854FAE"/>
    <w:rsid w:val="008554DC"/>
    <w:rsid w:val="008557C9"/>
    <w:rsid w:val="00855F21"/>
    <w:rsid w:val="0085628A"/>
    <w:rsid w:val="008562B5"/>
    <w:rsid w:val="00856505"/>
    <w:rsid w:val="0085655D"/>
    <w:rsid w:val="008569AC"/>
    <w:rsid w:val="00856AFC"/>
    <w:rsid w:val="00856BA5"/>
    <w:rsid w:val="00856DA3"/>
    <w:rsid w:val="00856DD2"/>
    <w:rsid w:val="00856FC6"/>
    <w:rsid w:val="0085773B"/>
    <w:rsid w:val="00857FE0"/>
    <w:rsid w:val="00860341"/>
    <w:rsid w:val="0086057F"/>
    <w:rsid w:val="00860716"/>
    <w:rsid w:val="0086095F"/>
    <w:rsid w:val="00860B63"/>
    <w:rsid w:val="008611BD"/>
    <w:rsid w:val="00861368"/>
    <w:rsid w:val="00861381"/>
    <w:rsid w:val="00861739"/>
    <w:rsid w:val="008618D1"/>
    <w:rsid w:val="00861C75"/>
    <w:rsid w:val="00861E93"/>
    <w:rsid w:val="00862627"/>
    <w:rsid w:val="00862660"/>
    <w:rsid w:val="0086285F"/>
    <w:rsid w:val="00862A8F"/>
    <w:rsid w:val="00863371"/>
    <w:rsid w:val="0086359B"/>
    <w:rsid w:val="008637B6"/>
    <w:rsid w:val="00863853"/>
    <w:rsid w:val="008638F9"/>
    <w:rsid w:val="00863DFB"/>
    <w:rsid w:val="008640EB"/>
    <w:rsid w:val="008642A5"/>
    <w:rsid w:val="008645A1"/>
    <w:rsid w:val="00864861"/>
    <w:rsid w:val="00864AA1"/>
    <w:rsid w:val="00864DF1"/>
    <w:rsid w:val="00865134"/>
    <w:rsid w:val="008662A4"/>
    <w:rsid w:val="008663E5"/>
    <w:rsid w:val="0086655E"/>
    <w:rsid w:val="008665F3"/>
    <w:rsid w:val="008673C0"/>
    <w:rsid w:val="0086768E"/>
    <w:rsid w:val="0086783E"/>
    <w:rsid w:val="00867FE4"/>
    <w:rsid w:val="00870000"/>
    <w:rsid w:val="00870126"/>
    <w:rsid w:val="00870270"/>
    <w:rsid w:val="0087047A"/>
    <w:rsid w:val="0087062F"/>
    <w:rsid w:val="00870866"/>
    <w:rsid w:val="00870E5A"/>
    <w:rsid w:val="008713FC"/>
    <w:rsid w:val="00871647"/>
    <w:rsid w:val="00871A83"/>
    <w:rsid w:val="00871BAA"/>
    <w:rsid w:val="00872253"/>
    <w:rsid w:val="008723A2"/>
    <w:rsid w:val="00872978"/>
    <w:rsid w:val="00872D59"/>
    <w:rsid w:val="00872D86"/>
    <w:rsid w:val="00872FFF"/>
    <w:rsid w:val="008730D8"/>
    <w:rsid w:val="00873235"/>
    <w:rsid w:val="00873389"/>
    <w:rsid w:val="008733C9"/>
    <w:rsid w:val="00873711"/>
    <w:rsid w:val="00873E36"/>
    <w:rsid w:val="00874142"/>
    <w:rsid w:val="00874364"/>
    <w:rsid w:val="008743FD"/>
    <w:rsid w:val="008745ED"/>
    <w:rsid w:val="0087487F"/>
    <w:rsid w:val="00874C31"/>
    <w:rsid w:val="00874C6A"/>
    <w:rsid w:val="00874C6B"/>
    <w:rsid w:val="00875082"/>
    <w:rsid w:val="00875343"/>
    <w:rsid w:val="00875893"/>
    <w:rsid w:val="00875A2E"/>
    <w:rsid w:val="00875B06"/>
    <w:rsid w:val="00875CF4"/>
    <w:rsid w:val="00876787"/>
    <w:rsid w:val="00876A0F"/>
    <w:rsid w:val="00876AA7"/>
    <w:rsid w:val="008771AC"/>
    <w:rsid w:val="00877394"/>
    <w:rsid w:val="008774ED"/>
    <w:rsid w:val="00880517"/>
    <w:rsid w:val="0088053A"/>
    <w:rsid w:val="008808FB"/>
    <w:rsid w:val="00880C56"/>
    <w:rsid w:val="00880E47"/>
    <w:rsid w:val="00880E5F"/>
    <w:rsid w:val="008814A4"/>
    <w:rsid w:val="008816BF"/>
    <w:rsid w:val="0088189D"/>
    <w:rsid w:val="00881C8C"/>
    <w:rsid w:val="00881CBA"/>
    <w:rsid w:val="0088223B"/>
    <w:rsid w:val="008822A7"/>
    <w:rsid w:val="00882376"/>
    <w:rsid w:val="00882C7D"/>
    <w:rsid w:val="00882FD0"/>
    <w:rsid w:val="00883014"/>
    <w:rsid w:val="00883158"/>
    <w:rsid w:val="0088315F"/>
    <w:rsid w:val="008833F1"/>
    <w:rsid w:val="00883672"/>
    <w:rsid w:val="00883747"/>
    <w:rsid w:val="00883ABB"/>
    <w:rsid w:val="00883B0A"/>
    <w:rsid w:val="00883C73"/>
    <w:rsid w:val="00883D6F"/>
    <w:rsid w:val="00883EA2"/>
    <w:rsid w:val="00883FA2"/>
    <w:rsid w:val="008840CC"/>
    <w:rsid w:val="0088473F"/>
    <w:rsid w:val="008848CC"/>
    <w:rsid w:val="00884A9A"/>
    <w:rsid w:val="00884C31"/>
    <w:rsid w:val="00884DE1"/>
    <w:rsid w:val="008853BD"/>
    <w:rsid w:val="008855D0"/>
    <w:rsid w:val="00885720"/>
    <w:rsid w:val="008859BD"/>
    <w:rsid w:val="00885BEC"/>
    <w:rsid w:val="008861EA"/>
    <w:rsid w:val="00886218"/>
    <w:rsid w:val="0088626D"/>
    <w:rsid w:val="00886410"/>
    <w:rsid w:val="008864DF"/>
    <w:rsid w:val="0088680D"/>
    <w:rsid w:val="008868C8"/>
    <w:rsid w:val="0088699B"/>
    <w:rsid w:val="00886F28"/>
    <w:rsid w:val="008875DE"/>
    <w:rsid w:val="0088780D"/>
    <w:rsid w:val="00887972"/>
    <w:rsid w:val="00887EA2"/>
    <w:rsid w:val="00890022"/>
    <w:rsid w:val="0089087A"/>
    <w:rsid w:val="00890895"/>
    <w:rsid w:val="00890FCC"/>
    <w:rsid w:val="0089104F"/>
    <w:rsid w:val="0089122F"/>
    <w:rsid w:val="00891390"/>
    <w:rsid w:val="00891472"/>
    <w:rsid w:val="00891964"/>
    <w:rsid w:val="00891A00"/>
    <w:rsid w:val="00891A62"/>
    <w:rsid w:val="008920B3"/>
    <w:rsid w:val="008920E4"/>
    <w:rsid w:val="00892252"/>
    <w:rsid w:val="008922C7"/>
    <w:rsid w:val="00892586"/>
    <w:rsid w:val="00892812"/>
    <w:rsid w:val="00892A24"/>
    <w:rsid w:val="00892DE7"/>
    <w:rsid w:val="00892F04"/>
    <w:rsid w:val="0089340E"/>
    <w:rsid w:val="0089377F"/>
    <w:rsid w:val="00893A17"/>
    <w:rsid w:val="00893D14"/>
    <w:rsid w:val="00893E65"/>
    <w:rsid w:val="00894392"/>
    <w:rsid w:val="00894840"/>
    <w:rsid w:val="008948A8"/>
    <w:rsid w:val="00895264"/>
    <w:rsid w:val="00895563"/>
    <w:rsid w:val="00895594"/>
    <w:rsid w:val="00895769"/>
    <w:rsid w:val="00895C5C"/>
    <w:rsid w:val="00896A0E"/>
    <w:rsid w:val="00896BB0"/>
    <w:rsid w:val="00896C3B"/>
    <w:rsid w:val="00896CF6"/>
    <w:rsid w:val="00896D92"/>
    <w:rsid w:val="00897A7C"/>
    <w:rsid w:val="00897AD5"/>
    <w:rsid w:val="00897D7E"/>
    <w:rsid w:val="00897F0A"/>
    <w:rsid w:val="008A00CE"/>
    <w:rsid w:val="008A03D6"/>
    <w:rsid w:val="008A057C"/>
    <w:rsid w:val="008A0962"/>
    <w:rsid w:val="008A0B89"/>
    <w:rsid w:val="008A0B8A"/>
    <w:rsid w:val="008A0F29"/>
    <w:rsid w:val="008A12A3"/>
    <w:rsid w:val="008A1347"/>
    <w:rsid w:val="008A157D"/>
    <w:rsid w:val="008A177B"/>
    <w:rsid w:val="008A1B92"/>
    <w:rsid w:val="008A1BA5"/>
    <w:rsid w:val="008A1D3B"/>
    <w:rsid w:val="008A25A3"/>
    <w:rsid w:val="008A25B4"/>
    <w:rsid w:val="008A2762"/>
    <w:rsid w:val="008A29D4"/>
    <w:rsid w:val="008A2E70"/>
    <w:rsid w:val="008A2F97"/>
    <w:rsid w:val="008A3064"/>
    <w:rsid w:val="008A30A8"/>
    <w:rsid w:val="008A30B4"/>
    <w:rsid w:val="008A358A"/>
    <w:rsid w:val="008A358B"/>
    <w:rsid w:val="008A387C"/>
    <w:rsid w:val="008A3CC1"/>
    <w:rsid w:val="008A49BA"/>
    <w:rsid w:val="008A4A61"/>
    <w:rsid w:val="008A51AA"/>
    <w:rsid w:val="008A54D2"/>
    <w:rsid w:val="008A56B8"/>
    <w:rsid w:val="008A5FC9"/>
    <w:rsid w:val="008A6016"/>
    <w:rsid w:val="008A6088"/>
    <w:rsid w:val="008A62E4"/>
    <w:rsid w:val="008A64B3"/>
    <w:rsid w:val="008A67CD"/>
    <w:rsid w:val="008A6DB1"/>
    <w:rsid w:val="008A6F39"/>
    <w:rsid w:val="008A6FA3"/>
    <w:rsid w:val="008A70FD"/>
    <w:rsid w:val="008A78F8"/>
    <w:rsid w:val="008A7BFD"/>
    <w:rsid w:val="008A7FDA"/>
    <w:rsid w:val="008B0252"/>
    <w:rsid w:val="008B039D"/>
    <w:rsid w:val="008B0577"/>
    <w:rsid w:val="008B0617"/>
    <w:rsid w:val="008B0DAD"/>
    <w:rsid w:val="008B0F8E"/>
    <w:rsid w:val="008B102D"/>
    <w:rsid w:val="008B1203"/>
    <w:rsid w:val="008B13A7"/>
    <w:rsid w:val="008B15EB"/>
    <w:rsid w:val="008B18CE"/>
    <w:rsid w:val="008B1C8B"/>
    <w:rsid w:val="008B1F4C"/>
    <w:rsid w:val="008B24C0"/>
    <w:rsid w:val="008B2521"/>
    <w:rsid w:val="008B2810"/>
    <w:rsid w:val="008B2AFC"/>
    <w:rsid w:val="008B2F59"/>
    <w:rsid w:val="008B363A"/>
    <w:rsid w:val="008B3ED1"/>
    <w:rsid w:val="008B3F08"/>
    <w:rsid w:val="008B452F"/>
    <w:rsid w:val="008B468B"/>
    <w:rsid w:val="008B46BE"/>
    <w:rsid w:val="008B4A78"/>
    <w:rsid w:val="008B4C3E"/>
    <w:rsid w:val="008B4C77"/>
    <w:rsid w:val="008B4CCD"/>
    <w:rsid w:val="008B4D0C"/>
    <w:rsid w:val="008B4DA4"/>
    <w:rsid w:val="008B4E05"/>
    <w:rsid w:val="008B4E6E"/>
    <w:rsid w:val="008B532B"/>
    <w:rsid w:val="008B5947"/>
    <w:rsid w:val="008B59B0"/>
    <w:rsid w:val="008B5A8E"/>
    <w:rsid w:val="008B5D97"/>
    <w:rsid w:val="008B6BFA"/>
    <w:rsid w:val="008B6BFF"/>
    <w:rsid w:val="008B6F0D"/>
    <w:rsid w:val="008B76DF"/>
    <w:rsid w:val="008B7837"/>
    <w:rsid w:val="008C039E"/>
    <w:rsid w:val="008C0404"/>
    <w:rsid w:val="008C0431"/>
    <w:rsid w:val="008C0437"/>
    <w:rsid w:val="008C096F"/>
    <w:rsid w:val="008C0B31"/>
    <w:rsid w:val="008C0F93"/>
    <w:rsid w:val="008C1AC0"/>
    <w:rsid w:val="008C1C99"/>
    <w:rsid w:val="008C2309"/>
    <w:rsid w:val="008C248F"/>
    <w:rsid w:val="008C2695"/>
    <w:rsid w:val="008C2836"/>
    <w:rsid w:val="008C2A3F"/>
    <w:rsid w:val="008C2AB6"/>
    <w:rsid w:val="008C2DF6"/>
    <w:rsid w:val="008C317C"/>
    <w:rsid w:val="008C31B9"/>
    <w:rsid w:val="008C361C"/>
    <w:rsid w:val="008C3DE8"/>
    <w:rsid w:val="008C4042"/>
    <w:rsid w:val="008C42C4"/>
    <w:rsid w:val="008C46B9"/>
    <w:rsid w:val="008C4789"/>
    <w:rsid w:val="008C484B"/>
    <w:rsid w:val="008C4A1A"/>
    <w:rsid w:val="008C6368"/>
    <w:rsid w:val="008C6536"/>
    <w:rsid w:val="008C68C1"/>
    <w:rsid w:val="008C6C21"/>
    <w:rsid w:val="008C6DB2"/>
    <w:rsid w:val="008C7195"/>
    <w:rsid w:val="008C75A9"/>
    <w:rsid w:val="008C7902"/>
    <w:rsid w:val="008C7A93"/>
    <w:rsid w:val="008C7AE8"/>
    <w:rsid w:val="008C7D28"/>
    <w:rsid w:val="008C7E0A"/>
    <w:rsid w:val="008D03D6"/>
    <w:rsid w:val="008D0460"/>
    <w:rsid w:val="008D0938"/>
    <w:rsid w:val="008D0B05"/>
    <w:rsid w:val="008D0C22"/>
    <w:rsid w:val="008D0FF4"/>
    <w:rsid w:val="008D139E"/>
    <w:rsid w:val="008D1456"/>
    <w:rsid w:val="008D1475"/>
    <w:rsid w:val="008D19C4"/>
    <w:rsid w:val="008D1C69"/>
    <w:rsid w:val="008D1D66"/>
    <w:rsid w:val="008D1E52"/>
    <w:rsid w:val="008D1FC8"/>
    <w:rsid w:val="008D3099"/>
    <w:rsid w:val="008D3509"/>
    <w:rsid w:val="008D37D5"/>
    <w:rsid w:val="008D3895"/>
    <w:rsid w:val="008D398F"/>
    <w:rsid w:val="008D3C26"/>
    <w:rsid w:val="008D3F4C"/>
    <w:rsid w:val="008D4061"/>
    <w:rsid w:val="008D4207"/>
    <w:rsid w:val="008D48C5"/>
    <w:rsid w:val="008D4C1D"/>
    <w:rsid w:val="008D4D4A"/>
    <w:rsid w:val="008D525E"/>
    <w:rsid w:val="008D57E2"/>
    <w:rsid w:val="008D5806"/>
    <w:rsid w:val="008D607B"/>
    <w:rsid w:val="008D61FC"/>
    <w:rsid w:val="008D6622"/>
    <w:rsid w:val="008D696D"/>
    <w:rsid w:val="008D6B28"/>
    <w:rsid w:val="008D6BD2"/>
    <w:rsid w:val="008D76A6"/>
    <w:rsid w:val="008D7AA0"/>
    <w:rsid w:val="008D7B3F"/>
    <w:rsid w:val="008D7CD0"/>
    <w:rsid w:val="008D7DA6"/>
    <w:rsid w:val="008D7DAD"/>
    <w:rsid w:val="008D7EBA"/>
    <w:rsid w:val="008E00B0"/>
    <w:rsid w:val="008E013D"/>
    <w:rsid w:val="008E051D"/>
    <w:rsid w:val="008E0651"/>
    <w:rsid w:val="008E06DE"/>
    <w:rsid w:val="008E086D"/>
    <w:rsid w:val="008E11E1"/>
    <w:rsid w:val="008E1356"/>
    <w:rsid w:val="008E162D"/>
    <w:rsid w:val="008E171D"/>
    <w:rsid w:val="008E188E"/>
    <w:rsid w:val="008E1992"/>
    <w:rsid w:val="008E1AB1"/>
    <w:rsid w:val="008E1DDD"/>
    <w:rsid w:val="008E1E83"/>
    <w:rsid w:val="008E2206"/>
    <w:rsid w:val="008E2486"/>
    <w:rsid w:val="008E2CB9"/>
    <w:rsid w:val="008E2E1D"/>
    <w:rsid w:val="008E3051"/>
    <w:rsid w:val="008E3659"/>
    <w:rsid w:val="008E3DFD"/>
    <w:rsid w:val="008E3E73"/>
    <w:rsid w:val="008E4257"/>
    <w:rsid w:val="008E43C8"/>
    <w:rsid w:val="008E4883"/>
    <w:rsid w:val="008E4C3E"/>
    <w:rsid w:val="008E4EEB"/>
    <w:rsid w:val="008E4F39"/>
    <w:rsid w:val="008E582F"/>
    <w:rsid w:val="008E58F4"/>
    <w:rsid w:val="008E58FA"/>
    <w:rsid w:val="008E5954"/>
    <w:rsid w:val="008E5D9B"/>
    <w:rsid w:val="008E6487"/>
    <w:rsid w:val="008E6694"/>
    <w:rsid w:val="008E679B"/>
    <w:rsid w:val="008E6810"/>
    <w:rsid w:val="008E6A7F"/>
    <w:rsid w:val="008E6FBF"/>
    <w:rsid w:val="008E7648"/>
    <w:rsid w:val="008E766A"/>
    <w:rsid w:val="008E7908"/>
    <w:rsid w:val="008E7BAD"/>
    <w:rsid w:val="008E7C15"/>
    <w:rsid w:val="008E7C83"/>
    <w:rsid w:val="008F00C6"/>
    <w:rsid w:val="008F0359"/>
    <w:rsid w:val="008F0C9C"/>
    <w:rsid w:val="008F0D96"/>
    <w:rsid w:val="008F0FE3"/>
    <w:rsid w:val="008F1022"/>
    <w:rsid w:val="008F1091"/>
    <w:rsid w:val="008F1133"/>
    <w:rsid w:val="008F1415"/>
    <w:rsid w:val="008F19CB"/>
    <w:rsid w:val="008F21D2"/>
    <w:rsid w:val="008F246A"/>
    <w:rsid w:val="008F25B2"/>
    <w:rsid w:val="008F2D1F"/>
    <w:rsid w:val="008F2D51"/>
    <w:rsid w:val="008F2D86"/>
    <w:rsid w:val="008F2E4A"/>
    <w:rsid w:val="008F3473"/>
    <w:rsid w:val="008F3A66"/>
    <w:rsid w:val="008F42DB"/>
    <w:rsid w:val="008F4517"/>
    <w:rsid w:val="008F472C"/>
    <w:rsid w:val="008F4B45"/>
    <w:rsid w:val="008F52D4"/>
    <w:rsid w:val="008F5338"/>
    <w:rsid w:val="008F588D"/>
    <w:rsid w:val="008F59BE"/>
    <w:rsid w:val="008F5C78"/>
    <w:rsid w:val="008F61DA"/>
    <w:rsid w:val="008F625C"/>
    <w:rsid w:val="008F6391"/>
    <w:rsid w:val="008F645B"/>
    <w:rsid w:val="008F6558"/>
    <w:rsid w:val="008F66B5"/>
    <w:rsid w:val="008F66BE"/>
    <w:rsid w:val="008F6E45"/>
    <w:rsid w:val="008F78C5"/>
    <w:rsid w:val="008F7C55"/>
    <w:rsid w:val="008F7D8D"/>
    <w:rsid w:val="008F7EBF"/>
    <w:rsid w:val="008F7F21"/>
    <w:rsid w:val="008F7F77"/>
    <w:rsid w:val="008F7F9C"/>
    <w:rsid w:val="00900224"/>
    <w:rsid w:val="00900A70"/>
    <w:rsid w:val="00900F5D"/>
    <w:rsid w:val="009012AA"/>
    <w:rsid w:val="00901579"/>
    <w:rsid w:val="009018A9"/>
    <w:rsid w:val="00901977"/>
    <w:rsid w:val="00901A2C"/>
    <w:rsid w:val="00901D17"/>
    <w:rsid w:val="00901E1F"/>
    <w:rsid w:val="00901E7F"/>
    <w:rsid w:val="00902BBD"/>
    <w:rsid w:val="00902E4D"/>
    <w:rsid w:val="009031DF"/>
    <w:rsid w:val="00903832"/>
    <w:rsid w:val="00903865"/>
    <w:rsid w:val="009038B1"/>
    <w:rsid w:val="00903E99"/>
    <w:rsid w:val="00904002"/>
    <w:rsid w:val="00904297"/>
    <w:rsid w:val="0090448F"/>
    <w:rsid w:val="0090464B"/>
    <w:rsid w:val="00905432"/>
    <w:rsid w:val="009055CC"/>
    <w:rsid w:val="0090567D"/>
    <w:rsid w:val="00905AFA"/>
    <w:rsid w:val="00906958"/>
    <w:rsid w:val="00906988"/>
    <w:rsid w:val="00906BE4"/>
    <w:rsid w:val="00906CF9"/>
    <w:rsid w:val="00906EB6"/>
    <w:rsid w:val="0090704A"/>
    <w:rsid w:val="00907310"/>
    <w:rsid w:val="0090766A"/>
    <w:rsid w:val="00907BEE"/>
    <w:rsid w:val="009102F6"/>
    <w:rsid w:val="00910329"/>
    <w:rsid w:val="00910838"/>
    <w:rsid w:val="00910A1D"/>
    <w:rsid w:val="0091150C"/>
    <w:rsid w:val="00911C11"/>
    <w:rsid w:val="00911DA5"/>
    <w:rsid w:val="00911EFE"/>
    <w:rsid w:val="00912A21"/>
    <w:rsid w:val="00912A9F"/>
    <w:rsid w:val="00912CFE"/>
    <w:rsid w:val="009135F7"/>
    <w:rsid w:val="00913D59"/>
    <w:rsid w:val="00913E0B"/>
    <w:rsid w:val="00914652"/>
    <w:rsid w:val="00914678"/>
    <w:rsid w:val="0091478B"/>
    <w:rsid w:val="009148CD"/>
    <w:rsid w:val="009149A6"/>
    <w:rsid w:val="00914ABD"/>
    <w:rsid w:val="00915240"/>
    <w:rsid w:val="009152A4"/>
    <w:rsid w:val="00915575"/>
    <w:rsid w:val="00915AA2"/>
    <w:rsid w:val="00915F44"/>
    <w:rsid w:val="00915F54"/>
    <w:rsid w:val="00915F9D"/>
    <w:rsid w:val="009160AE"/>
    <w:rsid w:val="009161FA"/>
    <w:rsid w:val="00916A57"/>
    <w:rsid w:val="00916A9F"/>
    <w:rsid w:val="00917027"/>
    <w:rsid w:val="0091728D"/>
    <w:rsid w:val="00917349"/>
    <w:rsid w:val="00920143"/>
    <w:rsid w:val="009201CD"/>
    <w:rsid w:val="00920294"/>
    <w:rsid w:val="009202FD"/>
    <w:rsid w:val="00920596"/>
    <w:rsid w:val="00920678"/>
    <w:rsid w:val="009208FF"/>
    <w:rsid w:val="00920945"/>
    <w:rsid w:val="00920B53"/>
    <w:rsid w:val="009211D3"/>
    <w:rsid w:val="0092188A"/>
    <w:rsid w:val="00921919"/>
    <w:rsid w:val="00921968"/>
    <w:rsid w:val="009220A1"/>
    <w:rsid w:val="009228D0"/>
    <w:rsid w:val="00922C6E"/>
    <w:rsid w:val="009230D7"/>
    <w:rsid w:val="009232B5"/>
    <w:rsid w:val="009234E6"/>
    <w:rsid w:val="00923B73"/>
    <w:rsid w:val="00923D34"/>
    <w:rsid w:val="00923E46"/>
    <w:rsid w:val="009241A1"/>
    <w:rsid w:val="00924342"/>
    <w:rsid w:val="00924B37"/>
    <w:rsid w:val="00924B3F"/>
    <w:rsid w:val="00924F90"/>
    <w:rsid w:val="00924F93"/>
    <w:rsid w:val="00925324"/>
    <w:rsid w:val="00925950"/>
    <w:rsid w:val="00925A3D"/>
    <w:rsid w:val="00925B66"/>
    <w:rsid w:val="00925C47"/>
    <w:rsid w:val="00925D00"/>
    <w:rsid w:val="00926096"/>
    <w:rsid w:val="009260DF"/>
    <w:rsid w:val="009260FE"/>
    <w:rsid w:val="009265F7"/>
    <w:rsid w:val="009266F1"/>
    <w:rsid w:val="00926D45"/>
    <w:rsid w:val="00926ECA"/>
    <w:rsid w:val="00926F55"/>
    <w:rsid w:val="0092708F"/>
    <w:rsid w:val="009271B3"/>
    <w:rsid w:val="0092723A"/>
    <w:rsid w:val="009278A1"/>
    <w:rsid w:val="00927917"/>
    <w:rsid w:val="00927A20"/>
    <w:rsid w:val="00927AC3"/>
    <w:rsid w:val="00927E01"/>
    <w:rsid w:val="009300B7"/>
    <w:rsid w:val="00930222"/>
    <w:rsid w:val="00930A91"/>
    <w:rsid w:val="00930F6A"/>
    <w:rsid w:val="009310D1"/>
    <w:rsid w:val="00931271"/>
    <w:rsid w:val="0093137B"/>
    <w:rsid w:val="009313AB"/>
    <w:rsid w:val="00931665"/>
    <w:rsid w:val="00931C0B"/>
    <w:rsid w:val="00931D62"/>
    <w:rsid w:val="00931DE3"/>
    <w:rsid w:val="00931E7C"/>
    <w:rsid w:val="00931EF2"/>
    <w:rsid w:val="00932310"/>
    <w:rsid w:val="0093248B"/>
    <w:rsid w:val="0093264C"/>
    <w:rsid w:val="00932972"/>
    <w:rsid w:val="00932CFA"/>
    <w:rsid w:val="00932DD6"/>
    <w:rsid w:val="00932EEA"/>
    <w:rsid w:val="009333AB"/>
    <w:rsid w:val="0093345B"/>
    <w:rsid w:val="00933A91"/>
    <w:rsid w:val="00933B84"/>
    <w:rsid w:val="00933C2B"/>
    <w:rsid w:val="00933CD9"/>
    <w:rsid w:val="00933E2A"/>
    <w:rsid w:val="0093427F"/>
    <w:rsid w:val="009343CC"/>
    <w:rsid w:val="00934559"/>
    <w:rsid w:val="00934838"/>
    <w:rsid w:val="00934844"/>
    <w:rsid w:val="009348D0"/>
    <w:rsid w:val="009351DF"/>
    <w:rsid w:val="009353F3"/>
    <w:rsid w:val="009355D7"/>
    <w:rsid w:val="009358B4"/>
    <w:rsid w:val="00935B8E"/>
    <w:rsid w:val="00936158"/>
    <w:rsid w:val="0093631E"/>
    <w:rsid w:val="009363BD"/>
    <w:rsid w:val="00936B01"/>
    <w:rsid w:val="00936D61"/>
    <w:rsid w:val="00936DD7"/>
    <w:rsid w:val="00936ECB"/>
    <w:rsid w:val="00936F70"/>
    <w:rsid w:val="00936FDB"/>
    <w:rsid w:val="0093715A"/>
    <w:rsid w:val="00937436"/>
    <w:rsid w:val="00937510"/>
    <w:rsid w:val="009375D4"/>
    <w:rsid w:val="009376BB"/>
    <w:rsid w:val="009404D7"/>
    <w:rsid w:val="00940859"/>
    <w:rsid w:val="00940DD0"/>
    <w:rsid w:val="00940ED0"/>
    <w:rsid w:val="009413BE"/>
    <w:rsid w:val="00941520"/>
    <w:rsid w:val="00941750"/>
    <w:rsid w:val="00941785"/>
    <w:rsid w:val="00941797"/>
    <w:rsid w:val="0094185D"/>
    <w:rsid w:val="00941EB2"/>
    <w:rsid w:val="0094242B"/>
    <w:rsid w:val="00942495"/>
    <w:rsid w:val="0094258D"/>
    <w:rsid w:val="00942610"/>
    <w:rsid w:val="0094277E"/>
    <w:rsid w:val="00942966"/>
    <w:rsid w:val="00942D4D"/>
    <w:rsid w:val="0094300E"/>
    <w:rsid w:val="0094375E"/>
    <w:rsid w:val="009437EB"/>
    <w:rsid w:val="009438C8"/>
    <w:rsid w:val="00943D18"/>
    <w:rsid w:val="00943E62"/>
    <w:rsid w:val="00944414"/>
    <w:rsid w:val="00944772"/>
    <w:rsid w:val="00944C81"/>
    <w:rsid w:val="00945159"/>
    <w:rsid w:val="00945467"/>
    <w:rsid w:val="009455F8"/>
    <w:rsid w:val="00945722"/>
    <w:rsid w:val="00945938"/>
    <w:rsid w:val="00945F36"/>
    <w:rsid w:val="009460A3"/>
    <w:rsid w:val="009469A4"/>
    <w:rsid w:val="00946A00"/>
    <w:rsid w:val="00946AFC"/>
    <w:rsid w:val="00946D82"/>
    <w:rsid w:val="00947426"/>
    <w:rsid w:val="00947A03"/>
    <w:rsid w:val="00947A57"/>
    <w:rsid w:val="00947BC5"/>
    <w:rsid w:val="00947E3B"/>
    <w:rsid w:val="009509DC"/>
    <w:rsid w:val="00950C75"/>
    <w:rsid w:val="00950CF8"/>
    <w:rsid w:val="00950E8D"/>
    <w:rsid w:val="00951070"/>
    <w:rsid w:val="0095119C"/>
    <w:rsid w:val="00951204"/>
    <w:rsid w:val="009512CE"/>
    <w:rsid w:val="00951B6E"/>
    <w:rsid w:val="00951E4F"/>
    <w:rsid w:val="00952177"/>
    <w:rsid w:val="00952671"/>
    <w:rsid w:val="009526BC"/>
    <w:rsid w:val="00952DF8"/>
    <w:rsid w:val="00952F5C"/>
    <w:rsid w:val="0095300C"/>
    <w:rsid w:val="00953156"/>
    <w:rsid w:val="00953314"/>
    <w:rsid w:val="00953632"/>
    <w:rsid w:val="00953914"/>
    <w:rsid w:val="00953A77"/>
    <w:rsid w:val="00953A8A"/>
    <w:rsid w:val="00954560"/>
    <w:rsid w:val="00954693"/>
    <w:rsid w:val="0095474F"/>
    <w:rsid w:val="00954E75"/>
    <w:rsid w:val="009550A1"/>
    <w:rsid w:val="00955D5E"/>
    <w:rsid w:val="00956141"/>
    <w:rsid w:val="009561AA"/>
    <w:rsid w:val="009568B1"/>
    <w:rsid w:val="00956934"/>
    <w:rsid w:val="00956A02"/>
    <w:rsid w:val="00956B25"/>
    <w:rsid w:val="00956C83"/>
    <w:rsid w:val="00956F9C"/>
    <w:rsid w:val="00957126"/>
    <w:rsid w:val="009577BF"/>
    <w:rsid w:val="00957A7C"/>
    <w:rsid w:val="00960293"/>
    <w:rsid w:val="009606DF"/>
    <w:rsid w:val="00960934"/>
    <w:rsid w:val="00960A1A"/>
    <w:rsid w:val="00960BBE"/>
    <w:rsid w:val="00960F15"/>
    <w:rsid w:val="009610B4"/>
    <w:rsid w:val="00961183"/>
    <w:rsid w:val="00961A09"/>
    <w:rsid w:val="009620FE"/>
    <w:rsid w:val="009624E7"/>
    <w:rsid w:val="0096260A"/>
    <w:rsid w:val="00962740"/>
    <w:rsid w:val="009627DA"/>
    <w:rsid w:val="00962FA0"/>
    <w:rsid w:val="009632F1"/>
    <w:rsid w:val="0096350E"/>
    <w:rsid w:val="0096355F"/>
    <w:rsid w:val="0096373B"/>
    <w:rsid w:val="009637A8"/>
    <w:rsid w:val="0096387F"/>
    <w:rsid w:val="00963992"/>
    <w:rsid w:val="00963D6B"/>
    <w:rsid w:val="00964092"/>
    <w:rsid w:val="009640DC"/>
    <w:rsid w:val="009645A8"/>
    <w:rsid w:val="00964AE7"/>
    <w:rsid w:val="00964B90"/>
    <w:rsid w:val="00964C21"/>
    <w:rsid w:val="009654E5"/>
    <w:rsid w:val="009654F6"/>
    <w:rsid w:val="009657D7"/>
    <w:rsid w:val="00965A13"/>
    <w:rsid w:val="00965A18"/>
    <w:rsid w:val="00965C24"/>
    <w:rsid w:val="00965DB7"/>
    <w:rsid w:val="009660E1"/>
    <w:rsid w:val="00966661"/>
    <w:rsid w:val="0096679A"/>
    <w:rsid w:val="00966937"/>
    <w:rsid w:val="00966D42"/>
    <w:rsid w:val="00966FCF"/>
    <w:rsid w:val="009672BA"/>
    <w:rsid w:val="00967599"/>
    <w:rsid w:val="009676BE"/>
    <w:rsid w:val="009677C8"/>
    <w:rsid w:val="00970144"/>
    <w:rsid w:val="00970947"/>
    <w:rsid w:val="00970E4A"/>
    <w:rsid w:val="00970F95"/>
    <w:rsid w:val="00971023"/>
    <w:rsid w:val="00971030"/>
    <w:rsid w:val="009710E3"/>
    <w:rsid w:val="0097139F"/>
    <w:rsid w:val="00971565"/>
    <w:rsid w:val="009717C5"/>
    <w:rsid w:val="0097193E"/>
    <w:rsid w:val="00971999"/>
    <w:rsid w:val="00971A04"/>
    <w:rsid w:val="00972149"/>
    <w:rsid w:val="00972538"/>
    <w:rsid w:val="00972DCB"/>
    <w:rsid w:val="00972E7E"/>
    <w:rsid w:val="00972EDF"/>
    <w:rsid w:val="0097315B"/>
    <w:rsid w:val="00973233"/>
    <w:rsid w:val="009734E8"/>
    <w:rsid w:val="0097388C"/>
    <w:rsid w:val="00973A49"/>
    <w:rsid w:val="00973B5F"/>
    <w:rsid w:val="00973C15"/>
    <w:rsid w:val="00973C47"/>
    <w:rsid w:val="00973E75"/>
    <w:rsid w:val="00973E87"/>
    <w:rsid w:val="00974151"/>
    <w:rsid w:val="0097427A"/>
    <w:rsid w:val="0097474A"/>
    <w:rsid w:val="00974758"/>
    <w:rsid w:val="0097479D"/>
    <w:rsid w:val="00974B66"/>
    <w:rsid w:val="00975141"/>
    <w:rsid w:val="00975501"/>
    <w:rsid w:val="009759EA"/>
    <w:rsid w:val="00976CEA"/>
    <w:rsid w:val="00976F1E"/>
    <w:rsid w:val="00977264"/>
    <w:rsid w:val="00977D24"/>
    <w:rsid w:val="00977F34"/>
    <w:rsid w:val="0098047D"/>
    <w:rsid w:val="00980790"/>
    <w:rsid w:val="00980ACC"/>
    <w:rsid w:val="00980DEB"/>
    <w:rsid w:val="00980EBF"/>
    <w:rsid w:val="00980F48"/>
    <w:rsid w:val="0098105E"/>
    <w:rsid w:val="00981554"/>
    <w:rsid w:val="0098188E"/>
    <w:rsid w:val="00981FEB"/>
    <w:rsid w:val="00982157"/>
    <w:rsid w:val="00982227"/>
    <w:rsid w:val="0098230E"/>
    <w:rsid w:val="00982A7D"/>
    <w:rsid w:val="00982C1C"/>
    <w:rsid w:val="00982EDC"/>
    <w:rsid w:val="009830B8"/>
    <w:rsid w:val="009831BA"/>
    <w:rsid w:val="00983285"/>
    <w:rsid w:val="00983375"/>
    <w:rsid w:val="009833DE"/>
    <w:rsid w:val="00983F0F"/>
    <w:rsid w:val="00983F15"/>
    <w:rsid w:val="00984236"/>
    <w:rsid w:val="009843DB"/>
    <w:rsid w:val="009843FB"/>
    <w:rsid w:val="00984624"/>
    <w:rsid w:val="00984687"/>
    <w:rsid w:val="009848C2"/>
    <w:rsid w:val="00984906"/>
    <w:rsid w:val="00984AE2"/>
    <w:rsid w:val="00984BE3"/>
    <w:rsid w:val="00984DE7"/>
    <w:rsid w:val="00985A09"/>
    <w:rsid w:val="00985BE2"/>
    <w:rsid w:val="00985C4E"/>
    <w:rsid w:val="00986026"/>
    <w:rsid w:val="00986BF2"/>
    <w:rsid w:val="009872C6"/>
    <w:rsid w:val="009873C1"/>
    <w:rsid w:val="00987C8E"/>
    <w:rsid w:val="00987D4D"/>
    <w:rsid w:val="00990018"/>
    <w:rsid w:val="009900C8"/>
    <w:rsid w:val="009901B4"/>
    <w:rsid w:val="009905A6"/>
    <w:rsid w:val="00990616"/>
    <w:rsid w:val="00990AFA"/>
    <w:rsid w:val="00990ECF"/>
    <w:rsid w:val="00990F78"/>
    <w:rsid w:val="0099143B"/>
    <w:rsid w:val="0099155E"/>
    <w:rsid w:val="00991584"/>
    <w:rsid w:val="00991A33"/>
    <w:rsid w:val="00991B07"/>
    <w:rsid w:val="00991FF3"/>
    <w:rsid w:val="00992605"/>
    <w:rsid w:val="009926B4"/>
    <w:rsid w:val="009929A9"/>
    <w:rsid w:val="00992E6C"/>
    <w:rsid w:val="00992FE2"/>
    <w:rsid w:val="0099355A"/>
    <w:rsid w:val="00993991"/>
    <w:rsid w:val="00993A1C"/>
    <w:rsid w:val="00993CA9"/>
    <w:rsid w:val="00993EE2"/>
    <w:rsid w:val="00993FA2"/>
    <w:rsid w:val="00994087"/>
    <w:rsid w:val="00994285"/>
    <w:rsid w:val="009943F9"/>
    <w:rsid w:val="00994492"/>
    <w:rsid w:val="009948D0"/>
    <w:rsid w:val="009948E7"/>
    <w:rsid w:val="00994A3D"/>
    <w:rsid w:val="00994DE3"/>
    <w:rsid w:val="00995543"/>
    <w:rsid w:val="0099559B"/>
    <w:rsid w:val="00995A91"/>
    <w:rsid w:val="00995AF0"/>
    <w:rsid w:val="009962EC"/>
    <w:rsid w:val="0099636C"/>
    <w:rsid w:val="0099681F"/>
    <w:rsid w:val="009974E8"/>
    <w:rsid w:val="00997583"/>
    <w:rsid w:val="009975AC"/>
    <w:rsid w:val="00997FEF"/>
    <w:rsid w:val="009A0023"/>
    <w:rsid w:val="009A0404"/>
    <w:rsid w:val="009A0579"/>
    <w:rsid w:val="009A0D27"/>
    <w:rsid w:val="009A126A"/>
    <w:rsid w:val="009A16D2"/>
    <w:rsid w:val="009A2BCB"/>
    <w:rsid w:val="009A2E8A"/>
    <w:rsid w:val="009A3584"/>
    <w:rsid w:val="009A35DF"/>
    <w:rsid w:val="009A36C0"/>
    <w:rsid w:val="009A4145"/>
    <w:rsid w:val="009A4398"/>
    <w:rsid w:val="009A469D"/>
    <w:rsid w:val="009A47B6"/>
    <w:rsid w:val="009A47D5"/>
    <w:rsid w:val="009A4869"/>
    <w:rsid w:val="009A488E"/>
    <w:rsid w:val="009A4A4B"/>
    <w:rsid w:val="009A4F08"/>
    <w:rsid w:val="009A5009"/>
    <w:rsid w:val="009A51C2"/>
    <w:rsid w:val="009A525A"/>
    <w:rsid w:val="009A5268"/>
    <w:rsid w:val="009A571F"/>
    <w:rsid w:val="009A5AB8"/>
    <w:rsid w:val="009A5E1D"/>
    <w:rsid w:val="009A5F3F"/>
    <w:rsid w:val="009A5FDC"/>
    <w:rsid w:val="009A5FF1"/>
    <w:rsid w:val="009A605D"/>
    <w:rsid w:val="009A60D1"/>
    <w:rsid w:val="009A690B"/>
    <w:rsid w:val="009A69D0"/>
    <w:rsid w:val="009A6D18"/>
    <w:rsid w:val="009A6ED7"/>
    <w:rsid w:val="009A6EF1"/>
    <w:rsid w:val="009A6F02"/>
    <w:rsid w:val="009A6F6D"/>
    <w:rsid w:val="009A7040"/>
    <w:rsid w:val="009A79BF"/>
    <w:rsid w:val="009A7A2E"/>
    <w:rsid w:val="009A7F7E"/>
    <w:rsid w:val="009B04AE"/>
    <w:rsid w:val="009B071A"/>
    <w:rsid w:val="009B0B33"/>
    <w:rsid w:val="009B0C26"/>
    <w:rsid w:val="009B0D22"/>
    <w:rsid w:val="009B0D70"/>
    <w:rsid w:val="009B116E"/>
    <w:rsid w:val="009B1299"/>
    <w:rsid w:val="009B12AA"/>
    <w:rsid w:val="009B1594"/>
    <w:rsid w:val="009B18E9"/>
    <w:rsid w:val="009B2250"/>
    <w:rsid w:val="009B22D3"/>
    <w:rsid w:val="009B2AE6"/>
    <w:rsid w:val="009B2DE5"/>
    <w:rsid w:val="009B3322"/>
    <w:rsid w:val="009B3BF9"/>
    <w:rsid w:val="009B3C7A"/>
    <w:rsid w:val="009B403E"/>
    <w:rsid w:val="009B4201"/>
    <w:rsid w:val="009B44A3"/>
    <w:rsid w:val="009B497A"/>
    <w:rsid w:val="009B4BB6"/>
    <w:rsid w:val="009B4DD6"/>
    <w:rsid w:val="009B4F55"/>
    <w:rsid w:val="009B4F91"/>
    <w:rsid w:val="009B51B3"/>
    <w:rsid w:val="009B5228"/>
    <w:rsid w:val="009B5249"/>
    <w:rsid w:val="009B5281"/>
    <w:rsid w:val="009B603C"/>
    <w:rsid w:val="009B6416"/>
    <w:rsid w:val="009B67C0"/>
    <w:rsid w:val="009B6C34"/>
    <w:rsid w:val="009B6E43"/>
    <w:rsid w:val="009B717F"/>
    <w:rsid w:val="009B753D"/>
    <w:rsid w:val="009B7837"/>
    <w:rsid w:val="009B7DF4"/>
    <w:rsid w:val="009B7E90"/>
    <w:rsid w:val="009C0200"/>
    <w:rsid w:val="009C069C"/>
    <w:rsid w:val="009C0865"/>
    <w:rsid w:val="009C0979"/>
    <w:rsid w:val="009C09BD"/>
    <w:rsid w:val="009C103F"/>
    <w:rsid w:val="009C10F1"/>
    <w:rsid w:val="009C1530"/>
    <w:rsid w:val="009C1788"/>
    <w:rsid w:val="009C199F"/>
    <w:rsid w:val="009C1B4A"/>
    <w:rsid w:val="009C1BCD"/>
    <w:rsid w:val="009C3248"/>
    <w:rsid w:val="009C32D8"/>
    <w:rsid w:val="009C353D"/>
    <w:rsid w:val="009C35B3"/>
    <w:rsid w:val="009C36BD"/>
    <w:rsid w:val="009C3814"/>
    <w:rsid w:val="009C3D16"/>
    <w:rsid w:val="009C4D1F"/>
    <w:rsid w:val="009C4D50"/>
    <w:rsid w:val="009C522A"/>
    <w:rsid w:val="009C5A50"/>
    <w:rsid w:val="009C5DAB"/>
    <w:rsid w:val="009C5E7D"/>
    <w:rsid w:val="009C600D"/>
    <w:rsid w:val="009C63EF"/>
    <w:rsid w:val="009C6909"/>
    <w:rsid w:val="009C705E"/>
    <w:rsid w:val="009C740E"/>
    <w:rsid w:val="009C7822"/>
    <w:rsid w:val="009C7A9C"/>
    <w:rsid w:val="009C7CF8"/>
    <w:rsid w:val="009C7F0C"/>
    <w:rsid w:val="009D00CD"/>
    <w:rsid w:val="009D0256"/>
    <w:rsid w:val="009D0855"/>
    <w:rsid w:val="009D16A0"/>
    <w:rsid w:val="009D1968"/>
    <w:rsid w:val="009D1B96"/>
    <w:rsid w:val="009D2524"/>
    <w:rsid w:val="009D26BB"/>
    <w:rsid w:val="009D28CB"/>
    <w:rsid w:val="009D2EA0"/>
    <w:rsid w:val="009D31C1"/>
    <w:rsid w:val="009D33A2"/>
    <w:rsid w:val="009D37E3"/>
    <w:rsid w:val="009D38A9"/>
    <w:rsid w:val="009D3C2B"/>
    <w:rsid w:val="009D43EC"/>
    <w:rsid w:val="009D48C2"/>
    <w:rsid w:val="009D4941"/>
    <w:rsid w:val="009D49A7"/>
    <w:rsid w:val="009D4EBD"/>
    <w:rsid w:val="009D4FAE"/>
    <w:rsid w:val="009D53B9"/>
    <w:rsid w:val="009D5640"/>
    <w:rsid w:val="009D5732"/>
    <w:rsid w:val="009D5BF5"/>
    <w:rsid w:val="009D5E5C"/>
    <w:rsid w:val="009D5E83"/>
    <w:rsid w:val="009D6185"/>
    <w:rsid w:val="009D61D3"/>
    <w:rsid w:val="009D6CEA"/>
    <w:rsid w:val="009D6CF9"/>
    <w:rsid w:val="009D6F32"/>
    <w:rsid w:val="009D708D"/>
    <w:rsid w:val="009D7112"/>
    <w:rsid w:val="009D72CE"/>
    <w:rsid w:val="009D7514"/>
    <w:rsid w:val="009D7670"/>
    <w:rsid w:val="009D7953"/>
    <w:rsid w:val="009D79B1"/>
    <w:rsid w:val="009D7C95"/>
    <w:rsid w:val="009E0120"/>
    <w:rsid w:val="009E0330"/>
    <w:rsid w:val="009E0535"/>
    <w:rsid w:val="009E090F"/>
    <w:rsid w:val="009E0CE9"/>
    <w:rsid w:val="009E0EBB"/>
    <w:rsid w:val="009E1886"/>
    <w:rsid w:val="009E2327"/>
    <w:rsid w:val="009E23EA"/>
    <w:rsid w:val="009E2512"/>
    <w:rsid w:val="009E26DC"/>
    <w:rsid w:val="009E27D6"/>
    <w:rsid w:val="009E291A"/>
    <w:rsid w:val="009E2C1E"/>
    <w:rsid w:val="009E3077"/>
    <w:rsid w:val="009E338E"/>
    <w:rsid w:val="009E352F"/>
    <w:rsid w:val="009E3A25"/>
    <w:rsid w:val="009E3F6F"/>
    <w:rsid w:val="009E43D8"/>
    <w:rsid w:val="009E45D8"/>
    <w:rsid w:val="009E4F3E"/>
    <w:rsid w:val="009E52CB"/>
    <w:rsid w:val="009E5404"/>
    <w:rsid w:val="009E546A"/>
    <w:rsid w:val="009E5A96"/>
    <w:rsid w:val="009E5B14"/>
    <w:rsid w:val="009E5EBD"/>
    <w:rsid w:val="009E5FE8"/>
    <w:rsid w:val="009E6065"/>
    <w:rsid w:val="009E60F3"/>
    <w:rsid w:val="009E6386"/>
    <w:rsid w:val="009E6A10"/>
    <w:rsid w:val="009E70B6"/>
    <w:rsid w:val="009E7800"/>
    <w:rsid w:val="009E7A11"/>
    <w:rsid w:val="009E7CC2"/>
    <w:rsid w:val="009F03CE"/>
    <w:rsid w:val="009F06E6"/>
    <w:rsid w:val="009F0709"/>
    <w:rsid w:val="009F094A"/>
    <w:rsid w:val="009F0CCC"/>
    <w:rsid w:val="009F0D44"/>
    <w:rsid w:val="009F1400"/>
    <w:rsid w:val="009F19E3"/>
    <w:rsid w:val="009F1DDD"/>
    <w:rsid w:val="009F1F51"/>
    <w:rsid w:val="009F22C2"/>
    <w:rsid w:val="009F2407"/>
    <w:rsid w:val="009F244F"/>
    <w:rsid w:val="009F2603"/>
    <w:rsid w:val="009F2665"/>
    <w:rsid w:val="009F2761"/>
    <w:rsid w:val="009F2973"/>
    <w:rsid w:val="009F2D82"/>
    <w:rsid w:val="009F3223"/>
    <w:rsid w:val="009F3791"/>
    <w:rsid w:val="009F37B0"/>
    <w:rsid w:val="009F39DE"/>
    <w:rsid w:val="009F3E75"/>
    <w:rsid w:val="009F40F7"/>
    <w:rsid w:val="009F4108"/>
    <w:rsid w:val="009F4364"/>
    <w:rsid w:val="009F4476"/>
    <w:rsid w:val="009F464E"/>
    <w:rsid w:val="009F4C68"/>
    <w:rsid w:val="009F4ED3"/>
    <w:rsid w:val="009F5578"/>
    <w:rsid w:val="009F5688"/>
    <w:rsid w:val="009F5BE3"/>
    <w:rsid w:val="009F5C65"/>
    <w:rsid w:val="009F657E"/>
    <w:rsid w:val="009F6765"/>
    <w:rsid w:val="009F67C0"/>
    <w:rsid w:val="009F67C8"/>
    <w:rsid w:val="009F6800"/>
    <w:rsid w:val="009F68FB"/>
    <w:rsid w:val="009F6C14"/>
    <w:rsid w:val="009F6DA5"/>
    <w:rsid w:val="009F6DCF"/>
    <w:rsid w:val="009F6FF1"/>
    <w:rsid w:val="009F71A6"/>
    <w:rsid w:val="009F722F"/>
    <w:rsid w:val="009F7629"/>
    <w:rsid w:val="009F7DCA"/>
    <w:rsid w:val="00A003FB"/>
    <w:rsid w:val="00A0051F"/>
    <w:rsid w:val="00A00870"/>
    <w:rsid w:val="00A0093D"/>
    <w:rsid w:val="00A00949"/>
    <w:rsid w:val="00A01110"/>
    <w:rsid w:val="00A0112D"/>
    <w:rsid w:val="00A01380"/>
    <w:rsid w:val="00A01CE0"/>
    <w:rsid w:val="00A02524"/>
    <w:rsid w:val="00A02577"/>
    <w:rsid w:val="00A02952"/>
    <w:rsid w:val="00A02A11"/>
    <w:rsid w:val="00A02C0D"/>
    <w:rsid w:val="00A02F1A"/>
    <w:rsid w:val="00A03366"/>
    <w:rsid w:val="00A033D5"/>
    <w:rsid w:val="00A040A1"/>
    <w:rsid w:val="00A0453F"/>
    <w:rsid w:val="00A045DB"/>
    <w:rsid w:val="00A04D1A"/>
    <w:rsid w:val="00A05228"/>
    <w:rsid w:val="00A05543"/>
    <w:rsid w:val="00A05E3C"/>
    <w:rsid w:val="00A05E96"/>
    <w:rsid w:val="00A064C7"/>
    <w:rsid w:val="00A06705"/>
    <w:rsid w:val="00A06B72"/>
    <w:rsid w:val="00A0772B"/>
    <w:rsid w:val="00A077B1"/>
    <w:rsid w:val="00A07999"/>
    <w:rsid w:val="00A07F7C"/>
    <w:rsid w:val="00A1006B"/>
    <w:rsid w:val="00A102AA"/>
    <w:rsid w:val="00A108DF"/>
    <w:rsid w:val="00A114BA"/>
    <w:rsid w:val="00A1154C"/>
    <w:rsid w:val="00A119F8"/>
    <w:rsid w:val="00A11EE4"/>
    <w:rsid w:val="00A11F75"/>
    <w:rsid w:val="00A12184"/>
    <w:rsid w:val="00A12740"/>
    <w:rsid w:val="00A1278F"/>
    <w:rsid w:val="00A12957"/>
    <w:rsid w:val="00A12C6F"/>
    <w:rsid w:val="00A12EA7"/>
    <w:rsid w:val="00A13268"/>
    <w:rsid w:val="00A13326"/>
    <w:rsid w:val="00A14250"/>
    <w:rsid w:val="00A1443A"/>
    <w:rsid w:val="00A14599"/>
    <w:rsid w:val="00A1461C"/>
    <w:rsid w:val="00A14936"/>
    <w:rsid w:val="00A14AEE"/>
    <w:rsid w:val="00A14E8E"/>
    <w:rsid w:val="00A14F30"/>
    <w:rsid w:val="00A150E6"/>
    <w:rsid w:val="00A151A7"/>
    <w:rsid w:val="00A15836"/>
    <w:rsid w:val="00A159DE"/>
    <w:rsid w:val="00A15C7C"/>
    <w:rsid w:val="00A15D0D"/>
    <w:rsid w:val="00A15ECC"/>
    <w:rsid w:val="00A15F4A"/>
    <w:rsid w:val="00A16826"/>
    <w:rsid w:val="00A16AC7"/>
    <w:rsid w:val="00A16C6E"/>
    <w:rsid w:val="00A17520"/>
    <w:rsid w:val="00A17631"/>
    <w:rsid w:val="00A205DE"/>
    <w:rsid w:val="00A2092D"/>
    <w:rsid w:val="00A20D80"/>
    <w:rsid w:val="00A21259"/>
    <w:rsid w:val="00A216DA"/>
    <w:rsid w:val="00A227F3"/>
    <w:rsid w:val="00A22E66"/>
    <w:rsid w:val="00A22F0F"/>
    <w:rsid w:val="00A231AA"/>
    <w:rsid w:val="00A231D7"/>
    <w:rsid w:val="00A2335E"/>
    <w:rsid w:val="00A233AA"/>
    <w:rsid w:val="00A23529"/>
    <w:rsid w:val="00A2387A"/>
    <w:rsid w:val="00A2397E"/>
    <w:rsid w:val="00A23ACA"/>
    <w:rsid w:val="00A23B45"/>
    <w:rsid w:val="00A23B7A"/>
    <w:rsid w:val="00A24320"/>
    <w:rsid w:val="00A2468F"/>
    <w:rsid w:val="00A24ACD"/>
    <w:rsid w:val="00A24E95"/>
    <w:rsid w:val="00A254F9"/>
    <w:rsid w:val="00A256F9"/>
    <w:rsid w:val="00A25BD9"/>
    <w:rsid w:val="00A261F3"/>
    <w:rsid w:val="00A2645A"/>
    <w:rsid w:val="00A2670B"/>
    <w:rsid w:val="00A2704C"/>
    <w:rsid w:val="00A275C7"/>
    <w:rsid w:val="00A2762A"/>
    <w:rsid w:val="00A278D9"/>
    <w:rsid w:val="00A279FF"/>
    <w:rsid w:val="00A27EC1"/>
    <w:rsid w:val="00A3050C"/>
    <w:rsid w:val="00A30521"/>
    <w:rsid w:val="00A316DC"/>
    <w:rsid w:val="00A31AAD"/>
    <w:rsid w:val="00A31DCB"/>
    <w:rsid w:val="00A321F2"/>
    <w:rsid w:val="00A326CF"/>
    <w:rsid w:val="00A32CE6"/>
    <w:rsid w:val="00A33068"/>
    <w:rsid w:val="00A330F2"/>
    <w:rsid w:val="00A3384D"/>
    <w:rsid w:val="00A33DA3"/>
    <w:rsid w:val="00A34109"/>
    <w:rsid w:val="00A341BA"/>
    <w:rsid w:val="00A34317"/>
    <w:rsid w:val="00A34A14"/>
    <w:rsid w:val="00A34B24"/>
    <w:rsid w:val="00A3555C"/>
    <w:rsid w:val="00A357F6"/>
    <w:rsid w:val="00A35A77"/>
    <w:rsid w:val="00A35E7E"/>
    <w:rsid w:val="00A36318"/>
    <w:rsid w:val="00A36333"/>
    <w:rsid w:val="00A364FC"/>
    <w:rsid w:val="00A3657F"/>
    <w:rsid w:val="00A36988"/>
    <w:rsid w:val="00A36A77"/>
    <w:rsid w:val="00A36CE2"/>
    <w:rsid w:val="00A36DDC"/>
    <w:rsid w:val="00A376B6"/>
    <w:rsid w:val="00A405AB"/>
    <w:rsid w:val="00A4073A"/>
    <w:rsid w:val="00A40753"/>
    <w:rsid w:val="00A41445"/>
    <w:rsid w:val="00A41536"/>
    <w:rsid w:val="00A415D5"/>
    <w:rsid w:val="00A415EB"/>
    <w:rsid w:val="00A41860"/>
    <w:rsid w:val="00A4189A"/>
    <w:rsid w:val="00A41E9B"/>
    <w:rsid w:val="00A424B4"/>
    <w:rsid w:val="00A428FF"/>
    <w:rsid w:val="00A42D20"/>
    <w:rsid w:val="00A42D55"/>
    <w:rsid w:val="00A430B2"/>
    <w:rsid w:val="00A430DE"/>
    <w:rsid w:val="00A43CFB"/>
    <w:rsid w:val="00A44096"/>
    <w:rsid w:val="00A44110"/>
    <w:rsid w:val="00A44493"/>
    <w:rsid w:val="00A44A5C"/>
    <w:rsid w:val="00A44B46"/>
    <w:rsid w:val="00A44BE4"/>
    <w:rsid w:val="00A453BC"/>
    <w:rsid w:val="00A4558F"/>
    <w:rsid w:val="00A4569F"/>
    <w:rsid w:val="00A45799"/>
    <w:rsid w:val="00A45A6F"/>
    <w:rsid w:val="00A45BB0"/>
    <w:rsid w:val="00A45D60"/>
    <w:rsid w:val="00A45D77"/>
    <w:rsid w:val="00A46500"/>
    <w:rsid w:val="00A46584"/>
    <w:rsid w:val="00A46ABC"/>
    <w:rsid w:val="00A47803"/>
    <w:rsid w:val="00A47FBD"/>
    <w:rsid w:val="00A50216"/>
    <w:rsid w:val="00A5043A"/>
    <w:rsid w:val="00A5060C"/>
    <w:rsid w:val="00A5062E"/>
    <w:rsid w:val="00A507C4"/>
    <w:rsid w:val="00A5107C"/>
    <w:rsid w:val="00A513D7"/>
    <w:rsid w:val="00A514FC"/>
    <w:rsid w:val="00A51538"/>
    <w:rsid w:val="00A51588"/>
    <w:rsid w:val="00A517F8"/>
    <w:rsid w:val="00A51926"/>
    <w:rsid w:val="00A519D8"/>
    <w:rsid w:val="00A5223A"/>
    <w:rsid w:val="00A524E0"/>
    <w:rsid w:val="00A5259E"/>
    <w:rsid w:val="00A526B2"/>
    <w:rsid w:val="00A52823"/>
    <w:rsid w:val="00A52BF4"/>
    <w:rsid w:val="00A53028"/>
    <w:rsid w:val="00A53AFB"/>
    <w:rsid w:val="00A54235"/>
    <w:rsid w:val="00A544C9"/>
    <w:rsid w:val="00A548E3"/>
    <w:rsid w:val="00A54B0C"/>
    <w:rsid w:val="00A54CA4"/>
    <w:rsid w:val="00A54D69"/>
    <w:rsid w:val="00A55053"/>
    <w:rsid w:val="00A552B3"/>
    <w:rsid w:val="00A55788"/>
    <w:rsid w:val="00A55E7C"/>
    <w:rsid w:val="00A55FA9"/>
    <w:rsid w:val="00A55FF6"/>
    <w:rsid w:val="00A56490"/>
    <w:rsid w:val="00A56E37"/>
    <w:rsid w:val="00A570C4"/>
    <w:rsid w:val="00A5729A"/>
    <w:rsid w:val="00A578BA"/>
    <w:rsid w:val="00A57BA1"/>
    <w:rsid w:val="00A57C72"/>
    <w:rsid w:val="00A57CEA"/>
    <w:rsid w:val="00A57E4E"/>
    <w:rsid w:val="00A60496"/>
    <w:rsid w:val="00A60C11"/>
    <w:rsid w:val="00A60C23"/>
    <w:rsid w:val="00A60DD9"/>
    <w:rsid w:val="00A611AA"/>
    <w:rsid w:val="00A61A15"/>
    <w:rsid w:val="00A61B06"/>
    <w:rsid w:val="00A61E7C"/>
    <w:rsid w:val="00A62085"/>
    <w:rsid w:val="00A62A8D"/>
    <w:rsid w:val="00A62D8E"/>
    <w:rsid w:val="00A62F76"/>
    <w:rsid w:val="00A63335"/>
    <w:rsid w:val="00A63749"/>
    <w:rsid w:val="00A63DE4"/>
    <w:rsid w:val="00A63DE8"/>
    <w:rsid w:val="00A640D1"/>
    <w:rsid w:val="00A6438D"/>
    <w:rsid w:val="00A64439"/>
    <w:rsid w:val="00A6443D"/>
    <w:rsid w:val="00A64919"/>
    <w:rsid w:val="00A649BA"/>
    <w:rsid w:val="00A64AB0"/>
    <w:rsid w:val="00A64C5D"/>
    <w:rsid w:val="00A652C2"/>
    <w:rsid w:val="00A655D0"/>
    <w:rsid w:val="00A65A3C"/>
    <w:rsid w:val="00A65B86"/>
    <w:rsid w:val="00A660C5"/>
    <w:rsid w:val="00A66270"/>
    <w:rsid w:val="00A66397"/>
    <w:rsid w:val="00A664BD"/>
    <w:rsid w:val="00A66DAB"/>
    <w:rsid w:val="00A66E8E"/>
    <w:rsid w:val="00A674CA"/>
    <w:rsid w:val="00A67643"/>
    <w:rsid w:val="00A6778B"/>
    <w:rsid w:val="00A678C2"/>
    <w:rsid w:val="00A678D1"/>
    <w:rsid w:val="00A67AD9"/>
    <w:rsid w:val="00A67F21"/>
    <w:rsid w:val="00A70542"/>
    <w:rsid w:val="00A70585"/>
    <w:rsid w:val="00A7089F"/>
    <w:rsid w:val="00A709A5"/>
    <w:rsid w:val="00A70CC9"/>
    <w:rsid w:val="00A70FB8"/>
    <w:rsid w:val="00A71216"/>
    <w:rsid w:val="00A715DA"/>
    <w:rsid w:val="00A719CD"/>
    <w:rsid w:val="00A71B84"/>
    <w:rsid w:val="00A7217D"/>
    <w:rsid w:val="00A72364"/>
    <w:rsid w:val="00A723DA"/>
    <w:rsid w:val="00A72851"/>
    <w:rsid w:val="00A72A3B"/>
    <w:rsid w:val="00A72F61"/>
    <w:rsid w:val="00A73093"/>
    <w:rsid w:val="00A7321A"/>
    <w:rsid w:val="00A7340D"/>
    <w:rsid w:val="00A739DF"/>
    <w:rsid w:val="00A73A15"/>
    <w:rsid w:val="00A74157"/>
    <w:rsid w:val="00A742D5"/>
    <w:rsid w:val="00A7462E"/>
    <w:rsid w:val="00A74DBD"/>
    <w:rsid w:val="00A74E6E"/>
    <w:rsid w:val="00A751B9"/>
    <w:rsid w:val="00A7534F"/>
    <w:rsid w:val="00A75B2A"/>
    <w:rsid w:val="00A75E1F"/>
    <w:rsid w:val="00A76037"/>
    <w:rsid w:val="00A762C9"/>
    <w:rsid w:val="00A7669B"/>
    <w:rsid w:val="00A766EE"/>
    <w:rsid w:val="00A76769"/>
    <w:rsid w:val="00A76D36"/>
    <w:rsid w:val="00A771BD"/>
    <w:rsid w:val="00A77558"/>
    <w:rsid w:val="00A77CC7"/>
    <w:rsid w:val="00A77D91"/>
    <w:rsid w:val="00A801F3"/>
    <w:rsid w:val="00A8054A"/>
    <w:rsid w:val="00A80800"/>
    <w:rsid w:val="00A8080B"/>
    <w:rsid w:val="00A80A89"/>
    <w:rsid w:val="00A80B90"/>
    <w:rsid w:val="00A80BEF"/>
    <w:rsid w:val="00A80DBB"/>
    <w:rsid w:val="00A80DED"/>
    <w:rsid w:val="00A80DFA"/>
    <w:rsid w:val="00A80E8C"/>
    <w:rsid w:val="00A811A6"/>
    <w:rsid w:val="00A8146A"/>
    <w:rsid w:val="00A81914"/>
    <w:rsid w:val="00A822E3"/>
    <w:rsid w:val="00A826B3"/>
    <w:rsid w:val="00A82B7D"/>
    <w:rsid w:val="00A82CA9"/>
    <w:rsid w:val="00A82F48"/>
    <w:rsid w:val="00A82F92"/>
    <w:rsid w:val="00A8321A"/>
    <w:rsid w:val="00A83264"/>
    <w:rsid w:val="00A83743"/>
    <w:rsid w:val="00A838C9"/>
    <w:rsid w:val="00A83A6E"/>
    <w:rsid w:val="00A84286"/>
    <w:rsid w:val="00A84335"/>
    <w:rsid w:val="00A84500"/>
    <w:rsid w:val="00A846CB"/>
    <w:rsid w:val="00A8482A"/>
    <w:rsid w:val="00A848BE"/>
    <w:rsid w:val="00A84C65"/>
    <w:rsid w:val="00A84E8F"/>
    <w:rsid w:val="00A85435"/>
    <w:rsid w:val="00A8571D"/>
    <w:rsid w:val="00A858F9"/>
    <w:rsid w:val="00A8595E"/>
    <w:rsid w:val="00A86870"/>
    <w:rsid w:val="00A8693F"/>
    <w:rsid w:val="00A86967"/>
    <w:rsid w:val="00A8726A"/>
    <w:rsid w:val="00A873CC"/>
    <w:rsid w:val="00A875EE"/>
    <w:rsid w:val="00A87B5B"/>
    <w:rsid w:val="00A87DDB"/>
    <w:rsid w:val="00A87E56"/>
    <w:rsid w:val="00A9001E"/>
    <w:rsid w:val="00A9022C"/>
    <w:rsid w:val="00A90A3F"/>
    <w:rsid w:val="00A90E8D"/>
    <w:rsid w:val="00A91134"/>
    <w:rsid w:val="00A91139"/>
    <w:rsid w:val="00A9129E"/>
    <w:rsid w:val="00A91536"/>
    <w:rsid w:val="00A91741"/>
    <w:rsid w:val="00A91BA2"/>
    <w:rsid w:val="00A91D75"/>
    <w:rsid w:val="00A9214A"/>
    <w:rsid w:val="00A9217C"/>
    <w:rsid w:val="00A927A5"/>
    <w:rsid w:val="00A92A6F"/>
    <w:rsid w:val="00A92AB0"/>
    <w:rsid w:val="00A92BDD"/>
    <w:rsid w:val="00A92CDE"/>
    <w:rsid w:val="00A93057"/>
    <w:rsid w:val="00A9306A"/>
    <w:rsid w:val="00A9367F"/>
    <w:rsid w:val="00A93ADA"/>
    <w:rsid w:val="00A93C22"/>
    <w:rsid w:val="00A94021"/>
    <w:rsid w:val="00A9443A"/>
    <w:rsid w:val="00A944AC"/>
    <w:rsid w:val="00A95110"/>
    <w:rsid w:val="00A9528C"/>
    <w:rsid w:val="00A952CA"/>
    <w:rsid w:val="00A954DC"/>
    <w:rsid w:val="00A95932"/>
    <w:rsid w:val="00A95D11"/>
    <w:rsid w:val="00A95FF7"/>
    <w:rsid w:val="00A964B1"/>
    <w:rsid w:val="00A9684C"/>
    <w:rsid w:val="00A96C64"/>
    <w:rsid w:val="00A96FEC"/>
    <w:rsid w:val="00A97288"/>
    <w:rsid w:val="00A976A5"/>
    <w:rsid w:val="00A97D04"/>
    <w:rsid w:val="00A97D46"/>
    <w:rsid w:val="00A97EB7"/>
    <w:rsid w:val="00AA04EE"/>
    <w:rsid w:val="00AA0828"/>
    <w:rsid w:val="00AA0921"/>
    <w:rsid w:val="00AA0CD0"/>
    <w:rsid w:val="00AA11EB"/>
    <w:rsid w:val="00AA14A9"/>
    <w:rsid w:val="00AA18E1"/>
    <w:rsid w:val="00AA1A8B"/>
    <w:rsid w:val="00AA209B"/>
    <w:rsid w:val="00AA210A"/>
    <w:rsid w:val="00AA222C"/>
    <w:rsid w:val="00AA2665"/>
    <w:rsid w:val="00AA2729"/>
    <w:rsid w:val="00AA2AA6"/>
    <w:rsid w:val="00AA2DD8"/>
    <w:rsid w:val="00AA3065"/>
    <w:rsid w:val="00AA3404"/>
    <w:rsid w:val="00AA346D"/>
    <w:rsid w:val="00AA352D"/>
    <w:rsid w:val="00AA36D6"/>
    <w:rsid w:val="00AA385A"/>
    <w:rsid w:val="00AA3896"/>
    <w:rsid w:val="00AA395C"/>
    <w:rsid w:val="00AA3B62"/>
    <w:rsid w:val="00AA3C0C"/>
    <w:rsid w:val="00AA3CCF"/>
    <w:rsid w:val="00AA401D"/>
    <w:rsid w:val="00AA445C"/>
    <w:rsid w:val="00AA46F9"/>
    <w:rsid w:val="00AA4AAF"/>
    <w:rsid w:val="00AA4F1A"/>
    <w:rsid w:val="00AA50B7"/>
    <w:rsid w:val="00AA528F"/>
    <w:rsid w:val="00AA55A9"/>
    <w:rsid w:val="00AA581D"/>
    <w:rsid w:val="00AA5C8C"/>
    <w:rsid w:val="00AA6060"/>
    <w:rsid w:val="00AA629B"/>
    <w:rsid w:val="00AA651A"/>
    <w:rsid w:val="00AA664E"/>
    <w:rsid w:val="00AA6764"/>
    <w:rsid w:val="00AA6906"/>
    <w:rsid w:val="00AA6A4F"/>
    <w:rsid w:val="00AA6BA4"/>
    <w:rsid w:val="00AA6F56"/>
    <w:rsid w:val="00AA6F67"/>
    <w:rsid w:val="00AA7623"/>
    <w:rsid w:val="00AA7691"/>
    <w:rsid w:val="00AB00F4"/>
    <w:rsid w:val="00AB0146"/>
    <w:rsid w:val="00AB0168"/>
    <w:rsid w:val="00AB0724"/>
    <w:rsid w:val="00AB0A77"/>
    <w:rsid w:val="00AB0B52"/>
    <w:rsid w:val="00AB0E1D"/>
    <w:rsid w:val="00AB0FB7"/>
    <w:rsid w:val="00AB10D9"/>
    <w:rsid w:val="00AB11C4"/>
    <w:rsid w:val="00AB1DDB"/>
    <w:rsid w:val="00AB218F"/>
    <w:rsid w:val="00AB22F1"/>
    <w:rsid w:val="00AB23C0"/>
    <w:rsid w:val="00AB24B5"/>
    <w:rsid w:val="00AB2586"/>
    <w:rsid w:val="00AB27B5"/>
    <w:rsid w:val="00AB2A41"/>
    <w:rsid w:val="00AB2B35"/>
    <w:rsid w:val="00AB2B3F"/>
    <w:rsid w:val="00AB2D6F"/>
    <w:rsid w:val="00AB2D7D"/>
    <w:rsid w:val="00AB2FC3"/>
    <w:rsid w:val="00AB2FD9"/>
    <w:rsid w:val="00AB3599"/>
    <w:rsid w:val="00AB37CB"/>
    <w:rsid w:val="00AB3DD8"/>
    <w:rsid w:val="00AB4209"/>
    <w:rsid w:val="00AB4255"/>
    <w:rsid w:val="00AB44B7"/>
    <w:rsid w:val="00AB486D"/>
    <w:rsid w:val="00AB4871"/>
    <w:rsid w:val="00AB4BC7"/>
    <w:rsid w:val="00AB4D59"/>
    <w:rsid w:val="00AB4EC7"/>
    <w:rsid w:val="00AB5882"/>
    <w:rsid w:val="00AB5CD3"/>
    <w:rsid w:val="00AB5D90"/>
    <w:rsid w:val="00AB5DCA"/>
    <w:rsid w:val="00AB5E57"/>
    <w:rsid w:val="00AB5EC6"/>
    <w:rsid w:val="00AB60D9"/>
    <w:rsid w:val="00AB62D2"/>
    <w:rsid w:val="00AB67F0"/>
    <w:rsid w:val="00AB6A52"/>
    <w:rsid w:val="00AB6EEE"/>
    <w:rsid w:val="00AB6F69"/>
    <w:rsid w:val="00AB6F81"/>
    <w:rsid w:val="00AB703F"/>
    <w:rsid w:val="00AB71FA"/>
    <w:rsid w:val="00AB7447"/>
    <w:rsid w:val="00AB769D"/>
    <w:rsid w:val="00AB77C4"/>
    <w:rsid w:val="00AB7835"/>
    <w:rsid w:val="00AB784F"/>
    <w:rsid w:val="00AB79AC"/>
    <w:rsid w:val="00AB7C63"/>
    <w:rsid w:val="00AB7F78"/>
    <w:rsid w:val="00AB7FD1"/>
    <w:rsid w:val="00AC0430"/>
    <w:rsid w:val="00AC05B5"/>
    <w:rsid w:val="00AC0819"/>
    <w:rsid w:val="00AC0C5C"/>
    <w:rsid w:val="00AC1A06"/>
    <w:rsid w:val="00AC1F8D"/>
    <w:rsid w:val="00AC26E3"/>
    <w:rsid w:val="00AC26EB"/>
    <w:rsid w:val="00AC2B0E"/>
    <w:rsid w:val="00AC2F1F"/>
    <w:rsid w:val="00AC31C8"/>
    <w:rsid w:val="00AC3507"/>
    <w:rsid w:val="00AC3829"/>
    <w:rsid w:val="00AC397C"/>
    <w:rsid w:val="00AC3982"/>
    <w:rsid w:val="00AC3994"/>
    <w:rsid w:val="00AC3A97"/>
    <w:rsid w:val="00AC3B23"/>
    <w:rsid w:val="00AC3EF2"/>
    <w:rsid w:val="00AC48DD"/>
    <w:rsid w:val="00AC4999"/>
    <w:rsid w:val="00AC4A1B"/>
    <w:rsid w:val="00AC4AED"/>
    <w:rsid w:val="00AC4CAF"/>
    <w:rsid w:val="00AC5166"/>
    <w:rsid w:val="00AC6820"/>
    <w:rsid w:val="00AC6922"/>
    <w:rsid w:val="00AC6DBB"/>
    <w:rsid w:val="00AC6FF9"/>
    <w:rsid w:val="00AC70FF"/>
    <w:rsid w:val="00AC71C8"/>
    <w:rsid w:val="00AC7608"/>
    <w:rsid w:val="00AC7AA1"/>
    <w:rsid w:val="00AD01B2"/>
    <w:rsid w:val="00AD0307"/>
    <w:rsid w:val="00AD04EB"/>
    <w:rsid w:val="00AD066C"/>
    <w:rsid w:val="00AD0671"/>
    <w:rsid w:val="00AD0ECF"/>
    <w:rsid w:val="00AD0F46"/>
    <w:rsid w:val="00AD115E"/>
    <w:rsid w:val="00AD119D"/>
    <w:rsid w:val="00AD1364"/>
    <w:rsid w:val="00AD1709"/>
    <w:rsid w:val="00AD1CCC"/>
    <w:rsid w:val="00AD1FB6"/>
    <w:rsid w:val="00AD213B"/>
    <w:rsid w:val="00AD245F"/>
    <w:rsid w:val="00AD2591"/>
    <w:rsid w:val="00AD2755"/>
    <w:rsid w:val="00AD2DB2"/>
    <w:rsid w:val="00AD31BD"/>
    <w:rsid w:val="00AD347D"/>
    <w:rsid w:val="00AD3706"/>
    <w:rsid w:val="00AD3747"/>
    <w:rsid w:val="00AD3AD4"/>
    <w:rsid w:val="00AD3B7F"/>
    <w:rsid w:val="00AD4ED8"/>
    <w:rsid w:val="00AD5053"/>
    <w:rsid w:val="00AD52A4"/>
    <w:rsid w:val="00AD5567"/>
    <w:rsid w:val="00AD575B"/>
    <w:rsid w:val="00AD5836"/>
    <w:rsid w:val="00AD5D05"/>
    <w:rsid w:val="00AD5DE3"/>
    <w:rsid w:val="00AD5E63"/>
    <w:rsid w:val="00AD5FC9"/>
    <w:rsid w:val="00AD6432"/>
    <w:rsid w:val="00AD66F4"/>
    <w:rsid w:val="00AD6EED"/>
    <w:rsid w:val="00AD76F7"/>
    <w:rsid w:val="00AD784D"/>
    <w:rsid w:val="00AD7857"/>
    <w:rsid w:val="00AD79C0"/>
    <w:rsid w:val="00AE00DC"/>
    <w:rsid w:val="00AE0799"/>
    <w:rsid w:val="00AE0805"/>
    <w:rsid w:val="00AE1712"/>
    <w:rsid w:val="00AE179A"/>
    <w:rsid w:val="00AE1811"/>
    <w:rsid w:val="00AE1A04"/>
    <w:rsid w:val="00AE1AD6"/>
    <w:rsid w:val="00AE1C3C"/>
    <w:rsid w:val="00AE1C45"/>
    <w:rsid w:val="00AE1EDE"/>
    <w:rsid w:val="00AE29DF"/>
    <w:rsid w:val="00AE2ACD"/>
    <w:rsid w:val="00AE2BBB"/>
    <w:rsid w:val="00AE2D4A"/>
    <w:rsid w:val="00AE309B"/>
    <w:rsid w:val="00AE3172"/>
    <w:rsid w:val="00AE3304"/>
    <w:rsid w:val="00AE3482"/>
    <w:rsid w:val="00AE3555"/>
    <w:rsid w:val="00AE38AB"/>
    <w:rsid w:val="00AE3942"/>
    <w:rsid w:val="00AE407C"/>
    <w:rsid w:val="00AE40BA"/>
    <w:rsid w:val="00AE421F"/>
    <w:rsid w:val="00AE49C4"/>
    <w:rsid w:val="00AE4B65"/>
    <w:rsid w:val="00AE4E05"/>
    <w:rsid w:val="00AE4EF6"/>
    <w:rsid w:val="00AE5134"/>
    <w:rsid w:val="00AE52DB"/>
    <w:rsid w:val="00AE5375"/>
    <w:rsid w:val="00AE53DD"/>
    <w:rsid w:val="00AE55D5"/>
    <w:rsid w:val="00AE57EB"/>
    <w:rsid w:val="00AE5849"/>
    <w:rsid w:val="00AE5974"/>
    <w:rsid w:val="00AE5B21"/>
    <w:rsid w:val="00AE5F4A"/>
    <w:rsid w:val="00AE6090"/>
    <w:rsid w:val="00AE64C9"/>
    <w:rsid w:val="00AE659A"/>
    <w:rsid w:val="00AE6A30"/>
    <w:rsid w:val="00AE6C2C"/>
    <w:rsid w:val="00AE6CA7"/>
    <w:rsid w:val="00AE6E7C"/>
    <w:rsid w:val="00AE7472"/>
    <w:rsid w:val="00AE74EB"/>
    <w:rsid w:val="00AE7CF8"/>
    <w:rsid w:val="00AF0407"/>
    <w:rsid w:val="00AF0481"/>
    <w:rsid w:val="00AF072D"/>
    <w:rsid w:val="00AF07AE"/>
    <w:rsid w:val="00AF0A56"/>
    <w:rsid w:val="00AF0CFB"/>
    <w:rsid w:val="00AF13EE"/>
    <w:rsid w:val="00AF1413"/>
    <w:rsid w:val="00AF169A"/>
    <w:rsid w:val="00AF1A0C"/>
    <w:rsid w:val="00AF1BF3"/>
    <w:rsid w:val="00AF1EC1"/>
    <w:rsid w:val="00AF207C"/>
    <w:rsid w:val="00AF237F"/>
    <w:rsid w:val="00AF2483"/>
    <w:rsid w:val="00AF257A"/>
    <w:rsid w:val="00AF2707"/>
    <w:rsid w:val="00AF2FCC"/>
    <w:rsid w:val="00AF3572"/>
    <w:rsid w:val="00AF3A17"/>
    <w:rsid w:val="00AF3B91"/>
    <w:rsid w:val="00AF440E"/>
    <w:rsid w:val="00AF45A5"/>
    <w:rsid w:val="00AF4B59"/>
    <w:rsid w:val="00AF4C28"/>
    <w:rsid w:val="00AF4F9C"/>
    <w:rsid w:val="00AF51E3"/>
    <w:rsid w:val="00AF528B"/>
    <w:rsid w:val="00AF5690"/>
    <w:rsid w:val="00AF5AC3"/>
    <w:rsid w:val="00AF5E80"/>
    <w:rsid w:val="00AF612E"/>
    <w:rsid w:val="00AF63C0"/>
    <w:rsid w:val="00AF68C8"/>
    <w:rsid w:val="00AF6950"/>
    <w:rsid w:val="00AF6ABC"/>
    <w:rsid w:val="00AF6B39"/>
    <w:rsid w:val="00AF6E52"/>
    <w:rsid w:val="00AF6EEC"/>
    <w:rsid w:val="00AF70B6"/>
    <w:rsid w:val="00AF720A"/>
    <w:rsid w:val="00AF7251"/>
    <w:rsid w:val="00AF7878"/>
    <w:rsid w:val="00B00290"/>
    <w:rsid w:val="00B00611"/>
    <w:rsid w:val="00B0061C"/>
    <w:rsid w:val="00B00DD2"/>
    <w:rsid w:val="00B01627"/>
    <w:rsid w:val="00B01DA4"/>
    <w:rsid w:val="00B02131"/>
    <w:rsid w:val="00B021AA"/>
    <w:rsid w:val="00B02982"/>
    <w:rsid w:val="00B02A1A"/>
    <w:rsid w:val="00B02B16"/>
    <w:rsid w:val="00B0358C"/>
    <w:rsid w:val="00B03610"/>
    <w:rsid w:val="00B03814"/>
    <w:rsid w:val="00B039B1"/>
    <w:rsid w:val="00B03AC5"/>
    <w:rsid w:val="00B03BB1"/>
    <w:rsid w:val="00B03F4F"/>
    <w:rsid w:val="00B041E7"/>
    <w:rsid w:val="00B04705"/>
    <w:rsid w:val="00B0483A"/>
    <w:rsid w:val="00B04849"/>
    <w:rsid w:val="00B04F2B"/>
    <w:rsid w:val="00B0531B"/>
    <w:rsid w:val="00B05D94"/>
    <w:rsid w:val="00B062B0"/>
    <w:rsid w:val="00B06877"/>
    <w:rsid w:val="00B06C71"/>
    <w:rsid w:val="00B07304"/>
    <w:rsid w:val="00B0735B"/>
    <w:rsid w:val="00B07448"/>
    <w:rsid w:val="00B07ED5"/>
    <w:rsid w:val="00B07ED6"/>
    <w:rsid w:val="00B07F12"/>
    <w:rsid w:val="00B10341"/>
    <w:rsid w:val="00B103A8"/>
    <w:rsid w:val="00B1047E"/>
    <w:rsid w:val="00B10A28"/>
    <w:rsid w:val="00B10EF0"/>
    <w:rsid w:val="00B110AE"/>
    <w:rsid w:val="00B1141B"/>
    <w:rsid w:val="00B11F88"/>
    <w:rsid w:val="00B12045"/>
    <w:rsid w:val="00B1246B"/>
    <w:rsid w:val="00B12551"/>
    <w:rsid w:val="00B128C9"/>
    <w:rsid w:val="00B12EC5"/>
    <w:rsid w:val="00B13052"/>
    <w:rsid w:val="00B13124"/>
    <w:rsid w:val="00B13E96"/>
    <w:rsid w:val="00B13FC3"/>
    <w:rsid w:val="00B142B8"/>
    <w:rsid w:val="00B144FF"/>
    <w:rsid w:val="00B1455D"/>
    <w:rsid w:val="00B14666"/>
    <w:rsid w:val="00B1505A"/>
    <w:rsid w:val="00B154F9"/>
    <w:rsid w:val="00B155CA"/>
    <w:rsid w:val="00B15B95"/>
    <w:rsid w:val="00B15E2D"/>
    <w:rsid w:val="00B163E0"/>
    <w:rsid w:val="00B16CF2"/>
    <w:rsid w:val="00B171E1"/>
    <w:rsid w:val="00B17501"/>
    <w:rsid w:val="00B175A3"/>
    <w:rsid w:val="00B1761B"/>
    <w:rsid w:val="00B176DE"/>
    <w:rsid w:val="00B177A6"/>
    <w:rsid w:val="00B17B4B"/>
    <w:rsid w:val="00B2005B"/>
    <w:rsid w:val="00B20100"/>
    <w:rsid w:val="00B20741"/>
    <w:rsid w:val="00B207F4"/>
    <w:rsid w:val="00B208E3"/>
    <w:rsid w:val="00B2092A"/>
    <w:rsid w:val="00B20933"/>
    <w:rsid w:val="00B20E76"/>
    <w:rsid w:val="00B21582"/>
    <w:rsid w:val="00B219F8"/>
    <w:rsid w:val="00B221EB"/>
    <w:rsid w:val="00B2247F"/>
    <w:rsid w:val="00B2248B"/>
    <w:rsid w:val="00B224D1"/>
    <w:rsid w:val="00B22602"/>
    <w:rsid w:val="00B227D0"/>
    <w:rsid w:val="00B22A5D"/>
    <w:rsid w:val="00B23317"/>
    <w:rsid w:val="00B23A50"/>
    <w:rsid w:val="00B23AF9"/>
    <w:rsid w:val="00B23B9B"/>
    <w:rsid w:val="00B243A5"/>
    <w:rsid w:val="00B243F2"/>
    <w:rsid w:val="00B24646"/>
    <w:rsid w:val="00B246DA"/>
    <w:rsid w:val="00B2526C"/>
    <w:rsid w:val="00B254BE"/>
    <w:rsid w:val="00B254E2"/>
    <w:rsid w:val="00B25621"/>
    <w:rsid w:val="00B259DE"/>
    <w:rsid w:val="00B25F39"/>
    <w:rsid w:val="00B2604C"/>
    <w:rsid w:val="00B260BD"/>
    <w:rsid w:val="00B263CA"/>
    <w:rsid w:val="00B26662"/>
    <w:rsid w:val="00B2681E"/>
    <w:rsid w:val="00B26A63"/>
    <w:rsid w:val="00B2712E"/>
    <w:rsid w:val="00B273AB"/>
    <w:rsid w:val="00B276CE"/>
    <w:rsid w:val="00B27768"/>
    <w:rsid w:val="00B2778C"/>
    <w:rsid w:val="00B27841"/>
    <w:rsid w:val="00B278E4"/>
    <w:rsid w:val="00B27A3F"/>
    <w:rsid w:val="00B27C49"/>
    <w:rsid w:val="00B30354"/>
    <w:rsid w:val="00B30480"/>
    <w:rsid w:val="00B306F4"/>
    <w:rsid w:val="00B30CBC"/>
    <w:rsid w:val="00B31142"/>
    <w:rsid w:val="00B31E43"/>
    <w:rsid w:val="00B3203D"/>
    <w:rsid w:val="00B32133"/>
    <w:rsid w:val="00B322EC"/>
    <w:rsid w:val="00B323FA"/>
    <w:rsid w:val="00B329CE"/>
    <w:rsid w:val="00B32AE1"/>
    <w:rsid w:val="00B32B04"/>
    <w:rsid w:val="00B33879"/>
    <w:rsid w:val="00B33B1D"/>
    <w:rsid w:val="00B33BC4"/>
    <w:rsid w:val="00B3405F"/>
    <w:rsid w:val="00B340AE"/>
    <w:rsid w:val="00B34287"/>
    <w:rsid w:val="00B34469"/>
    <w:rsid w:val="00B344FB"/>
    <w:rsid w:val="00B345BA"/>
    <w:rsid w:val="00B345EF"/>
    <w:rsid w:val="00B34616"/>
    <w:rsid w:val="00B346FE"/>
    <w:rsid w:val="00B34719"/>
    <w:rsid w:val="00B3478C"/>
    <w:rsid w:val="00B34DD2"/>
    <w:rsid w:val="00B34F8F"/>
    <w:rsid w:val="00B3518A"/>
    <w:rsid w:val="00B3527A"/>
    <w:rsid w:val="00B35289"/>
    <w:rsid w:val="00B354A1"/>
    <w:rsid w:val="00B3562D"/>
    <w:rsid w:val="00B356FF"/>
    <w:rsid w:val="00B35F03"/>
    <w:rsid w:val="00B36014"/>
    <w:rsid w:val="00B363D8"/>
    <w:rsid w:val="00B36742"/>
    <w:rsid w:val="00B3674D"/>
    <w:rsid w:val="00B36B63"/>
    <w:rsid w:val="00B36D27"/>
    <w:rsid w:val="00B36F45"/>
    <w:rsid w:val="00B37182"/>
    <w:rsid w:val="00B37714"/>
    <w:rsid w:val="00B37AB5"/>
    <w:rsid w:val="00B37D49"/>
    <w:rsid w:val="00B37EBC"/>
    <w:rsid w:val="00B37F19"/>
    <w:rsid w:val="00B40200"/>
    <w:rsid w:val="00B403F5"/>
    <w:rsid w:val="00B404D2"/>
    <w:rsid w:val="00B406CA"/>
    <w:rsid w:val="00B40DB0"/>
    <w:rsid w:val="00B410B7"/>
    <w:rsid w:val="00B41106"/>
    <w:rsid w:val="00B41765"/>
    <w:rsid w:val="00B419C9"/>
    <w:rsid w:val="00B41B43"/>
    <w:rsid w:val="00B41B72"/>
    <w:rsid w:val="00B41D24"/>
    <w:rsid w:val="00B41F8D"/>
    <w:rsid w:val="00B42322"/>
    <w:rsid w:val="00B4271B"/>
    <w:rsid w:val="00B42753"/>
    <w:rsid w:val="00B42B17"/>
    <w:rsid w:val="00B42D00"/>
    <w:rsid w:val="00B42DA4"/>
    <w:rsid w:val="00B42F26"/>
    <w:rsid w:val="00B42F89"/>
    <w:rsid w:val="00B430D6"/>
    <w:rsid w:val="00B43463"/>
    <w:rsid w:val="00B4374B"/>
    <w:rsid w:val="00B439A8"/>
    <w:rsid w:val="00B43B79"/>
    <w:rsid w:val="00B43FB0"/>
    <w:rsid w:val="00B4437C"/>
    <w:rsid w:val="00B44A28"/>
    <w:rsid w:val="00B44BB1"/>
    <w:rsid w:val="00B44CFB"/>
    <w:rsid w:val="00B45384"/>
    <w:rsid w:val="00B45638"/>
    <w:rsid w:val="00B45792"/>
    <w:rsid w:val="00B45B67"/>
    <w:rsid w:val="00B45CD6"/>
    <w:rsid w:val="00B45D8B"/>
    <w:rsid w:val="00B45ECF"/>
    <w:rsid w:val="00B464A2"/>
    <w:rsid w:val="00B46547"/>
    <w:rsid w:val="00B468BC"/>
    <w:rsid w:val="00B46B16"/>
    <w:rsid w:val="00B46F84"/>
    <w:rsid w:val="00B47176"/>
    <w:rsid w:val="00B473A7"/>
    <w:rsid w:val="00B476C1"/>
    <w:rsid w:val="00B47807"/>
    <w:rsid w:val="00B47A55"/>
    <w:rsid w:val="00B47B29"/>
    <w:rsid w:val="00B50286"/>
    <w:rsid w:val="00B5062F"/>
    <w:rsid w:val="00B50AD2"/>
    <w:rsid w:val="00B50BBB"/>
    <w:rsid w:val="00B50BC9"/>
    <w:rsid w:val="00B50E1F"/>
    <w:rsid w:val="00B51372"/>
    <w:rsid w:val="00B513B6"/>
    <w:rsid w:val="00B51612"/>
    <w:rsid w:val="00B51D23"/>
    <w:rsid w:val="00B51FD9"/>
    <w:rsid w:val="00B520C0"/>
    <w:rsid w:val="00B522A6"/>
    <w:rsid w:val="00B52C71"/>
    <w:rsid w:val="00B52F79"/>
    <w:rsid w:val="00B532BA"/>
    <w:rsid w:val="00B533A6"/>
    <w:rsid w:val="00B535D5"/>
    <w:rsid w:val="00B53838"/>
    <w:rsid w:val="00B53ECA"/>
    <w:rsid w:val="00B54A0A"/>
    <w:rsid w:val="00B54A0E"/>
    <w:rsid w:val="00B54F7C"/>
    <w:rsid w:val="00B55172"/>
    <w:rsid w:val="00B5517A"/>
    <w:rsid w:val="00B551B2"/>
    <w:rsid w:val="00B55750"/>
    <w:rsid w:val="00B558D0"/>
    <w:rsid w:val="00B564F6"/>
    <w:rsid w:val="00B56C15"/>
    <w:rsid w:val="00B56D36"/>
    <w:rsid w:val="00B574C9"/>
    <w:rsid w:val="00B5753C"/>
    <w:rsid w:val="00B576D3"/>
    <w:rsid w:val="00B57783"/>
    <w:rsid w:val="00B57947"/>
    <w:rsid w:val="00B57AEA"/>
    <w:rsid w:val="00B57BD7"/>
    <w:rsid w:val="00B6035F"/>
    <w:rsid w:val="00B604AF"/>
    <w:rsid w:val="00B604D2"/>
    <w:rsid w:val="00B60619"/>
    <w:rsid w:val="00B6076F"/>
    <w:rsid w:val="00B607C9"/>
    <w:rsid w:val="00B60821"/>
    <w:rsid w:val="00B6091D"/>
    <w:rsid w:val="00B60C4F"/>
    <w:rsid w:val="00B60C58"/>
    <w:rsid w:val="00B60F95"/>
    <w:rsid w:val="00B6155D"/>
    <w:rsid w:val="00B615B8"/>
    <w:rsid w:val="00B616FE"/>
    <w:rsid w:val="00B61D8F"/>
    <w:rsid w:val="00B621CC"/>
    <w:rsid w:val="00B628B1"/>
    <w:rsid w:val="00B63112"/>
    <w:rsid w:val="00B631BB"/>
    <w:rsid w:val="00B63919"/>
    <w:rsid w:val="00B63920"/>
    <w:rsid w:val="00B63AC4"/>
    <w:rsid w:val="00B63BF7"/>
    <w:rsid w:val="00B64BF9"/>
    <w:rsid w:val="00B64DD4"/>
    <w:rsid w:val="00B6526C"/>
    <w:rsid w:val="00B65FE8"/>
    <w:rsid w:val="00B6652C"/>
    <w:rsid w:val="00B66668"/>
    <w:rsid w:val="00B66852"/>
    <w:rsid w:val="00B66FFE"/>
    <w:rsid w:val="00B67479"/>
    <w:rsid w:val="00B674A9"/>
    <w:rsid w:val="00B6762E"/>
    <w:rsid w:val="00B6780F"/>
    <w:rsid w:val="00B67B9B"/>
    <w:rsid w:val="00B67BED"/>
    <w:rsid w:val="00B67E33"/>
    <w:rsid w:val="00B67F84"/>
    <w:rsid w:val="00B70A4D"/>
    <w:rsid w:val="00B70A93"/>
    <w:rsid w:val="00B70C93"/>
    <w:rsid w:val="00B711C3"/>
    <w:rsid w:val="00B71546"/>
    <w:rsid w:val="00B7154E"/>
    <w:rsid w:val="00B71CD1"/>
    <w:rsid w:val="00B71F25"/>
    <w:rsid w:val="00B72002"/>
    <w:rsid w:val="00B725F8"/>
    <w:rsid w:val="00B727A0"/>
    <w:rsid w:val="00B729B4"/>
    <w:rsid w:val="00B72A25"/>
    <w:rsid w:val="00B72AEB"/>
    <w:rsid w:val="00B72EF6"/>
    <w:rsid w:val="00B72EFD"/>
    <w:rsid w:val="00B72F72"/>
    <w:rsid w:val="00B7303A"/>
    <w:rsid w:val="00B7316A"/>
    <w:rsid w:val="00B732A1"/>
    <w:rsid w:val="00B733B9"/>
    <w:rsid w:val="00B737D9"/>
    <w:rsid w:val="00B73A66"/>
    <w:rsid w:val="00B73CF3"/>
    <w:rsid w:val="00B73DDF"/>
    <w:rsid w:val="00B73F9D"/>
    <w:rsid w:val="00B74062"/>
    <w:rsid w:val="00B743DA"/>
    <w:rsid w:val="00B74589"/>
    <w:rsid w:val="00B74D34"/>
    <w:rsid w:val="00B7506D"/>
    <w:rsid w:val="00B75471"/>
    <w:rsid w:val="00B7547D"/>
    <w:rsid w:val="00B75591"/>
    <w:rsid w:val="00B75C14"/>
    <w:rsid w:val="00B75C38"/>
    <w:rsid w:val="00B75EDA"/>
    <w:rsid w:val="00B75FF2"/>
    <w:rsid w:val="00B7648E"/>
    <w:rsid w:val="00B7668B"/>
    <w:rsid w:val="00B766ED"/>
    <w:rsid w:val="00B76940"/>
    <w:rsid w:val="00B76A12"/>
    <w:rsid w:val="00B76D39"/>
    <w:rsid w:val="00B76EDD"/>
    <w:rsid w:val="00B76F16"/>
    <w:rsid w:val="00B77140"/>
    <w:rsid w:val="00B7748E"/>
    <w:rsid w:val="00B77538"/>
    <w:rsid w:val="00B80391"/>
    <w:rsid w:val="00B8074E"/>
    <w:rsid w:val="00B8169C"/>
    <w:rsid w:val="00B82012"/>
    <w:rsid w:val="00B829CD"/>
    <w:rsid w:val="00B82BBF"/>
    <w:rsid w:val="00B82D35"/>
    <w:rsid w:val="00B82D4A"/>
    <w:rsid w:val="00B82DF3"/>
    <w:rsid w:val="00B82FC4"/>
    <w:rsid w:val="00B830D8"/>
    <w:rsid w:val="00B83442"/>
    <w:rsid w:val="00B83853"/>
    <w:rsid w:val="00B83925"/>
    <w:rsid w:val="00B839C5"/>
    <w:rsid w:val="00B83D48"/>
    <w:rsid w:val="00B83DD1"/>
    <w:rsid w:val="00B83E8D"/>
    <w:rsid w:val="00B843F4"/>
    <w:rsid w:val="00B8455C"/>
    <w:rsid w:val="00B845DD"/>
    <w:rsid w:val="00B846C0"/>
    <w:rsid w:val="00B846DF"/>
    <w:rsid w:val="00B847EA"/>
    <w:rsid w:val="00B848E2"/>
    <w:rsid w:val="00B84986"/>
    <w:rsid w:val="00B84AEA"/>
    <w:rsid w:val="00B850E6"/>
    <w:rsid w:val="00B850FC"/>
    <w:rsid w:val="00B85385"/>
    <w:rsid w:val="00B85F07"/>
    <w:rsid w:val="00B86525"/>
    <w:rsid w:val="00B86644"/>
    <w:rsid w:val="00B86847"/>
    <w:rsid w:val="00B86C66"/>
    <w:rsid w:val="00B87030"/>
    <w:rsid w:val="00B878E4"/>
    <w:rsid w:val="00B879B9"/>
    <w:rsid w:val="00B900DC"/>
    <w:rsid w:val="00B90350"/>
    <w:rsid w:val="00B903C2"/>
    <w:rsid w:val="00B905D9"/>
    <w:rsid w:val="00B905FB"/>
    <w:rsid w:val="00B907D6"/>
    <w:rsid w:val="00B90C1F"/>
    <w:rsid w:val="00B90D25"/>
    <w:rsid w:val="00B90E30"/>
    <w:rsid w:val="00B90E6D"/>
    <w:rsid w:val="00B91035"/>
    <w:rsid w:val="00B91305"/>
    <w:rsid w:val="00B9157F"/>
    <w:rsid w:val="00B91678"/>
    <w:rsid w:val="00B91D13"/>
    <w:rsid w:val="00B92741"/>
    <w:rsid w:val="00B92849"/>
    <w:rsid w:val="00B92A45"/>
    <w:rsid w:val="00B931FB"/>
    <w:rsid w:val="00B936ED"/>
    <w:rsid w:val="00B93BA2"/>
    <w:rsid w:val="00B940C5"/>
    <w:rsid w:val="00B941DE"/>
    <w:rsid w:val="00B9463B"/>
    <w:rsid w:val="00B94741"/>
    <w:rsid w:val="00B94817"/>
    <w:rsid w:val="00B948DF"/>
    <w:rsid w:val="00B94BB8"/>
    <w:rsid w:val="00B94E49"/>
    <w:rsid w:val="00B94F89"/>
    <w:rsid w:val="00B95694"/>
    <w:rsid w:val="00B96131"/>
    <w:rsid w:val="00B964C7"/>
    <w:rsid w:val="00B96888"/>
    <w:rsid w:val="00B96A23"/>
    <w:rsid w:val="00B96AA8"/>
    <w:rsid w:val="00B96C6C"/>
    <w:rsid w:val="00B971D5"/>
    <w:rsid w:val="00B97954"/>
    <w:rsid w:val="00B97B00"/>
    <w:rsid w:val="00B97C8C"/>
    <w:rsid w:val="00B97DAF"/>
    <w:rsid w:val="00BA0116"/>
    <w:rsid w:val="00BA013A"/>
    <w:rsid w:val="00BA0375"/>
    <w:rsid w:val="00BA07E6"/>
    <w:rsid w:val="00BA0FA6"/>
    <w:rsid w:val="00BA1025"/>
    <w:rsid w:val="00BA1049"/>
    <w:rsid w:val="00BA1442"/>
    <w:rsid w:val="00BA145C"/>
    <w:rsid w:val="00BA154B"/>
    <w:rsid w:val="00BA177B"/>
    <w:rsid w:val="00BA18D6"/>
    <w:rsid w:val="00BA1A49"/>
    <w:rsid w:val="00BA1A6E"/>
    <w:rsid w:val="00BA1E99"/>
    <w:rsid w:val="00BA2068"/>
    <w:rsid w:val="00BA20AB"/>
    <w:rsid w:val="00BA291D"/>
    <w:rsid w:val="00BA293D"/>
    <w:rsid w:val="00BA295F"/>
    <w:rsid w:val="00BA2996"/>
    <w:rsid w:val="00BA2F78"/>
    <w:rsid w:val="00BA33D1"/>
    <w:rsid w:val="00BA36AB"/>
    <w:rsid w:val="00BA3738"/>
    <w:rsid w:val="00BA3C87"/>
    <w:rsid w:val="00BA3C94"/>
    <w:rsid w:val="00BA3F84"/>
    <w:rsid w:val="00BA42AF"/>
    <w:rsid w:val="00BA45AE"/>
    <w:rsid w:val="00BA4C14"/>
    <w:rsid w:val="00BA4C99"/>
    <w:rsid w:val="00BA4DBB"/>
    <w:rsid w:val="00BA58CB"/>
    <w:rsid w:val="00BA5F08"/>
    <w:rsid w:val="00BA5FBE"/>
    <w:rsid w:val="00BA5FC8"/>
    <w:rsid w:val="00BA6077"/>
    <w:rsid w:val="00BA626C"/>
    <w:rsid w:val="00BA62F0"/>
    <w:rsid w:val="00BA659E"/>
    <w:rsid w:val="00BA6A66"/>
    <w:rsid w:val="00BA71DE"/>
    <w:rsid w:val="00BA7D13"/>
    <w:rsid w:val="00BB00E3"/>
    <w:rsid w:val="00BB03CD"/>
    <w:rsid w:val="00BB0489"/>
    <w:rsid w:val="00BB05A9"/>
    <w:rsid w:val="00BB07B3"/>
    <w:rsid w:val="00BB0DE2"/>
    <w:rsid w:val="00BB11E9"/>
    <w:rsid w:val="00BB1658"/>
    <w:rsid w:val="00BB1E2C"/>
    <w:rsid w:val="00BB2505"/>
    <w:rsid w:val="00BB25EB"/>
    <w:rsid w:val="00BB28D4"/>
    <w:rsid w:val="00BB2F92"/>
    <w:rsid w:val="00BB395D"/>
    <w:rsid w:val="00BB3B0E"/>
    <w:rsid w:val="00BB4335"/>
    <w:rsid w:val="00BB43B6"/>
    <w:rsid w:val="00BB4434"/>
    <w:rsid w:val="00BB44DE"/>
    <w:rsid w:val="00BB4C72"/>
    <w:rsid w:val="00BB4CFD"/>
    <w:rsid w:val="00BB5283"/>
    <w:rsid w:val="00BB52AD"/>
    <w:rsid w:val="00BB52F3"/>
    <w:rsid w:val="00BB56B2"/>
    <w:rsid w:val="00BB5BE5"/>
    <w:rsid w:val="00BB61C8"/>
    <w:rsid w:val="00BB6235"/>
    <w:rsid w:val="00BB6825"/>
    <w:rsid w:val="00BB683A"/>
    <w:rsid w:val="00BB6C96"/>
    <w:rsid w:val="00BB7045"/>
    <w:rsid w:val="00BB751A"/>
    <w:rsid w:val="00BB769B"/>
    <w:rsid w:val="00BB7731"/>
    <w:rsid w:val="00BB773E"/>
    <w:rsid w:val="00BB7950"/>
    <w:rsid w:val="00BB7D29"/>
    <w:rsid w:val="00BC01DC"/>
    <w:rsid w:val="00BC0491"/>
    <w:rsid w:val="00BC05B4"/>
    <w:rsid w:val="00BC071D"/>
    <w:rsid w:val="00BC0FCD"/>
    <w:rsid w:val="00BC11EB"/>
    <w:rsid w:val="00BC139C"/>
    <w:rsid w:val="00BC153C"/>
    <w:rsid w:val="00BC16E0"/>
    <w:rsid w:val="00BC1856"/>
    <w:rsid w:val="00BC1DFC"/>
    <w:rsid w:val="00BC2179"/>
    <w:rsid w:val="00BC2766"/>
    <w:rsid w:val="00BC2870"/>
    <w:rsid w:val="00BC29D8"/>
    <w:rsid w:val="00BC2D84"/>
    <w:rsid w:val="00BC2F58"/>
    <w:rsid w:val="00BC3490"/>
    <w:rsid w:val="00BC3812"/>
    <w:rsid w:val="00BC3905"/>
    <w:rsid w:val="00BC3B4B"/>
    <w:rsid w:val="00BC42B9"/>
    <w:rsid w:val="00BC4838"/>
    <w:rsid w:val="00BC4B61"/>
    <w:rsid w:val="00BC4EA2"/>
    <w:rsid w:val="00BC529A"/>
    <w:rsid w:val="00BC57E3"/>
    <w:rsid w:val="00BC5E8C"/>
    <w:rsid w:val="00BC5F6C"/>
    <w:rsid w:val="00BC6222"/>
    <w:rsid w:val="00BC6720"/>
    <w:rsid w:val="00BC6A7F"/>
    <w:rsid w:val="00BC703C"/>
    <w:rsid w:val="00BC7239"/>
    <w:rsid w:val="00BC7644"/>
    <w:rsid w:val="00BC79B9"/>
    <w:rsid w:val="00BC7B46"/>
    <w:rsid w:val="00BC7CF0"/>
    <w:rsid w:val="00BD0012"/>
    <w:rsid w:val="00BD06C1"/>
    <w:rsid w:val="00BD1292"/>
    <w:rsid w:val="00BD14D1"/>
    <w:rsid w:val="00BD187D"/>
    <w:rsid w:val="00BD1AC5"/>
    <w:rsid w:val="00BD1ACB"/>
    <w:rsid w:val="00BD1E6F"/>
    <w:rsid w:val="00BD1ED6"/>
    <w:rsid w:val="00BD2269"/>
    <w:rsid w:val="00BD2371"/>
    <w:rsid w:val="00BD23AB"/>
    <w:rsid w:val="00BD31FF"/>
    <w:rsid w:val="00BD340D"/>
    <w:rsid w:val="00BD3847"/>
    <w:rsid w:val="00BD389A"/>
    <w:rsid w:val="00BD3B7B"/>
    <w:rsid w:val="00BD3C15"/>
    <w:rsid w:val="00BD43CF"/>
    <w:rsid w:val="00BD4437"/>
    <w:rsid w:val="00BD461D"/>
    <w:rsid w:val="00BD4765"/>
    <w:rsid w:val="00BD4795"/>
    <w:rsid w:val="00BD47B1"/>
    <w:rsid w:val="00BD4972"/>
    <w:rsid w:val="00BD4975"/>
    <w:rsid w:val="00BD49E5"/>
    <w:rsid w:val="00BD4A29"/>
    <w:rsid w:val="00BD4BF7"/>
    <w:rsid w:val="00BD50F3"/>
    <w:rsid w:val="00BD52BC"/>
    <w:rsid w:val="00BD590D"/>
    <w:rsid w:val="00BD59AC"/>
    <w:rsid w:val="00BD6C79"/>
    <w:rsid w:val="00BD6D73"/>
    <w:rsid w:val="00BD6E65"/>
    <w:rsid w:val="00BD71C1"/>
    <w:rsid w:val="00BD7337"/>
    <w:rsid w:val="00BD792F"/>
    <w:rsid w:val="00BD7B96"/>
    <w:rsid w:val="00BD7C89"/>
    <w:rsid w:val="00BD7F6A"/>
    <w:rsid w:val="00BE03F7"/>
    <w:rsid w:val="00BE05D3"/>
    <w:rsid w:val="00BE09C6"/>
    <w:rsid w:val="00BE0E0A"/>
    <w:rsid w:val="00BE1274"/>
    <w:rsid w:val="00BE14FE"/>
    <w:rsid w:val="00BE1541"/>
    <w:rsid w:val="00BE17F3"/>
    <w:rsid w:val="00BE2052"/>
    <w:rsid w:val="00BE20D3"/>
    <w:rsid w:val="00BE290C"/>
    <w:rsid w:val="00BE2CEE"/>
    <w:rsid w:val="00BE2E34"/>
    <w:rsid w:val="00BE2F3E"/>
    <w:rsid w:val="00BE2F72"/>
    <w:rsid w:val="00BE30C2"/>
    <w:rsid w:val="00BE34AB"/>
    <w:rsid w:val="00BE35F8"/>
    <w:rsid w:val="00BE3657"/>
    <w:rsid w:val="00BE38D8"/>
    <w:rsid w:val="00BE39D5"/>
    <w:rsid w:val="00BE3AA8"/>
    <w:rsid w:val="00BE3C39"/>
    <w:rsid w:val="00BE3EDF"/>
    <w:rsid w:val="00BE4241"/>
    <w:rsid w:val="00BE43C1"/>
    <w:rsid w:val="00BE43C5"/>
    <w:rsid w:val="00BE4AF1"/>
    <w:rsid w:val="00BE50D6"/>
    <w:rsid w:val="00BE51E1"/>
    <w:rsid w:val="00BE523F"/>
    <w:rsid w:val="00BE5810"/>
    <w:rsid w:val="00BE5FB6"/>
    <w:rsid w:val="00BE632C"/>
    <w:rsid w:val="00BE6407"/>
    <w:rsid w:val="00BE65D0"/>
    <w:rsid w:val="00BE66CB"/>
    <w:rsid w:val="00BE674F"/>
    <w:rsid w:val="00BE6A74"/>
    <w:rsid w:val="00BE6EA5"/>
    <w:rsid w:val="00BE6F36"/>
    <w:rsid w:val="00BE7CA5"/>
    <w:rsid w:val="00BF001D"/>
    <w:rsid w:val="00BF11F3"/>
    <w:rsid w:val="00BF1A8A"/>
    <w:rsid w:val="00BF202E"/>
    <w:rsid w:val="00BF2330"/>
    <w:rsid w:val="00BF2506"/>
    <w:rsid w:val="00BF253A"/>
    <w:rsid w:val="00BF265E"/>
    <w:rsid w:val="00BF27F1"/>
    <w:rsid w:val="00BF2DB3"/>
    <w:rsid w:val="00BF3350"/>
    <w:rsid w:val="00BF34DC"/>
    <w:rsid w:val="00BF367A"/>
    <w:rsid w:val="00BF38A7"/>
    <w:rsid w:val="00BF399D"/>
    <w:rsid w:val="00BF39D7"/>
    <w:rsid w:val="00BF3B4A"/>
    <w:rsid w:val="00BF3BF7"/>
    <w:rsid w:val="00BF3E14"/>
    <w:rsid w:val="00BF3EEE"/>
    <w:rsid w:val="00BF404A"/>
    <w:rsid w:val="00BF4472"/>
    <w:rsid w:val="00BF451C"/>
    <w:rsid w:val="00BF4B02"/>
    <w:rsid w:val="00BF4CCC"/>
    <w:rsid w:val="00BF4E99"/>
    <w:rsid w:val="00BF4FF9"/>
    <w:rsid w:val="00BF521E"/>
    <w:rsid w:val="00BF54D1"/>
    <w:rsid w:val="00BF591D"/>
    <w:rsid w:val="00BF6441"/>
    <w:rsid w:val="00BF65F3"/>
    <w:rsid w:val="00BF66C5"/>
    <w:rsid w:val="00BF68DF"/>
    <w:rsid w:val="00BF6909"/>
    <w:rsid w:val="00BF6924"/>
    <w:rsid w:val="00BF6A5A"/>
    <w:rsid w:val="00BF6C4B"/>
    <w:rsid w:val="00BF6CFD"/>
    <w:rsid w:val="00BF7003"/>
    <w:rsid w:val="00BF701E"/>
    <w:rsid w:val="00BF766D"/>
    <w:rsid w:val="00BF788E"/>
    <w:rsid w:val="00BF791F"/>
    <w:rsid w:val="00BF7D80"/>
    <w:rsid w:val="00BF7F76"/>
    <w:rsid w:val="00BF7FC4"/>
    <w:rsid w:val="00C00045"/>
    <w:rsid w:val="00C004D1"/>
    <w:rsid w:val="00C005FA"/>
    <w:rsid w:val="00C00791"/>
    <w:rsid w:val="00C00E8C"/>
    <w:rsid w:val="00C00FE2"/>
    <w:rsid w:val="00C010F6"/>
    <w:rsid w:val="00C01118"/>
    <w:rsid w:val="00C012BC"/>
    <w:rsid w:val="00C015FA"/>
    <w:rsid w:val="00C018D6"/>
    <w:rsid w:val="00C02043"/>
    <w:rsid w:val="00C0271F"/>
    <w:rsid w:val="00C0281F"/>
    <w:rsid w:val="00C02C3C"/>
    <w:rsid w:val="00C02C7B"/>
    <w:rsid w:val="00C02D02"/>
    <w:rsid w:val="00C02F1B"/>
    <w:rsid w:val="00C03214"/>
    <w:rsid w:val="00C0349A"/>
    <w:rsid w:val="00C036C5"/>
    <w:rsid w:val="00C038AB"/>
    <w:rsid w:val="00C03F3D"/>
    <w:rsid w:val="00C0410C"/>
    <w:rsid w:val="00C042BF"/>
    <w:rsid w:val="00C04347"/>
    <w:rsid w:val="00C04788"/>
    <w:rsid w:val="00C04A18"/>
    <w:rsid w:val="00C04C9D"/>
    <w:rsid w:val="00C04D7B"/>
    <w:rsid w:val="00C053F2"/>
    <w:rsid w:val="00C05522"/>
    <w:rsid w:val="00C05788"/>
    <w:rsid w:val="00C058DC"/>
    <w:rsid w:val="00C0596A"/>
    <w:rsid w:val="00C05AC1"/>
    <w:rsid w:val="00C061CA"/>
    <w:rsid w:val="00C062E5"/>
    <w:rsid w:val="00C066F9"/>
    <w:rsid w:val="00C06908"/>
    <w:rsid w:val="00C06B4D"/>
    <w:rsid w:val="00C06C32"/>
    <w:rsid w:val="00C06C4D"/>
    <w:rsid w:val="00C06C7A"/>
    <w:rsid w:val="00C06C88"/>
    <w:rsid w:val="00C070CD"/>
    <w:rsid w:val="00C072CD"/>
    <w:rsid w:val="00C0739B"/>
    <w:rsid w:val="00C0762D"/>
    <w:rsid w:val="00C07732"/>
    <w:rsid w:val="00C07B72"/>
    <w:rsid w:val="00C07BAF"/>
    <w:rsid w:val="00C106BC"/>
    <w:rsid w:val="00C106EC"/>
    <w:rsid w:val="00C107BA"/>
    <w:rsid w:val="00C10F71"/>
    <w:rsid w:val="00C110ED"/>
    <w:rsid w:val="00C11185"/>
    <w:rsid w:val="00C11252"/>
    <w:rsid w:val="00C113C9"/>
    <w:rsid w:val="00C11827"/>
    <w:rsid w:val="00C11B08"/>
    <w:rsid w:val="00C11B7F"/>
    <w:rsid w:val="00C11C19"/>
    <w:rsid w:val="00C12434"/>
    <w:rsid w:val="00C12F89"/>
    <w:rsid w:val="00C132E5"/>
    <w:rsid w:val="00C133BC"/>
    <w:rsid w:val="00C13519"/>
    <w:rsid w:val="00C13593"/>
    <w:rsid w:val="00C135BA"/>
    <w:rsid w:val="00C13627"/>
    <w:rsid w:val="00C13A1F"/>
    <w:rsid w:val="00C13AC2"/>
    <w:rsid w:val="00C13B43"/>
    <w:rsid w:val="00C13BCE"/>
    <w:rsid w:val="00C146E2"/>
    <w:rsid w:val="00C14A3F"/>
    <w:rsid w:val="00C14DF7"/>
    <w:rsid w:val="00C14F79"/>
    <w:rsid w:val="00C1511E"/>
    <w:rsid w:val="00C15161"/>
    <w:rsid w:val="00C1519F"/>
    <w:rsid w:val="00C1526B"/>
    <w:rsid w:val="00C15716"/>
    <w:rsid w:val="00C15C45"/>
    <w:rsid w:val="00C15D1D"/>
    <w:rsid w:val="00C15E06"/>
    <w:rsid w:val="00C1609C"/>
    <w:rsid w:val="00C16298"/>
    <w:rsid w:val="00C165E6"/>
    <w:rsid w:val="00C16683"/>
    <w:rsid w:val="00C16A0B"/>
    <w:rsid w:val="00C172C6"/>
    <w:rsid w:val="00C1790B"/>
    <w:rsid w:val="00C17A0B"/>
    <w:rsid w:val="00C17B62"/>
    <w:rsid w:val="00C17BEA"/>
    <w:rsid w:val="00C17F8E"/>
    <w:rsid w:val="00C2007A"/>
    <w:rsid w:val="00C2073D"/>
    <w:rsid w:val="00C20A23"/>
    <w:rsid w:val="00C20F0D"/>
    <w:rsid w:val="00C21049"/>
    <w:rsid w:val="00C21167"/>
    <w:rsid w:val="00C21245"/>
    <w:rsid w:val="00C21398"/>
    <w:rsid w:val="00C21615"/>
    <w:rsid w:val="00C217FC"/>
    <w:rsid w:val="00C219C8"/>
    <w:rsid w:val="00C21DEA"/>
    <w:rsid w:val="00C22034"/>
    <w:rsid w:val="00C222E4"/>
    <w:rsid w:val="00C2361E"/>
    <w:rsid w:val="00C237B9"/>
    <w:rsid w:val="00C23825"/>
    <w:rsid w:val="00C23C77"/>
    <w:rsid w:val="00C23F44"/>
    <w:rsid w:val="00C23FA8"/>
    <w:rsid w:val="00C24001"/>
    <w:rsid w:val="00C24244"/>
    <w:rsid w:val="00C24407"/>
    <w:rsid w:val="00C249F8"/>
    <w:rsid w:val="00C24C97"/>
    <w:rsid w:val="00C24E9D"/>
    <w:rsid w:val="00C24F29"/>
    <w:rsid w:val="00C250A9"/>
    <w:rsid w:val="00C255C9"/>
    <w:rsid w:val="00C25853"/>
    <w:rsid w:val="00C25A5B"/>
    <w:rsid w:val="00C25EDA"/>
    <w:rsid w:val="00C260DD"/>
    <w:rsid w:val="00C26679"/>
    <w:rsid w:val="00C2668D"/>
    <w:rsid w:val="00C2668E"/>
    <w:rsid w:val="00C267D4"/>
    <w:rsid w:val="00C26965"/>
    <w:rsid w:val="00C26FB0"/>
    <w:rsid w:val="00C27129"/>
    <w:rsid w:val="00C277E7"/>
    <w:rsid w:val="00C27C30"/>
    <w:rsid w:val="00C27EA2"/>
    <w:rsid w:val="00C27ECB"/>
    <w:rsid w:val="00C3003F"/>
    <w:rsid w:val="00C3032C"/>
    <w:rsid w:val="00C307AB"/>
    <w:rsid w:val="00C30B19"/>
    <w:rsid w:val="00C30B27"/>
    <w:rsid w:val="00C30CA4"/>
    <w:rsid w:val="00C30D0D"/>
    <w:rsid w:val="00C30F6D"/>
    <w:rsid w:val="00C31405"/>
    <w:rsid w:val="00C3140D"/>
    <w:rsid w:val="00C315BE"/>
    <w:rsid w:val="00C31762"/>
    <w:rsid w:val="00C32050"/>
    <w:rsid w:val="00C32062"/>
    <w:rsid w:val="00C3286E"/>
    <w:rsid w:val="00C32BC4"/>
    <w:rsid w:val="00C32E03"/>
    <w:rsid w:val="00C32F56"/>
    <w:rsid w:val="00C33115"/>
    <w:rsid w:val="00C3319C"/>
    <w:rsid w:val="00C333D4"/>
    <w:rsid w:val="00C3365B"/>
    <w:rsid w:val="00C3368E"/>
    <w:rsid w:val="00C33A05"/>
    <w:rsid w:val="00C33D5D"/>
    <w:rsid w:val="00C342C4"/>
    <w:rsid w:val="00C34842"/>
    <w:rsid w:val="00C34AC8"/>
    <w:rsid w:val="00C34D48"/>
    <w:rsid w:val="00C350FE"/>
    <w:rsid w:val="00C35318"/>
    <w:rsid w:val="00C35385"/>
    <w:rsid w:val="00C35398"/>
    <w:rsid w:val="00C355F0"/>
    <w:rsid w:val="00C3560F"/>
    <w:rsid w:val="00C356E1"/>
    <w:rsid w:val="00C35C6F"/>
    <w:rsid w:val="00C3643C"/>
    <w:rsid w:val="00C365B3"/>
    <w:rsid w:val="00C36C48"/>
    <w:rsid w:val="00C36D74"/>
    <w:rsid w:val="00C36DC7"/>
    <w:rsid w:val="00C372EC"/>
    <w:rsid w:val="00C37333"/>
    <w:rsid w:val="00C37376"/>
    <w:rsid w:val="00C3762C"/>
    <w:rsid w:val="00C37A1B"/>
    <w:rsid w:val="00C37B2E"/>
    <w:rsid w:val="00C37D9E"/>
    <w:rsid w:val="00C37E09"/>
    <w:rsid w:val="00C37EAF"/>
    <w:rsid w:val="00C4011A"/>
    <w:rsid w:val="00C4012C"/>
    <w:rsid w:val="00C4065B"/>
    <w:rsid w:val="00C4074B"/>
    <w:rsid w:val="00C40B3F"/>
    <w:rsid w:val="00C40E9C"/>
    <w:rsid w:val="00C41106"/>
    <w:rsid w:val="00C41462"/>
    <w:rsid w:val="00C4174C"/>
    <w:rsid w:val="00C41903"/>
    <w:rsid w:val="00C41BD7"/>
    <w:rsid w:val="00C4232D"/>
    <w:rsid w:val="00C42335"/>
    <w:rsid w:val="00C4242B"/>
    <w:rsid w:val="00C42463"/>
    <w:rsid w:val="00C424C9"/>
    <w:rsid w:val="00C427F9"/>
    <w:rsid w:val="00C42B8D"/>
    <w:rsid w:val="00C4305C"/>
    <w:rsid w:val="00C43267"/>
    <w:rsid w:val="00C432FB"/>
    <w:rsid w:val="00C43453"/>
    <w:rsid w:val="00C43530"/>
    <w:rsid w:val="00C43D79"/>
    <w:rsid w:val="00C44245"/>
    <w:rsid w:val="00C4454B"/>
    <w:rsid w:val="00C44647"/>
    <w:rsid w:val="00C4468B"/>
    <w:rsid w:val="00C44A4D"/>
    <w:rsid w:val="00C44DEE"/>
    <w:rsid w:val="00C45004"/>
    <w:rsid w:val="00C454B1"/>
    <w:rsid w:val="00C45905"/>
    <w:rsid w:val="00C45E9B"/>
    <w:rsid w:val="00C461CA"/>
    <w:rsid w:val="00C46775"/>
    <w:rsid w:val="00C46C39"/>
    <w:rsid w:val="00C47292"/>
    <w:rsid w:val="00C4774B"/>
    <w:rsid w:val="00C47F1F"/>
    <w:rsid w:val="00C50080"/>
    <w:rsid w:val="00C50A9C"/>
    <w:rsid w:val="00C50FA3"/>
    <w:rsid w:val="00C510CC"/>
    <w:rsid w:val="00C51111"/>
    <w:rsid w:val="00C51396"/>
    <w:rsid w:val="00C5159E"/>
    <w:rsid w:val="00C51AD6"/>
    <w:rsid w:val="00C51C79"/>
    <w:rsid w:val="00C51F21"/>
    <w:rsid w:val="00C5237F"/>
    <w:rsid w:val="00C52A88"/>
    <w:rsid w:val="00C52BF0"/>
    <w:rsid w:val="00C52C33"/>
    <w:rsid w:val="00C52D23"/>
    <w:rsid w:val="00C52E34"/>
    <w:rsid w:val="00C52E40"/>
    <w:rsid w:val="00C52F48"/>
    <w:rsid w:val="00C53230"/>
    <w:rsid w:val="00C532D5"/>
    <w:rsid w:val="00C53388"/>
    <w:rsid w:val="00C53439"/>
    <w:rsid w:val="00C535D6"/>
    <w:rsid w:val="00C53758"/>
    <w:rsid w:val="00C53795"/>
    <w:rsid w:val="00C53D52"/>
    <w:rsid w:val="00C53D59"/>
    <w:rsid w:val="00C53F7D"/>
    <w:rsid w:val="00C542EF"/>
    <w:rsid w:val="00C54AF3"/>
    <w:rsid w:val="00C54EC5"/>
    <w:rsid w:val="00C553CC"/>
    <w:rsid w:val="00C5561C"/>
    <w:rsid w:val="00C565C5"/>
    <w:rsid w:val="00C56A60"/>
    <w:rsid w:val="00C56B23"/>
    <w:rsid w:val="00C56B30"/>
    <w:rsid w:val="00C56C58"/>
    <w:rsid w:val="00C56E92"/>
    <w:rsid w:val="00C56EE3"/>
    <w:rsid w:val="00C56F8D"/>
    <w:rsid w:val="00C56FAA"/>
    <w:rsid w:val="00C570E5"/>
    <w:rsid w:val="00C57151"/>
    <w:rsid w:val="00C57CCC"/>
    <w:rsid w:val="00C57D90"/>
    <w:rsid w:val="00C57F1B"/>
    <w:rsid w:val="00C60936"/>
    <w:rsid w:val="00C60CC8"/>
    <w:rsid w:val="00C611E9"/>
    <w:rsid w:val="00C61418"/>
    <w:rsid w:val="00C61C48"/>
    <w:rsid w:val="00C61F50"/>
    <w:rsid w:val="00C6275B"/>
    <w:rsid w:val="00C62AB3"/>
    <w:rsid w:val="00C62E0B"/>
    <w:rsid w:val="00C63221"/>
    <w:rsid w:val="00C63652"/>
    <w:rsid w:val="00C636A8"/>
    <w:rsid w:val="00C636E0"/>
    <w:rsid w:val="00C644CE"/>
    <w:rsid w:val="00C64601"/>
    <w:rsid w:val="00C6472C"/>
    <w:rsid w:val="00C64832"/>
    <w:rsid w:val="00C649AF"/>
    <w:rsid w:val="00C64B1F"/>
    <w:rsid w:val="00C64D8B"/>
    <w:rsid w:val="00C64DAD"/>
    <w:rsid w:val="00C653C3"/>
    <w:rsid w:val="00C65A16"/>
    <w:rsid w:val="00C6643A"/>
    <w:rsid w:val="00C666DD"/>
    <w:rsid w:val="00C668F2"/>
    <w:rsid w:val="00C66C77"/>
    <w:rsid w:val="00C66CDE"/>
    <w:rsid w:val="00C66D5E"/>
    <w:rsid w:val="00C66E14"/>
    <w:rsid w:val="00C6732F"/>
    <w:rsid w:val="00C6733D"/>
    <w:rsid w:val="00C67346"/>
    <w:rsid w:val="00C67A73"/>
    <w:rsid w:val="00C67B8D"/>
    <w:rsid w:val="00C7053D"/>
    <w:rsid w:val="00C70655"/>
    <w:rsid w:val="00C70839"/>
    <w:rsid w:val="00C708EB"/>
    <w:rsid w:val="00C709FD"/>
    <w:rsid w:val="00C71635"/>
    <w:rsid w:val="00C71935"/>
    <w:rsid w:val="00C71AFF"/>
    <w:rsid w:val="00C71B64"/>
    <w:rsid w:val="00C71F22"/>
    <w:rsid w:val="00C72264"/>
    <w:rsid w:val="00C72459"/>
    <w:rsid w:val="00C73369"/>
    <w:rsid w:val="00C73673"/>
    <w:rsid w:val="00C74010"/>
    <w:rsid w:val="00C74578"/>
    <w:rsid w:val="00C749FA"/>
    <w:rsid w:val="00C74A49"/>
    <w:rsid w:val="00C74B02"/>
    <w:rsid w:val="00C74CFA"/>
    <w:rsid w:val="00C74EA5"/>
    <w:rsid w:val="00C74F09"/>
    <w:rsid w:val="00C75E6E"/>
    <w:rsid w:val="00C762C2"/>
    <w:rsid w:val="00C7648C"/>
    <w:rsid w:val="00C76D02"/>
    <w:rsid w:val="00C76E79"/>
    <w:rsid w:val="00C76F3D"/>
    <w:rsid w:val="00C76FDB"/>
    <w:rsid w:val="00C77211"/>
    <w:rsid w:val="00C772DF"/>
    <w:rsid w:val="00C77350"/>
    <w:rsid w:val="00C77600"/>
    <w:rsid w:val="00C7776B"/>
    <w:rsid w:val="00C77D95"/>
    <w:rsid w:val="00C77E46"/>
    <w:rsid w:val="00C80430"/>
    <w:rsid w:val="00C806B2"/>
    <w:rsid w:val="00C806B4"/>
    <w:rsid w:val="00C80DDF"/>
    <w:rsid w:val="00C80FAE"/>
    <w:rsid w:val="00C81075"/>
    <w:rsid w:val="00C8137F"/>
    <w:rsid w:val="00C815E8"/>
    <w:rsid w:val="00C81626"/>
    <w:rsid w:val="00C81643"/>
    <w:rsid w:val="00C8186F"/>
    <w:rsid w:val="00C818C1"/>
    <w:rsid w:val="00C81951"/>
    <w:rsid w:val="00C81E48"/>
    <w:rsid w:val="00C82106"/>
    <w:rsid w:val="00C821FA"/>
    <w:rsid w:val="00C829C6"/>
    <w:rsid w:val="00C82A4B"/>
    <w:rsid w:val="00C82B65"/>
    <w:rsid w:val="00C82B68"/>
    <w:rsid w:val="00C82BFB"/>
    <w:rsid w:val="00C8308F"/>
    <w:rsid w:val="00C8311D"/>
    <w:rsid w:val="00C837A2"/>
    <w:rsid w:val="00C83904"/>
    <w:rsid w:val="00C83B96"/>
    <w:rsid w:val="00C83D01"/>
    <w:rsid w:val="00C83DC0"/>
    <w:rsid w:val="00C84587"/>
    <w:rsid w:val="00C84696"/>
    <w:rsid w:val="00C84A24"/>
    <w:rsid w:val="00C84B34"/>
    <w:rsid w:val="00C85310"/>
    <w:rsid w:val="00C85464"/>
    <w:rsid w:val="00C856AE"/>
    <w:rsid w:val="00C857C7"/>
    <w:rsid w:val="00C859C2"/>
    <w:rsid w:val="00C85C18"/>
    <w:rsid w:val="00C86772"/>
    <w:rsid w:val="00C86B8F"/>
    <w:rsid w:val="00C86F17"/>
    <w:rsid w:val="00C87010"/>
    <w:rsid w:val="00C8708F"/>
    <w:rsid w:val="00C87302"/>
    <w:rsid w:val="00C875BE"/>
    <w:rsid w:val="00C906F6"/>
    <w:rsid w:val="00C908DB"/>
    <w:rsid w:val="00C90A24"/>
    <w:rsid w:val="00C90B7B"/>
    <w:rsid w:val="00C90C33"/>
    <w:rsid w:val="00C90D9B"/>
    <w:rsid w:val="00C90FB9"/>
    <w:rsid w:val="00C91113"/>
    <w:rsid w:val="00C912B1"/>
    <w:rsid w:val="00C915DF"/>
    <w:rsid w:val="00C91C6F"/>
    <w:rsid w:val="00C924CA"/>
    <w:rsid w:val="00C926CC"/>
    <w:rsid w:val="00C92A03"/>
    <w:rsid w:val="00C92D11"/>
    <w:rsid w:val="00C931D6"/>
    <w:rsid w:val="00C93787"/>
    <w:rsid w:val="00C93C91"/>
    <w:rsid w:val="00C93DAD"/>
    <w:rsid w:val="00C94942"/>
    <w:rsid w:val="00C94A54"/>
    <w:rsid w:val="00C94C0C"/>
    <w:rsid w:val="00C9533B"/>
    <w:rsid w:val="00C956B5"/>
    <w:rsid w:val="00C95AA0"/>
    <w:rsid w:val="00C95AC1"/>
    <w:rsid w:val="00C95D51"/>
    <w:rsid w:val="00C963F8"/>
    <w:rsid w:val="00C96431"/>
    <w:rsid w:val="00C96552"/>
    <w:rsid w:val="00C9667D"/>
    <w:rsid w:val="00C9682F"/>
    <w:rsid w:val="00C96ED0"/>
    <w:rsid w:val="00C97351"/>
    <w:rsid w:val="00C973DB"/>
    <w:rsid w:val="00C97594"/>
    <w:rsid w:val="00C97675"/>
    <w:rsid w:val="00C97D79"/>
    <w:rsid w:val="00CA0011"/>
    <w:rsid w:val="00CA00A0"/>
    <w:rsid w:val="00CA03DD"/>
    <w:rsid w:val="00CA04F3"/>
    <w:rsid w:val="00CA06EE"/>
    <w:rsid w:val="00CA0979"/>
    <w:rsid w:val="00CA09F1"/>
    <w:rsid w:val="00CA0DE6"/>
    <w:rsid w:val="00CA0DFC"/>
    <w:rsid w:val="00CA1271"/>
    <w:rsid w:val="00CA13D1"/>
    <w:rsid w:val="00CA163B"/>
    <w:rsid w:val="00CA1699"/>
    <w:rsid w:val="00CA1AA1"/>
    <w:rsid w:val="00CA1B33"/>
    <w:rsid w:val="00CA1B35"/>
    <w:rsid w:val="00CA2303"/>
    <w:rsid w:val="00CA2363"/>
    <w:rsid w:val="00CA25C0"/>
    <w:rsid w:val="00CA2DF8"/>
    <w:rsid w:val="00CA30F7"/>
    <w:rsid w:val="00CA317C"/>
    <w:rsid w:val="00CA3398"/>
    <w:rsid w:val="00CA3528"/>
    <w:rsid w:val="00CA380C"/>
    <w:rsid w:val="00CA3A9F"/>
    <w:rsid w:val="00CA3C3F"/>
    <w:rsid w:val="00CA3C75"/>
    <w:rsid w:val="00CA4110"/>
    <w:rsid w:val="00CA4291"/>
    <w:rsid w:val="00CA4662"/>
    <w:rsid w:val="00CA4747"/>
    <w:rsid w:val="00CA4A54"/>
    <w:rsid w:val="00CA51EA"/>
    <w:rsid w:val="00CA57FA"/>
    <w:rsid w:val="00CA588E"/>
    <w:rsid w:val="00CA5B7E"/>
    <w:rsid w:val="00CA5B8F"/>
    <w:rsid w:val="00CA5C00"/>
    <w:rsid w:val="00CA604B"/>
    <w:rsid w:val="00CA60F3"/>
    <w:rsid w:val="00CA6146"/>
    <w:rsid w:val="00CA685A"/>
    <w:rsid w:val="00CA688E"/>
    <w:rsid w:val="00CA6BA4"/>
    <w:rsid w:val="00CA6CB5"/>
    <w:rsid w:val="00CA6F9B"/>
    <w:rsid w:val="00CA6FA6"/>
    <w:rsid w:val="00CA7169"/>
    <w:rsid w:val="00CA723F"/>
    <w:rsid w:val="00CA7A47"/>
    <w:rsid w:val="00CA7A99"/>
    <w:rsid w:val="00CA7B50"/>
    <w:rsid w:val="00CA7D59"/>
    <w:rsid w:val="00CA7FC0"/>
    <w:rsid w:val="00CB081B"/>
    <w:rsid w:val="00CB0866"/>
    <w:rsid w:val="00CB0B90"/>
    <w:rsid w:val="00CB0F8F"/>
    <w:rsid w:val="00CB1065"/>
    <w:rsid w:val="00CB1729"/>
    <w:rsid w:val="00CB1765"/>
    <w:rsid w:val="00CB184F"/>
    <w:rsid w:val="00CB1E90"/>
    <w:rsid w:val="00CB20F5"/>
    <w:rsid w:val="00CB22A4"/>
    <w:rsid w:val="00CB23E6"/>
    <w:rsid w:val="00CB2540"/>
    <w:rsid w:val="00CB294E"/>
    <w:rsid w:val="00CB2DE8"/>
    <w:rsid w:val="00CB3032"/>
    <w:rsid w:val="00CB3119"/>
    <w:rsid w:val="00CB3285"/>
    <w:rsid w:val="00CB3FB6"/>
    <w:rsid w:val="00CB44BF"/>
    <w:rsid w:val="00CB48E6"/>
    <w:rsid w:val="00CB4B0A"/>
    <w:rsid w:val="00CB4B0B"/>
    <w:rsid w:val="00CB5890"/>
    <w:rsid w:val="00CB5B24"/>
    <w:rsid w:val="00CB65AC"/>
    <w:rsid w:val="00CB68BB"/>
    <w:rsid w:val="00CB6A99"/>
    <w:rsid w:val="00CB6B53"/>
    <w:rsid w:val="00CB7132"/>
    <w:rsid w:val="00CB73FF"/>
    <w:rsid w:val="00CB76CD"/>
    <w:rsid w:val="00CB7A94"/>
    <w:rsid w:val="00CC01A8"/>
    <w:rsid w:val="00CC0350"/>
    <w:rsid w:val="00CC084D"/>
    <w:rsid w:val="00CC0A80"/>
    <w:rsid w:val="00CC0AE2"/>
    <w:rsid w:val="00CC0F2E"/>
    <w:rsid w:val="00CC1464"/>
    <w:rsid w:val="00CC1772"/>
    <w:rsid w:val="00CC1986"/>
    <w:rsid w:val="00CC1B0E"/>
    <w:rsid w:val="00CC1BE8"/>
    <w:rsid w:val="00CC1F33"/>
    <w:rsid w:val="00CC2328"/>
    <w:rsid w:val="00CC239F"/>
    <w:rsid w:val="00CC2482"/>
    <w:rsid w:val="00CC32EF"/>
    <w:rsid w:val="00CC355D"/>
    <w:rsid w:val="00CC3633"/>
    <w:rsid w:val="00CC3A38"/>
    <w:rsid w:val="00CC3C96"/>
    <w:rsid w:val="00CC4A13"/>
    <w:rsid w:val="00CC4F12"/>
    <w:rsid w:val="00CC52A1"/>
    <w:rsid w:val="00CC5359"/>
    <w:rsid w:val="00CC5367"/>
    <w:rsid w:val="00CC5807"/>
    <w:rsid w:val="00CC5906"/>
    <w:rsid w:val="00CC5BC2"/>
    <w:rsid w:val="00CC5E51"/>
    <w:rsid w:val="00CC6835"/>
    <w:rsid w:val="00CC6C7B"/>
    <w:rsid w:val="00CC6FD7"/>
    <w:rsid w:val="00CC7B81"/>
    <w:rsid w:val="00CD0111"/>
    <w:rsid w:val="00CD04C1"/>
    <w:rsid w:val="00CD053E"/>
    <w:rsid w:val="00CD0648"/>
    <w:rsid w:val="00CD07BC"/>
    <w:rsid w:val="00CD09B2"/>
    <w:rsid w:val="00CD0F68"/>
    <w:rsid w:val="00CD189F"/>
    <w:rsid w:val="00CD1D1D"/>
    <w:rsid w:val="00CD1DB7"/>
    <w:rsid w:val="00CD2221"/>
    <w:rsid w:val="00CD2819"/>
    <w:rsid w:val="00CD2980"/>
    <w:rsid w:val="00CD2D55"/>
    <w:rsid w:val="00CD2E27"/>
    <w:rsid w:val="00CD32E8"/>
    <w:rsid w:val="00CD33AA"/>
    <w:rsid w:val="00CD34C3"/>
    <w:rsid w:val="00CD34D7"/>
    <w:rsid w:val="00CD354D"/>
    <w:rsid w:val="00CD3960"/>
    <w:rsid w:val="00CD3A2C"/>
    <w:rsid w:val="00CD3A4D"/>
    <w:rsid w:val="00CD3F1B"/>
    <w:rsid w:val="00CD4305"/>
    <w:rsid w:val="00CD4414"/>
    <w:rsid w:val="00CD456E"/>
    <w:rsid w:val="00CD4B94"/>
    <w:rsid w:val="00CD4BFB"/>
    <w:rsid w:val="00CD4FF3"/>
    <w:rsid w:val="00CD50D1"/>
    <w:rsid w:val="00CD51A4"/>
    <w:rsid w:val="00CD5458"/>
    <w:rsid w:val="00CD55BA"/>
    <w:rsid w:val="00CD5714"/>
    <w:rsid w:val="00CD5812"/>
    <w:rsid w:val="00CD594D"/>
    <w:rsid w:val="00CD5993"/>
    <w:rsid w:val="00CD59B4"/>
    <w:rsid w:val="00CD5D1F"/>
    <w:rsid w:val="00CD5E31"/>
    <w:rsid w:val="00CD6064"/>
    <w:rsid w:val="00CD60A8"/>
    <w:rsid w:val="00CD6223"/>
    <w:rsid w:val="00CD62F2"/>
    <w:rsid w:val="00CD64F1"/>
    <w:rsid w:val="00CD6688"/>
    <w:rsid w:val="00CD66E8"/>
    <w:rsid w:val="00CD6CD3"/>
    <w:rsid w:val="00CD6E13"/>
    <w:rsid w:val="00CD7598"/>
    <w:rsid w:val="00CD7627"/>
    <w:rsid w:val="00CD7699"/>
    <w:rsid w:val="00CD76C0"/>
    <w:rsid w:val="00CD7769"/>
    <w:rsid w:val="00CD7917"/>
    <w:rsid w:val="00CD7FCE"/>
    <w:rsid w:val="00CE048B"/>
    <w:rsid w:val="00CE07B1"/>
    <w:rsid w:val="00CE0844"/>
    <w:rsid w:val="00CE091F"/>
    <w:rsid w:val="00CE0A9D"/>
    <w:rsid w:val="00CE0EB9"/>
    <w:rsid w:val="00CE0F6C"/>
    <w:rsid w:val="00CE1024"/>
    <w:rsid w:val="00CE1B43"/>
    <w:rsid w:val="00CE1DB6"/>
    <w:rsid w:val="00CE1E95"/>
    <w:rsid w:val="00CE1FB5"/>
    <w:rsid w:val="00CE2167"/>
    <w:rsid w:val="00CE236A"/>
    <w:rsid w:val="00CE27A0"/>
    <w:rsid w:val="00CE280E"/>
    <w:rsid w:val="00CE28FD"/>
    <w:rsid w:val="00CE2A56"/>
    <w:rsid w:val="00CE2BCD"/>
    <w:rsid w:val="00CE2D3E"/>
    <w:rsid w:val="00CE3353"/>
    <w:rsid w:val="00CE3873"/>
    <w:rsid w:val="00CE3B81"/>
    <w:rsid w:val="00CE3B91"/>
    <w:rsid w:val="00CE3DAE"/>
    <w:rsid w:val="00CE3F5F"/>
    <w:rsid w:val="00CE417C"/>
    <w:rsid w:val="00CE41BD"/>
    <w:rsid w:val="00CE4335"/>
    <w:rsid w:val="00CE445D"/>
    <w:rsid w:val="00CE4C23"/>
    <w:rsid w:val="00CE520F"/>
    <w:rsid w:val="00CE5218"/>
    <w:rsid w:val="00CE56C0"/>
    <w:rsid w:val="00CE577A"/>
    <w:rsid w:val="00CE59FF"/>
    <w:rsid w:val="00CE5C1D"/>
    <w:rsid w:val="00CE5CD6"/>
    <w:rsid w:val="00CE5E5A"/>
    <w:rsid w:val="00CE6265"/>
    <w:rsid w:val="00CE64DF"/>
    <w:rsid w:val="00CE665D"/>
    <w:rsid w:val="00CE6DDF"/>
    <w:rsid w:val="00CE6FE8"/>
    <w:rsid w:val="00CE704D"/>
    <w:rsid w:val="00CE7238"/>
    <w:rsid w:val="00CE74B5"/>
    <w:rsid w:val="00CE76BF"/>
    <w:rsid w:val="00CE76FA"/>
    <w:rsid w:val="00CE775B"/>
    <w:rsid w:val="00CE78F0"/>
    <w:rsid w:val="00CF0048"/>
    <w:rsid w:val="00CF0215"/>
    <w:rsid w:val="00CF0293"/>
    <w:rsid w:val="00CF0327"/>
    <w:rsid w:val="00CF08A8"/>
    <w:rsid w:val="00CF0A05"/>
    <w:rsid w:val="00CF0A64"/>
    <w:rsid w:val="00CF0C47"/>
    <w:rsid w:val="00CF1088"/>
    <w:rsid w:val="00CF1612"/>
    <w:rsid w:val="00CF16FF"/>
    <w:rsid w:val="00CF1B2D"/>
    <w:rsid w:val="00CF1F3B"/>
    <w:rsid w:val="00CF21E4"/>
    <w:rsid w:val="00CF2424"/>
    <w:rsid w:val="00CF2811"/>
    <w:rsid w:val="00CF2920"/>
    <w:rsid w:val="00CF2AA7"/>
    <w:rsid w:val="00CF2BC0"/>
    <w:rsid w:val="00CF2DB0"/>
    <w:rsid w:val="00CF3089"/>
    <w:rsid w:val="00CF31D3"/>
    <w:rsid w:val="00CF3202"/>
    <w:rsid w:val="00CF366A"/>
    <w:rsid w:val="00CF370E"/>
    <w:rsid w:val="00CF3A13"/>
    <w:rsid w:val="00CF3BD1"/>
    <w:rsid w:val="00CF3DF1"/>
    <w:rsid w:val="00CF3E48"/>
    <w:rsid w:val="00CF4086"/>
    <w:rsid w:val="00CF439F"/>
    <w:rsid w:val="00CF43A0"/>
    <w:rsid w:val="00CF4ADF"/>
    <w:rsid w:val="00CF4D0B"/>
    <w:rsid w:val="00CF4DD8"/>
    <w:rsid w:val="00CF4EB1"/>
    <w:rsid w:val="00CF506C"/>
    <w:rsid w:val="00CF522E"/>
    <w:rsid w:val="00CF56AA"/>
    <w:rsid w:val="00CF5750"/>
    <w:rsid w:val="00CF576C"/>
    <w:rsid w:val="00CF57D6"/>
    <w:rsid w:val="00CF5A6B"/>
    <w:rsid w:val="00CF6088"/>
    <w:rsid w:val="00CF6576"/>
    <w:rsid w:val="00CF66E8"/>
    <w:rsid w:val="00CF6EC6"/>
    <w:rsid w:val="00CF703C"/>
    <w:rsid w:val="00CF7172"/>
    <w:rsid w:val="00CF733D"/>
    <w:rsid w:val="00CF7795"/>
    <w:rsid w:val="00CF7DAB"/>
    <w:rsid w:val="00CF7EBA"/>
    <w:rsid w:val="00D00031"/>
    <w:rsid w:val="00D002D9"/>
    <w:rsid w:val="00D00A3C"/>
    <w:rsid w:val="00D00B91"/>
    <w:rsid w:val="00D0136D"/>
    <w:rsid w:val="00D015D4"/>
    <w:rsid w:val="00D01784"/>
    <w:rsid w:val="00D01C9F"/>
    <w:rsid w:val="00D02231"/>
    <w:rsid w:val="00D02472"/>
    <w:rsid w:val="00D024C2"/>
    <w:rsid w:val="00D02791"/>
    <w:rsid w:val="00D027B6"/>
    <w:rsid w:val="00D027CC"/>
    <w:rsid w:val="00D02EEA"/>
    <w:rsid w:val="00D03322"/>
    <w:rsid w:val="00D035E8"/>
    <w:rsid w:val="00D03644"/>
    <w:rsid w:val="00D04179"/>
    <w:rsid w:val="00D0460A"/>
    <w:rsid w:val="00D0491E"/>
    <w:rsid w:val="00D04CFE"/>
    <w:rsid w:val="00D05533"/>
    <w:rsid w:val="00D05A26"/>
    <w:rsid w:val="00D05CA5"/>
    <w:rsid w:val="00D05CDF"/>
    <w:rsid w:val="00D05E66"/>
    <w:rsid w:val="00D06688"/>
    <w:rsid w:val="00D06AE1"/>
    <w:rsid w:val="00D06B98"/>
    <w:rsid w:val="00D06D5D"/>
    <w:rsid w:val="00D073AA"/>
    <w:rsid w:val="00D074AE"/>
    <w:rsid w:val="00D075DA"/>
    <w:rsid w:val="00D0775B"/>
    <w:rsid w:val="00D07D0B"/>
    <w:rsid w:val="00D10092"/>
    <w:rsid w:val="00D100F1"/>
    <w:rsid w:val="00D10991"/>
    <w:rsid w:val="00D10C75"/>
    <w:rsid w:val="00D10EF9"/>
    <w:rsid w:val="00D119FF"/>
    <w:rsid w:val="00D128EB"/>
    <w:rsid w:val="00D12A38"/>
    <w:rsid w:val="00D13EBE"/>
    <w:rsid w:val="00D13F01"/>
    <w:rsid w:val="00D1433A"/>
    <w:rsid w:val="00D147C3"/>
    <w:rsid w:val="00D14E4C"/>
    <w:rsid w:val="00D14EE2"/>
    <w:rsid w:val="00D15146"/>
    <w:rsid w:val="00D16559"/>
    <w:rsid w:val="00D16695"/>
    <w:rsid w:val="00D168BC"/>
    <w:rsid w:val="00D16C7C"/>
    <w:rsid w:val="00D16DD7"/>
    <w:rsid w:val="00D174EA"/>
    <w:rsid w:val="00D20110"/>
    <w:rsid w:val="00D202D5"/>
    <w:rsid w:val="00D203F5"/>
    <w:rsid w:val="00D20785"/>
    <w:rsid w:val="00D2091E"/>
    <w:rsid w:val="00D2096D"/>
    <w:rsid w:val="00D20DE7"/>
    <w:rsid w:val="00D20E5D"/>
    <w:rsid w:val="00D20E8B"/>
    <w:rsid w:val="00D20EA1"/>
    <w:rsid w:val="00D20FE2"/>
    <w:rsid w:val="00D210E6"/>
    <w:rsid w:val="00D21281"/>
    <w:rsid w:val="00D2151E"/>
    <w:rsid w:val="00D219FC"/>
    <w:rsid w:val="00D21F86"/>
    <w:rsid w:val="00D220DE"/>
    <w:rsid w:val="00D225C7"/>
    <w:rsid w:val="00D22632"/>
    <w:rsid w:val="00D22EC0"/>
    <w:rsid w:val="00D22FE9"/>
    <w:rsid w:val="00D23479"/>
    <w:rsid w:val="00D2347A"/>
    <w:rsid w:val="00D2350B"/>
    <w:rsid w:val="00D23A3E"/>
    <w:rsid w:val="00D23C5A"/>
    <w:rsid w:val="00D23D07"/>
    <w:rsid w:val="00D23F67"/>
    <w:rsid w:val="00D2410A"/>
    <w:rsid w:val="00D2426F"/>
    <w:rsid w:val="00D2465C"/>
    <w:rsid w:val="00D24715"/>
    <w:rsid w:val="00D247CC"/>
    <w:rsid w:val="00D24A06"/>
    <w:rsid w:val="00D24B47"/>
    <w:rsid w:val="00D24B8A"/>
    <w:rsid w:val="00D2525F"/>
    <w:rsid w:val="00D25370"/>
    <w:rsid w:val="00D256A1"/>
    <w:rsid w:val="00D2592D"/>
    <w:rsid w:val="00D25A04"/>
    <w:rsid w:val="00D25B3A"/>
    <w:rsid w:val="00D25CF4"/>
    <w:rsid w:val="00D25E69"/>
    <w:rsid w:val="00D25ED0"/>
    <w:rsid w:val="00D25F3B"/>
    <w:rsid w:val="00D2619F"/>
    <w:rsid w:val="00D262E3"/>
    <w:rsid w:val="00D26956"/>
    <w:rsid w:val="00D26C7A"/>
    <w:rsid w:val="00D26D8C"/>
    <w:rsid w:val="00D26E00"/>
    <w:rsid w:val="00D27288"/>
    <w:rsid w:val="00D2742A"/>
    <w:rsid w:val="00D278ED"/>
    <w:rsid w:val="00D3076A"/>
    <w:rsid w:val="00D31C0E"/>
    <w:rsid w:val="00D31E08"/>
    <w:rsid w:val="00D3226C"/>
    <w:rsid w:val="00D3279E"/>
    <w:rsid w:val="00D32F37"/>
    <w:rsid w:val="00D3318F"/>
    <w:rsid w:val="00D33244"/>
    <w:rsid w:val="00D335E9"/>
    <w:rsid w:val="00D33CF7"/>
    <w:rsid w:val="00D33D18"/>
    <w:rsid w:val="00D33D24"/>
    <w:rsid w:val="00D33EBD"/>
    <w:rsid w:val="00D33F53"/>
    <w:rsid w:val="00D340DD"/>
    <w:rsid w:val="00D34566"/>
    <w:rsid w:val="00D34731"/>
    <w:rsid w:val="00D3528C"/>
    <w:rsid w:val="00D354F7"/>
    <w:rsid w:val="00D356A2"/>
    <w:rsid w:val="00D35BC6"/>
    <w:rsid w:val="00D35BDC"/>
    <w:rsid w:val="00D35EB5"/>
    <w:rsid w:val="00D36986"/>
    <w:rsid w:val="00D37257"/>
    <w:rsid w:val="00D372F9"/>
    <w:rsid w:val="00D3778D"/>
    <w:rsid w:val="00D37EBC"/>
    <w:rsid w:val="00D400FC"/>
    <w:rsid w:val="00D40407"/>
    <w:rsid w:val="00D404EE"/>
    <w:rsid w:val="00D4053A"/>
    <w:rsid w:val="00D40B54"/>
    <w:rsid w:val="00D40C82"/>
    <w:rsid w:val="00D40DA3"/>
    <w:rsid w:val="00D41266"/>
    <w:rsid w:val="00D41B63"/>
    <w:rsid w:val="00D41C80"/>
    <w:rsid w:val="00D41D6E"/>
    <w:rsid w:val="00D41F5C"/>
    <w:rsid w:val="00D41FBA"/>
    <w:rsid w:val="00D42151"/>
    <w:rsid w:val="00D4268A"/>
    <w:rsid w:val="00D428D8"/>
    <w:rsid w:val="00D429F5"/>
    <w:rsid w:val="00D42C59"/>
    <w:rsid w:val="00D42F11"/>
    <w:rsid w:val="00D431E6"/>
    <w:rsid w:val="00D4389C"/>
    <w:rsid w:val="00D43B8B"/>
    <w:rsid w:val="00D43EBE"/>
    <w:rsid w:val="00D43F88"/>
    <w:rsid w:val="00D44138"/>
    <w:rsid w:val="00D446E6"/>
    <w:rsid w:val="00D4480D"/>
    <w:rsid w:val="00D44B25"/>
    <w:rsid w:val="00D44B54"/>
    <w:rsid w:val="00D44E37"/>
    <w:rsid w:val="00D456B3"/>
    <w:rsid w:val="00D4588E"/>
    <w:rsid w:val="00D459BC"/>
    <w:rsid w:val="00D45A3F"/>
    <w:rsid w:val="00D45AB0"/>
    <w:rsid w:val="00D46299"/>
    <w:rsid w:val="00D462D5"/>
    <w:rsid w:val="00D46469"/>
    <w:rsid w:val="00D46906"/>
    <w:rsid w:val="00D46DB2"/>
    <w:rsid w:val="00D4758F"/>
    <w:rsid w:val="00D47A50"/>
    <w:rsid w:val="00D47C3B"/>
    <w:rsid w:val="00D47EAF"/>
    <w:rsid w:val="00D50A54"/>
    <w:rsid w:val="00D50C09"/>
    <w:rsid w:val="00D50C51"/>
    <w:rsid w:val="00D50E80"/>
    <w:rsid w:val="00D50ED1"/>
    <w:rsid w:val="00D50FFD"/>
    <w:rsid w:val="00D51355"/>
    <w:rsid w:val="00D51748"/>
    <w:rsid w:val="00D51DB2"/>
    <w:rsid w:val="00D51F59"/>
    <w:rsid w:val="00D52346"/>
    <w:rsid w:val="00D527CA"/>
    <w:rsid w:val="00D527DD"/>
    <w:rsid w:val="00D52A9E"/>
    <w:rsid w:val="00D52D18"/>
    <w:rsid w:val="00D52D61"/>
    <w:rsid w:val="00D536EE"/>
    <w:rsid w:val="00D53706"/>
    <w:rsid w:val="00D53730"/>
    <w:rsid w:val="00D541BA"/>
    <w:rsid w:val="00D5434E"/>
    <w:rsid w:val="00D5447D"/>
    <w:rsid w:val="00D545AC"/>
    <w:rsid w:val="00D54730"/>
    <w:rsid w:val="00D54899"/>
    <w:rsid w:val="00D54AE0"/>
    <w:rsid w:val="00D54F6A"/>
    <w:rsid w:val="00D551B3"/>
    <w:rsid w:val="00D55297"/>
    <w:rsid w:val="00D5539D"/>
    <w:rsid w:val="00D55682"/>
    <w:rsid w:val="00D55B0F"/>
    <w:rsid w:val="00D55B23"/>
    <w:rsid w:val="00D55DBD"/>
    <w:rsid w:val="00D55ED4"/>
    <w:rsid w:val="00D5669F"/>
    <w:rsid w:val="00D56A30"/>
    <w:rsid w:val="00D56DC1"/>
    <w:rsid w:val="00D56EBC"/>
    <w:rsid w:val="00D57966"/>
    <w:rsid w:val="00D60015"/>
    <w:rsid w:val="00D600A9"/>
    <w:rsid w:val="00D600F2"/>
    <w:rsid w:val="00D602C9"/>
    <w:rsid w:val="00D60569"/>
    <w:rsid w:val="00D6095D"/>
    <w:rsid w:val="00D60CF2"/>
    <w:rsid w:val="00D60E13"/>
    <w:rsid w:val="00D60FC6"/>
    <w:rsid w:val="00D611DC"/>
    <w:rsid w:val="00D61274"/>
    <w:rsid w:val="00D61395"/>
    <w:rsid w:val="00D6171C"/>
    <w:rsid w:val="00D6177C"/>
    <w:rsid w:val="00D617B8"/>
    <w:rsid w:val="00D61A0B"/>
    <w:rsid w:val="00D61B19"/>
    <w:rsid w:val="00D61DC2"/>
    <w:rsid w:val="00D61E35"/>
    <w:rsid w:val="00D620E1"/>
    <w:rsid w:val="00D62175"/>
    <w:rsid w:val="00D62320"/>
    <w:rsid w:val="00D624E7"/>
    <w:rsid w:val="00D627C3"/>
    <w:rsid w:val="00D6286D"/>
    <w:rsid w:val="00D6295F"/>
    <w:rsid w:val="00D629C7"/>
    <w:rsid w:val="00D62DD2"/>
    <w:rsid w:val="00D635B9"/>
    <w:rsid w:val="00D6395E"/>
    <w:rsid w:val="00D64078"/>
    <w:rsid w:val="00D641CB"/>
    <w:rsid w:val="00D645D1"/>
    <w:rsid w:val="00D6478A"/>
    <w:rsid w:val="00D64EB1"/>
    <w:rsid w:val="00D65294"/>
    <w:rsid w:val="00D654FD"/>
    <w:rsid w:val="00D65CE3"/>
    <w:rsid w:val="00D66290"/>
    <w:rsid w:val="00D666BF"/>
    <w:rsid w:val="00D666EF"/>
    <w:rsid w:val="00D6699B"/>
    <w:rsid w:val="00D66C47"/>
    <w:rsid w:val="00D66C9F"/>
    <w:rsid w:val="00D67013"/>
    <w:rsid w:val="00D671A6"/>
    <w:rsid w:val="00D6751C"/>
    <w:rsid w:val="00D67606"/>
    <w:rsid w:val="00D6796C"/>
    <w:rsid w:val="00D67AE6"/>
    <w:rsid w:val="00D67E6A"/>
    <w:rsid w:val="00D706BD"/>
    <w:rsid w:val="00D70A0E"/>
    <w:rsid w:val="00D70B07"/>
    <w:rsid w:val="00D70B7A"/>
    <w:rsid w:val="00D70BD3"/>
    <w:rsid w:val="00D70D49"/>
    <w:rsid w:val="00D70F94"/>
    <w:rsid w:val="00D70FDD"/>
    <w:rsid w:val="00D715AE"/>
    <w:rsid w:val="00D717B5"/>
    <w:rsid w:val="00D719E5"/>
    <w:rsid w:val="00D71DDC"/>
    <w:rsid w:val="00D71EA4"/>
    <w:rsid w:val="00D71EDE"/>
    <w:rsid w:val="00D724F9"/>
    <w:rsid w:val="00D72819"/>
    <w:rsid w:val="00D72BA9"/>
    <w:rsid w:val="00D72D43"/>
    <w:rsid w:val="00D73096"/>
    <w:rsid w:val="00D730D1"/>
    <w:rsid w:val="00D7370E"/>
    <w:rsid w:val="00D739E1"/>
    <w:rsid w:val="00D73C1E"/>
    <w:rsid w:val="00D73D49"/>
    <w:rsid w:val="00D73F9B"/>
    <w:rsid w:val="00D73FAE"/>
    <w:rsid w:val="00D740BB"/>
    <w:rsid w:val="00D74677"/>
    <w:rsid w:val="00D74872"/>
    <w:rsid w:val="00D74884"/>
    <w:rsid w:val="00D74B7B"/>
    <w:rsid w:val="00D74C47"/>
    <w:rsid w:val="00D74CE6"/>
    <w:rsid w:val="00D74E64"/>
    <w:rsid w:val="00D74FFB"/>
    <w:rsid w:val="00D754C3"/>
    <w:rsid w:val="00D7558D"/>
    <w:rsid w:val="00D757DE"/>
    <w:rsid w:val="00D75DF3"/>
    <w:rsid w:val="00D75F87"/>
    <w:rsid w:val="00D763FF"/>
    <w:rsid w:val="00D76403"/>
    <w:rsid w:val="00D7672D"/>
    <w:rsid w:val="00D769BC"/>
    <w:rsid w:val="00D76A3E"/>
    <w:rsid w:val="00D770BE"/>
    <w:rsid w:val="00D7729F"/>
    <w:rsid w:val="00D775FE"/>
    <w:rsid w:val="00D77AE3"/>
    <w:rsid w:val="00D77DBC"/>
    <w:rsid w:val="00D8043A"/>
    <w:rsid w:val="00D805D6"/>
    <w:rsid w:val="00D80C8D"/>
    <w:rsid w:val="00D80E31"/>
    <w:rsid w:val="00D81072"/>
    <w:rsid w:val="00D810E5"/>
    <w:rsid w:val="00D8130E"/>
    <w:rsid w:val="00D813CF"/>
    <w:rsid w:val="00D81EFE"/>
    <w:rsid w:val="00D82352"/>
    <w:rsid w:val="00D8271A"/>
    <w:rsid w:val="00D82869"/>
    <w:rsid w:val="00D8300D"/>
    <w:rsid w:val="00D83501"/>
    <w:rsid w:val="00D83666"/>
    <w:rsid w:val="00D837B1"/>
    <w:rsid w:val="00D84A77"/>
    <w:rsid w:val="00D84DE8"/>
    <w:rsid w:val="00D84E78"/>
    <w:rsid w:val="00D84F0B"/>
    <w:rsid w:val="00D84FD3"/>
    <w:rsid w:val="00D8516E"/>
    <w:rsid w:val="00D85471"/>
    <w:rsid w:val="00D855CC"/>
    <w:rsid w:val="00D855F1"/>
    <w:rsid w:val="00D856B0"/>
    <w:rsid w:val="00D859DB"/>
    <w:rsid w:val="00D85C52"/>
    <w:rsid w:val="00D865AE"/>
    <w:rsid w:val="00D8685E"/>
    <w:rsid w:val="00D86C3E"/>
    <w:rsid w:val="00D86F7B"/>
    <w:rsid w:val="00D873AD"/>
    <w:rsid w:val="00D873D8"/>
    <w:rsid w:val="00D87641"/>
    <w:rsid w:val="00D87965"/>
    <w:rsid w:val="00D87AF4"/>
    <w:rsid w:val="00D87E9E"/>
    <w:rsid w:val="00D87FF0"/>
    <w:rsid w:val="00D906C8"/>
    <w:rsid w:val="00D90E7A"/>
    <w:rsid w:val="00D911A7"/>
    <w:rsid w:val="00D91505"/>
    <w:rsid w:val="00D9169E"/>
    <w:rsid w:val="00D91BB1"/>
    <w:rsid w:val="00D91CEA"/>
    <w:rsid w:val="00D91F31"/>
    <w:rsid w:val="00D92423"/>
    <w:rsid w:val="00D929A9"/>
    <w:rsid w:val="00D92A35"/>
    <w:rsid w:val="00D92C51"/>
    <w:rsid w:val="00D93049"/>
    <w:rsid w:val="00D9328F"/>
    <w:rsid w:val="00D934D0"/>
    <w:rsid w:val="00D93605"/>
    <w:rsid w:val="00D93C07"/>
    <w:rsid w:val="00D93F3D"/>
    <w:rsid w:val="00D93FDA"/>
    <w:rsid w:val="00D9483C"/>
    <w:rsid w:val="00D94D0F"/>
    <w:rsid w:val="00D94D81"/>
    <w:rsid w:val="00D94FE3"/>
    <w:rsid w:val="00D95116"/>
    <w:rsid w:val="00D95CD2"/>
    <w:rsid w:val="00D95DF3"/>
    <w:rsid w:val="00D95E1B"/>
    <w:rsid w:val="00D95EB1"/>
    <w:rsid w:val="00D96068"/>
    <w:rsid w:val="00D965F2"/>
    <w:rsid w:val="00D96703"/>
    <w:rsid w:val="00D967D5"/>
    <w:rsid w:val="00D96965"/>
    <w:rsid w:val="00D97159"/>
    <w:rsid w:val="00D97216"/>
    <w:rsid w:val="00D973A5"/>
    <w:rsid w:val="00D973E9"/>
    <w:rsid w:val="00D97405"/>
    <w:rsid w:val="00D97646"/>
    <w:rsid w:val="00D977E0"/>
    <w:rsid w:val="00D9782F"/>
    <w:rsid w:val="00D9798C"/>
    <w:rsid w:val="00D97F91"/>
    <w:rsid w:val="00DA0B4E"/>
    <w:rsid w:val="00DA0F20"/>
    <w:rsid w:val="00DA1019"/>
    <w:rsid w:val="00DA114C"/>
    <w:rsid w:val="00DA1C95"/>
    <w:rsid w:val="00DA1F28"/>
    <w:rsid w:val="00DA20B3"/>
    <w:rsid w:val="00DA2401"/>
    <w:rsid w:val="00DA2718"/>
    <w:rsid w:val="00DA2ADE"/>
    <w:rsid w:val="00DA2CF0"/>
    <w:rsid w:val="00DA2FDB"/>
    <w:rsid w:val="00DA30C4"/>
    <w:rsid w:val="00DA35B9"/>
    <w:rsid w:val="00DA35C6"/>
    <w:rsid w:val="00DA3687"/>
    <w:rsid w:val="00DA3758"/>
    <w:rsid w:val="00DA3A94"/>
    <w:rsid w:val="00DA3BA0"/>
    <w:rsid w:val="00DA3BA7"/>
    <w:rsid w:val="00DA3CA6"/>
    <w:rsid w:val="00DA403C"/>
    <w:rsid w:val="00DA4267"/>
    <w:rsid w:val="00DA49DA"/>
    <w:rsid w:val="00DA52D7"/>
    <w:rsid w:val="00DA5443"/>
    <w:rsid w:val="00DA5834"/>
    <w:rsid w:val="00DA5A13"/>
    <w:rsid w:val="00DA6101"/>
    <w:rsid w:val="00DA611E"/>
    <w:rsid w:val="00DA6884"/>
    <w:rsid w:val="00DA69A9"/>
    <w:rsid w:val="00DA6BA3"/>
    <w:rsid w:val="00DA6E7C"/>
    <w:rsid w:val="00DA73F1"/>
    <w:rsid w:val="00DA7C42"/>
    <w:rsid w:val="00DA7F25"/>
    <w:rsid w:val="00DB0157"/>
    <w:rsid w:val="00DB0295"/>
    <w:rsid w:val="00DB055F"/>
    <w:rsid w:val="00DB071C"/>
    <w:rsid w:val="00DB0788"/>
    <w:rsid w:val="00DB0837"/>
    <w:rsid w:val="00DB08A6"/>
    <w:rsid w:val="00DB0C04"/>
    <w:rsid w:val="00DB0D2B"/>
    <w:rsid w:val="00DB1682"/>
    <w:rsid w:val="00DB1A35"/>
    <w:rsid w:val="00DB1CD7"/>
    <w:rsid w:val="00DB24A2"/>
    <w:rsid w:val="00DB2606"/>
    <w:rsid w:val="00DB26A1"/>
    <w:rsid w:val="00DB2742"/>
    <w:rsid w:val="00DB28D9"/>
    <w:rsid w:val="00DB2A1A"/>
    <w:rsid w:val="00DB2E0C"/>
    <w:rsid w:val="00DB33F5"/>
    <w:rsid w:val="00DB356A"/>
    <w:rsid w:val="00DB3579"/>
    <w:rsid w:val="00DB36A6"/>
    <w:rsid w:val="00DB38D9"/>
    <w:rsid w:val="00DB3B3F"/>
    <w:rsid w:val="00DB3DB0"/>
    <w:rsid w:val="00DB3E4F"/>
    <w:rsid w:val="00DB3EB6"/>
    <w:rsid w:val="00DB3F4B"/>
    <w:rsid w:val="00DB4203"/>
    <w:rsid w:val="00DB4405"/>
    <w:rsid w:val="00DB49A5"/>
    <w:rsid w:val="00DB4A37"/>
    <w:rsid w:val="00DB543F"/>
    <w:rsid w:val="00DB5464"/>
    <w:rsid w:val="00DB551A"/>
    <w:rsid w:val="00DB56C3"/>
    <w:rsid w:val="00DB56D3"/>
    <w:rsid w:val="00DB56EC"/>
    <w:rsid w:val="00DB575C"/>
    <w:rsid w:val="00DB59F1"/>
    <w:rsid w:val="00DB6249"/>
    <w:rsid w:val="00DB6755"/>
    <w:rsid w:val="00DB69E9"/>
    <w:rsid w:val="00DB6BD1"/>
    <w:rsid w:val="00DB7325"/>
    <w:rsid w:val="00DB7BE1"/>
    <w:rsid w:val="00DB7C9E"/>
    <w:rsid w:val="00DC057B"/>
    <w:rsid w:val="00DC05CD"/>
    <w:rsid w:val="00DC062B"/>
    <w:rsid w:val="00DC0AA5"/>
    <w:rsid w:val="00DC0B5F"/>
    <w:rsid w:val="00DC114B"/>
    <w:rsid w:val="00DC1170"/>
    <w:rsid w:val="00DC12ED"/>
    <w:rsid w:val="00DC222C"/>
    <w:rsid w:val="00DC2783"/>
    <w:rsid w:val="00DC2857"/>
    <w:rsid w:val="00DC29FE"/>
    <w:rsid w:val="00DC2B1D"/>
    <w:rsid w:val="00DC2B2B"/>
    <w:rsid w:val="00DC2DAF"/>
    <w:rsid w:val="00DC3503"/>
    <w:rsid w:val="00DC392D"/>
    <w:rsid w:val="00DC3A35"/>
    <w:rsid w:val="00DC3B1A"/>
    <w:rsid w:val="00DC3C0C"/>
    <w:rsid w:val="00DC3D17"/>
    <w:rsid w:val="00DC3D79"/>
    <w:rsid w:val="00DC47B4"/>
    <w:rsid w:val="00DC48F4"/>
    <w:rsid w:val="00DC4947"/>
    <w:rsid w:val="00DC4B62"/>
    <w:rsid w:val="00DC4CE2"/>
    <w:rsid w:val="00DC5284"/>
    <w:rsid w:val="00DC588B"/>
    <w:rsid w:val="00DC58A6"/>
    <w:rsid w:val="00DC5993"/>
    <w:rsid w:val="00DC5B52"/>
    <w:rsid w:val="00DC6118"/>
    <w:rsid w:val="00DC6126"/>
    <w:rsid w:val="00DC66A5"/>
    <w:rsid w:val="00DC6856"/>
    <w:rsid w:val="00DC6D49"/>
    <w:rsid w:val="00DC6D4A"/>
    <w:rsid w:val="00DC6F43"/>
    <w:rsid w:val="00DC6FBC"/>
    <w:rsid w:val="00DC7F2C"/>
    <w:rsid w:val="00DC7FAA"/>
    <w:rsid w:val="00DD011B"/>
    <w:rsid w:val="00DD078A"/>
    <w:rsid w:val="00DD0989"/>
    <w:rsid w:val="00DD0AE6"/>
    <w:rsid w:val="00DD0E0F"/>
    <w:rsid w:val="00DD0F1A"/>
    <w:rsid w:val="00DD13E8"/>
    <w:rsid w:val="00DD146C"/>
    <w:rsid w:val="00DD150E"/>
    <w:rsid w:val="00DD167F"/>
    <w:rsid w:val="00DD1930"/>
    <w:rsid w:val="00DD1B12"/>
    <w:rsid w:val="00DD1B5A"/>
    <w:rsid w:val="00DD2532"/>
    <w:rsid w:val="00DD2680"/>
    <w:rsid w:val="00DD26EE"/>
    <w:rsid w:val="00DD28E7"/>
    <w:rsid w:val="00DD2980"/>
    <w:rsid w:val="00DD2F96"/>
    <w:rsid w:val="00DD32BA"/>
    <w:rsid w:val="00DD32E2"/>
    <w:rsid w:val="00DD357F"/>
    <w:rsid w:val="00DD3649"/>
    <w:rsid w:val="00DD374B"/>
    <w:rsid w:val="00DD37A7"/>
    <w:rsid w:val="00DD3DC8"/>
    <w:rsid w:val="00DD3F89"/>
    <w:rsid w:val="00DD4452"/>
    <w:rsid w:val="00DD4766"/>
    <w:rsid w:val="00DD49CA"/>
    <w:rsid w:val="00DD4AE5"/>
    <w:rsid w:val="00DD4B40"/>
    <w:rsid w:val="00DD4C4A"/>
    <w:rsid w:val="00DD4C98"/>
    <w:rsid w:val="00DD4F1D"/>
    <w:rsid w:val="00DD5009"/>
    <w:rsid w:val="00DD5278"/>
    <w:rsid w:val="00DD537D"/>
    <w:rsid w:val="00DD57BF"/>
    <w:rsid w:val="00DD5BA5"/>
    <w:rsid w:val="00DD5C56"/>
    <w:rsid w:val="00DD5F28"/>
    <w:rsid w:val="00DD65AF"/>
    <w:rsid w:val="00DD6A58"/>
    <w:rsid w:val="00DD6AC1"/>
    <w:rsid w:val="00DD6E2D"/>
    <w:rsid w:val="00DD7415"/>
    <w:rsid w:val="00DD763A"/>
    <w:rsid w:val="00DD7805"/>
    <w:rsid w:val="00DD7A56"/>
    <w:rsid w:val="00DD7D88"/>
    <w:rsid w:val="00DD7F3F"/>
    <w:rsid w:val="00DD7FC3"/>
    <w:rsid w:val="00DE00FF"/>
    <w:rsid w:val="00DE028B"/>
    <w:rsid w:val="00DE0692"/>
    <w:rsid w:val="00DE093E"/>
    <w:rsid w:val="00DE0D0D"/>
    <w:rsid w:val="00DE0FB2"/>
    <w:rsid w:val="00DE1875"/>
    <w:rsid w:val="00DE1DA9"/>
    <w:rsid w:val="00DE1DB8"/>
    <w:rsid w:val="00DE2233"/>
    <w:rsid w:val="00DE22D5"/>
    <w:rsid w:val="00DE258E"/>
    <w:rsid w:val="00DE2C61"/>
    <w:rsid w:val="00DE306E"/>
    <w:rsid w:val="00DE31FC"/>
    <w:rsid w:val="00DE32EC"/>
    <w:rsid w:val="00DE386E"/>
    <w:rsid w:val="00DE3BBE"/>
    <w:rsid w:val="00DE3FC0"/>
    <w:rsid w:val="00DE4037"/>
    <w:rsid w:val="00DE44E5"/>
    <w:rsid w:val="00DE4545"/>
    <w:rsid w:val="00DE45CF"/>
    <w:rsid w:val="00DE4983"/>
    <w:rsid w:val="00DE4BC3"/>
    <w:rsid w:val="00DE4FD1"/>
    <w:rsid w:val="00DE54F7"/>
    <w:rsid w:val="00DE57F0"/>
    <w:rsid w:val="00DE5BF6"/>
    <w:rsid w:val="00DE5C03"/>
    <w:rsid w:val="00DE5F4C"/>
    <w:rsid w:val="00DE5FF4"/>
    <w:rsid w:val="00DE6077"/>
    <w:rsid w:val="00DE6086"/>
    <w:rsid w:val="00DE610D"/>
    <w:rsid w:val="00DE6257"/>
    <w:rsid w:val="00DE6447"/>
    <w:rsid w:val="00DE6553"/>
    <w:rsid w:val="00DE67FB"/>
    <w:rsid w:val="00DE6833"/>
    <w:rsid w:val="00DE694A"/>
    <w:rsid w:val="00DE6C29"/>
    <w:rsid w:val="00DE6C2C"/>
    <w:rsid w:val="00DE6E57"/>
    <w:rsid w:val="00DE7032"/>
    <w:rsid w:val="00DE7078"/>
    <w:rsid w:val="00DE73C7"/>
    <w:rsid w:val="00DE7545"/>
    <w:rsid w:val="00DE77E4"/>
    <w:rsid w:val="00DE79D3"/>
    <w:rsid w:val="00DE7B66"/>
    <w:rsid w:val="00DE7FEC"/>
    <w:rsid w:val="00DF08B0"/>
    <w:rsid w:val="00DF11BD"/>
    <w:rsid w:val="00DF1B4A"/>
    <w:rsid w:val="00DF1C69"/>
    <w:rsid w:val="00DF1DE5"/>
    <w:rsid w:val="00DF2672"/>
    <w:rsid w:val="00DF2923"/>
    <w:rsid w:val="00DF2F5E"/>
    <w:rsid w:val="00DF36B9"/>
    <w:rsid w:val="00DF39B5"/>
    <w:rsid w:val="00DF4015"/>
    <w:rsid w:val="00DF4047"/>
    <w:rsid w:val="00DF4271"/>
    <w:rsid w:val="00DF43CE"/>
    <w:rsid w:val="00DF43E8"/>
    <w:rsid w:val="00DF4656"/>
    <w:rsid w:val="00DF47F2"/>
    <w:rsid w:val="00DF4ADE"/>
    <w:rsid w:val="00DF4D58"/>
    <w:rsid w:val="00DF5029"/>
    <w:rsid w:val="00DF5255"/>
    <w:rsid w:val="00DF5A38"/>
    <w:rsid w:val="00DF5A8A"/>
    <w:rsid w:val="00DF5BD3"/>
    <w:rsid w:val="00DF5ED7"/>
    <w:rsid w:val="00DF622C"/>
    <w:rsid w:val="00DF658E"/>
    <w:rsid w:val="00DF6DB5"/>
    <w:rsid w:val="00DF6E58"/>
    <w:rsid w:val="00DF6F1F"/>
    <w:rsid w:val="00DF703D"/>
    <w:rsid w:val="00DF703F"/>
    <w:rsid w:val="00DF772D"/>
    <w:rsid w:val="00DF7F0E"/>
    <w:rsid w:val="00E0007F"/>
    <w:rsid w:val="00E004BD"/>
    <w:rsid w:val="00E00899"/>
    <w:rsid w:val="00E01326"/>
    <w:rsid w:val="00E013F5"/>
    <w:rsid w:val="00E0279C"/>
    <w:rsid w:val="00E027E5"/>
    <w:rsid w:val="00E02A21"/>
    <w:rsid w:val="00E02A8F"/>
    <w:rsid w:val="00E03013"/>
    <w:rsid w:val="00E0303C"/>
    <w:rsid w:val="00E03936"/>
    <w:rsid w:val="00E03B6D"/>
    <w:rsid w:val="00E0438A"/>
    <w:rsid w:val="00E04812"/>
    <w:rsid w:val="00E04B2D"/>
    <w:rsid w:val="00E04BFF"/>
    <w:rsid w:val="00E04F6E"/>
    <w:rsid w:val="00E050CF"/>
    <w:rsid w:val="00E0528D"/>
    <w:rsid w:val="00E0576E"/>
    <w:rsid w:val="00E05B59"/>
    <w:rsid w:val="00E05C42"/>
    <w:rsid w:val="00E05DC5"/>
    <w:rsid w:val="00E06071"/>
    <w:rsid w:val="00E061CB"/>
    <w:rsid w:val="00E06789"/>
    <w:rsid w:val="00E06852"/>
    <w:rsid w:val="00E072CF"/>
    <w:rsid w:val="00E07865"/>
    <w:rsid w:val="00E07A43"/>
    <w:rsid w:val="00E07B5B"/>
    <w:rsid w:val="00E07C02"/>
    <w:rsid w:val="00E07C4F"/>
    <w:rsid w:val="00E07C6F"/>
    <w:rsid w:val="00E1019F"/>
    <w:rsid w:val="00E10BA1"/>
    <w:rsid w:val="00E10DB4"/>
    <w:rsid w:val="00E11018"/>
    <w:rsid w:val="00E1101D"/>
    <w:rsid w:val="00E11462"/>
    <w:rsid w:val="00E1153E"/>
    <w:rsid w:val="00E117BD"/>
    <w:rsid w:val="00E118C3"/>
    <w:rsid w:val="00E11D43"/>
    <w:rsid w:val="00E1271D"/>
    <w:rsid w:val="00E1289E"/>
    <w:rsid w:val="00E129AD"/>
    <w:rsid w:val="00E12BF7"/>
    <w:rsid w:val="00E12EB6"/>
    <w:rsid w:val="00E131D2"/>
    <w:rsid w:val="00E13234"/>
    <w:rsid w:val="00E138E4"/>
    <w:rsid w:val="00E13922"/>
    <w:rsid w:val="00E13A66"/>
    <w:rsid w:val="00E13E61"/>
    <w:rsid w:val="00E13FFD"/>
    <w:rsid w:val="00E140B8"/>
    <w:rsid w:val="00E14224"/>
    <w:rsid w:val="00E1455A"/>
    <w:rsid w:val="00E146D8"/>
    <w:rsid w:val="00E14926"/>
    <w:rsid w:val="00E14A30"/>
    <w:rsid w:val="00E14C5F"/>
    <w:rsid w:val="00E14CB2"/>
    <w:rsid w:val="00E14D21"/>
    <w:rsid w:val="00E14F0F"/>
    <w:rsid w:val="00E14F53"/>
    <w:rsid w:val="00E15011"/>
    <w:rsid w:val="00E15403"/>
    <w:rsid w:val="00E154B4"/>
    <w:rsid w:val="00E15A65"/>
    <w:rsid w:val="00E1637F"/>
    <w:rsid w:val="00E16B5A"/>
    <w:rsid w:val="00E16D0E"/>
    <w:rsid w:val="00E16D35"/>
    <w:rsid w:val="00E16DB7"/>
    <w:rsid w:val="00E16DBB"/>
    <w:rsid w:val="00E171BC"/>
    <w:rsid w:val="00E1746F"/>
    <w:rsid w:val="00E175DE"/>
    <w:rsid w:val="00E17670"/>
    <w:rsid w:val="00E17753"/>
    <w:rsid w:val="00E1797E"/>
    <w:rsid w:val="00E179F6"/>
    <w:rsid w:val="00E17E25"/>
    <w:rsid w:val="00E20300"/>
    <w:rsid w:val="00E206FA"/>
    <w:rsid w:val="00E20734"/>
    <w:rsid w:val="00E20937"/>
    <w:rsid w:val="00E20B75"/>
    <w:rsid w:val="00E20DF8"/>
    <w:rsid w:val="00E21096"/>
    <w:rsid w:val="00E211A3"/>
    <w:rsid w:val="00E21217"/>
    <w:rsid w:val="00E21294"/>
    <w:rsid w:val="00E21355"/>
    <w:rsid w:val="00E214D1"/>
    <w:rsid w:val="00E216BF"/>
    <w:rsid w:val="00E21757"/>
    <w:rsid w:val="00E22524"/>
    <w:rsid w:val="00E22602"/>
    <w:rsid w:val="00E22858"/>
    <w:rsid w:val="00E229F8"/>
    <w:rsid w:val="00E237C9"/>
    <w:rsid w:val="00E23837"/>
    <w:rsid w:val="00E238D5"/>
    <w:rsid w:val="00E239A0"/>
    <w:rsid w:val="00E23AD2"/>
    <w:rsid w:val="00E23B0D"/>
    <w:rsid w:val="00E23D56"/>
    <w:rsid w:val="00E23E97"/>
    <w:rsid w:val="00E2426F"/>
    <w:rsid w:val="00E24357"/>
    <w:rsid w:val="00E24485"/>
    <w:rsid w:val="00E245D1"/>
    <w:rsid w:val="00E24E6B"/>
    <w:rsid w:val="00E25504"/>
    <w:rsid w:val="00E2596C"/>
    <w:rsid w:val="00E25992"/>
    <w:rsid w:val="00E259FA"/>
    <w:rsid w:val="00E25ACC"/>
    <w:rsid w:val="00E25BE2"/>
    <w:rsid w:val="00E25EE9"/>
    <w:rsid w:val="00E2605A"/>
    <w:rsid w:val="00E26C07"/>
    <w:rsid w:val="00E26C58"/>
    <w:rsid w:val="00E2742C"/>
    <w:rsid w:val="00E276C8"/>
    <w:rsid w:val="00E27885"/>
    <w:rsid w:val="00E27A29"/>
    <w:rsid w:val="00E27CE3"/>
    <w:rsid w:val="00E301C1"/>
    <w:rsid w:val="00E30456"/>
    <w:rsid w:val="00E30868"/>
    <w:rsid w:val="00E30B82"/>
    <w:rsid w:val="00E31577"/>
    <w:rsid w:val="00E31CC2"/>
    <w:rsid w:val="00E3235B"/>
    <w:rsid w:val="00E328B8"/>
    <w:rsid w:val="00E328D2"/>
    <w:rsid w:val="00E329B5"/>
    <w:rsid w:val="00E331A0"/>
    <w:rsid w:val="00E332D9"/>
    <w:rsid w:val="00E33546"/>
    <w:rsid w:val="00E33864"/>
    <w:rsid w:val="00E33AD5"/>
    <w:rsid w:val="00E34154"/>
    <w:rsid w:val="00E3434D"/>
    <w:rsid w:val="00E346D9"/>
    <w:rsid w:val="00E34A0E"/>
    <w:rsid w:val="00E34D12"/>
    <w:rsid w:val="00E3518E"/>
    <w:rsid w:val="00E35823"/>
    <w:rsid w:val="00E35BF2"/>
    <w:rsid w:val="00E35EAE"/>
    <w:rsid w:val="00E36795"/>
    <w:rsid w:val="00E36D0B"/>
    <w:rsid w:val="00E36DB0"/>
    <w:rsid w:val="00E3769C"/>
    <w:rsid w:val="00E37ACB"/>
    <w:rsid w:val="00E37C31"/>
    <w:rsid w:val="00E37DD0"/>
    <w:rsid w:val="00E405F6"/>
    <w:rsid w:val="00E4085F"/>
    <w:rsid w:val="00E40998"/>
    <w:rsid w:val="00E40B96"/>
    <w:rsid w:val="00E40EDE"/>
    <w:rsid w:val="00E40F34"/>
    <w:rsid w:val="00E410E7"/>
    <w:rsid w:val="00E41293"/>
    <w:rsid w:val="00E415AF"/>
    <w:rsid w:val="00E418FB"/>
    <w:rsid w:val="00E42327"/>
    <w:rsid w:val="00E42519"/>
    <w:rsid w:val="00E42A72"/>
    <w:rsid w:val="00E43299"/>
    <w:rsid w:val="00E43384"/>
    <w:rsid w:val="00E4356D"/>
    <w:rsid w:val="00E435E1"/>
    <w:rsid w:val="00E43603"/>
    <w:rsid w:val="00E438F8"/>
    <w:rsid w:val="00E439F8"/>
    <w:rsid w:val="00E43AC3"/>
    <w:rsid w:val="00E43E90"/>
    <w:rsid w:val="00E43EC3"/>
    <w:rsid w:val="00E43F1B"/>
    <w:rsid w:val="00E4400B"/>
    <w:rsid w:val="00E44249"/>
    <w:rsid w:val="00E443E2"/>
    <w:rsid w:val="00E44959"/>
    <w:rsid w:val="00E44A8B"/>
    <w:rsid w:val="00E44B82"/>
    <w:rsid w:val="00E45265"/>
    <w:rsid w:val="00E452F7"/>
    <w:rsid w:val="00E453BB"/>
    <w:rsid w:val="00E454E4"/>
    <w:rsid w:val="00E4574B"/>
    <w:rsid w:val="00E45765"/>
    <w:rsid w:val="00E45B19"/>
    <w:rsid w:val="00E45EE0"/>
    <w:rsid w:val="00E46307"/>
    <w:rsid w:val="00E46B1A"/>
    <w:rsid w:val="00E4714D"/>
    <w:rsid w:val="00E4772F"/>
    <w:rsid w:val="00E47859"/>
    <w:rsid w:val="00E4796E"/>
    <w:rsid w:val="00E479BE"/>
    <w:rsid w:val="00E479DA"/>
    <w:rsid w:val="00E47FF9"/>
    <w:rsid w:val="00E507EB"/>
    <w:rsid w:val="00E508C5"/>
    <w:rsid w:val="00E50DB4"/>
    <w:rsid w:val="00E50F22"/>
    <w:rsid w:val="00E50FF9"/>
    <w:rsid w:val="00E519B0"/>
    <w:rsid w:val="00E51CBA"/>
    <w:rsid w:val="00E51DD8"/>
    <w:rsid w:val="00E51EF1"/>
    <w:rsid w:val="00E52283"/>
    <w:rsid w:val="00E52713"/>
    <w:rsid w:val="00E527C4"/>
    <w:rsid w:val="00E529D5"/>
    <w:rsid w:val="00E52EEA"/>
    <w:rsid w:val="00E53013"/>
    <w:rsid w:val="00E5324A"/>
    <w:rsid w:val="00E53303"/>
    <w:rsid w:val="00E5354B"/>
    <w:rsid w:val="00E53876"/>
    <w:rsid w:val="00E53936"/>
    <w:rsid w:val="00E53B82"/>
    <w:rsid w:val="00E53F85"/>
    <w:rsid w:val="00E5429B"/>
    <w:rsid w:val="00E54394"/>
    <w:rsid w:val="00E544B3"/>
    <w:rsid w:val="00E544F7"/>
    <w:rsid w:val="00E54699"/>
    <w:rsid w:val="00E54709"/>
    <w:rsid w:val="00E548AE"/>
    <w:rsid w:val="00E5496E"/>
    <w:rsid w:val="00E554DE"/>
    <w:rsid w:val="00E555FC"/>
    <w:rsid w:val="00E55A48"/>
    <w:rsid w:val="00E55E95"/>
    <w:rsid w:val="00E56365"/>
    <w:rsid w:val="00E564D3"/>
    <w:rsid w:val="00E56707"/>
    <w:rsid w:val="00E56851"/>
    <w:rsid w:val="00E56ABF"/>
    <w:rsid w:val="00E578B2"/>
    <w:rsid w:val="00E57A51"/>
    <w:rsid w:val="00E57C4C"/>
    <w:rsid w:val="00E57D40"/>
    <w:rsid w:val="00E57DD9"/>
    <w:rsid w:val="00E57E70"/>
    <w:rsid w:val="00E6005D"/>
    <w:rsid w:val="00E601A3"/>
    <w:rsid w:val="00E601BD"/>
    <w:rsid w:val="00E602E9"/>
    <w:rsid w:val="00E604F5"/>
    <w:rsid w:val="00E60541"/>
    <w:rsid w:val="00E60FED"/>
    <w:rsid w:val="00E6102E"/>
    <w:rsid w:val="00E6134C"/>
    <w:rsid w:val="00E61571"/>
    <w:rsid w:val="00E61841"/>
    <w:rsid w:val="00E619FF"/>
    <w:rsid w:val="00E622CE"/>
    <w:rsid w:val="00E62CED"/>
    <w:rsid w:val="00E63096"/>
    <w:rsid w:val="00E63254"/>
    <w:rsid w:val="00E63284"/>
    <w:rsid w:val="00E6333C"/>
    <w:rsid w:val="00E63687"/>
    <w:rsid w:val="00E63930"/>
    <w:rsid w:val="00E63E20"/>
    <w:rsid w:val="00E63E75"/>
    <w:rsid w:val="00E64068"/>
    <w:rsid w:val="00E6419A"/>
    <w:rsid w:val="00E64780"/>
    <w:rsid w:val="00E647FA"/>
    <w:rsid w:val="00E65013"/>
    <w:rsid w:val="00E65173"/>
    <w:rsid w:val="00E65427"/>
    <w:rsid w:val="00E6555B"/>
    <w:rsid w:val="00E65788"/>
    <w:rsid w:val="00E6578C"/>
    <w:rsid w:val="00E65E31"/>
    <w:rsid w:val="00E65E37"/>
    <w:rsid w:val="00E66127"/>
    <w:rsid w:val="00E66194"/>
    <w:rsid w:val="00E66293"/>
    <w:rsid w:val="00E66860"/>
    <w:rsid w:val="00E66D9B"/>
    <w:rsid w:val="00E672AB"/>
    <w:rsid w:val="00E67625"/>
    <w:rsid w:val="00E678EE"/>
    <w:rsid w:val="00E67923"/>
    <w:rsid w:val="00E67A09"/>
    <w:rsid w:val="00E67BC3"/>
    <w:rsid w:val="00E70102"/>
    <w:rsid w:val="00E702E7"/>
    <w:rsid w:val="00E707DF"/>
    <w:rsid w:val="00E70A0C"/>
    <w:rsid w:val="00E71223"/>
    <w:rsid w:val="00E712EF"/>
    <w:rsid w:val="00E71562"/>
    <w:rsid w:val="00E717B4"/>
    <w:rsid w:val="00E7183B"/>
    <w:rsid w:val="00E71BCD"/>
    <w:rsid w:val="00E71F04"/>
    <w:rsid w:val="00E7211D"/>
    <w:rsid w:val="00E7213F"/>
    <w:rsid w:val="00E7222F"/>
    <w:rsid w:val="00E72725"/>
    <w:rsid w:val="00E728C9"/>
    <w:rsid w:val="00E728D1"/>
    <w:rsid w:val="00E72DD6"/>
    <w:rsid w:val="00E72E7D"/>
    <w:rsid w:val="00E73B3D"/>
    <w:rsid w:val="00E7443D"/>
    <w:rsid w:val="00E74851"/>
    <w:rsid w:val="00E748E7"/>
    <w:rsid w:val="00E749E0"/>
    <w:rsid w:val="00E74D20"/>
    <w:rsid w:val="00E74D7E"/>
    <w:rsid w:val="00E75470"/>
    <w:rsid w:val="00E755AE"/>
    <w:rsid w:val="00E75A5B"/>
    <w:rsid w:val="00E75D0C"/>
    <w:rsid w:val="00E75E9B"/>
    <w:rsid w:val="00E7636C"/>
    <w:rsid w:val="00E76573"/>
    <w:rsid w:val="00E7661B"/>
    <w:rsid w:val="00E76C85"/>
    <w:rsid w:val="00E77253"/>
    <w:rsid w:val="00E778DA"/>
    <w:rsid w:val="00E77BCF"/>
    <w:rsid w:val="00E77C4D"/>
    <w:rsid w:val="00E801FF"/>
    <w:rsid w:val="00E80518"/>
    <w:rsid w:val="00E80694"/>
    <w:rsid w:val="00E80695"/>
    <w:rsid w:val="00E80A7C"/>
    <w:rsid w:val="00E80DBF"/>
    <w:rsid w:val="00E80F71"/>
    <w:rsid w:val="00E812A2"/>
    <w:rsid w:val="00E81C18"/>
    <w:rsid w:val="00E82158"/>
    <w:rsid w:val="00E821A9"/>
    <w:rsid w:val="00E8223A"/>
    <w:rsid w:val="00E822BD"/>
    <w:rsid w:val="00E828DA"/>
    <w:rsid w:val="00E82C5B"/>
    <w:rsid w:val="00E830AC"/>
    <w:rsid w:val="00E835C0"/>
    <w:rsid w:val="00E8362E"/>
    <w:rsid w:val="00E8385B"/>
    <w:rsid w:val="00E83A31"/>
    <w:rsid w:val="00E83AE5"/>
    <w:rsid w:val="00E83ED7"/>
    <w:rsid w:val="00E8422C"/>
    <w:rsid w:val="00E8477F"/>
    <w:rsid w:val="00E84936"/>
    <w:rsid w:val="00E8493A"/>
    <w:rsid w:val="00E84BB6"/>
    <w:rsid w:val="00E84E12"/>
    <w:rsid w:val="00E84E7F"/>
    <w:rsid w:val="00E84F24"/>
    <w:rsid w:val="00E85069"/>
    <w:rsid w:val="00E85371"/>
    <w:rsid w:val="00E85527"/>
    <w:rsid w:val="00E86057"/>
    <w:rsid w:val="00E860F2"/>
    <w:rsid w:val="00E861A8"/>
    <w:rsid w:val="00E87463"/>
    <w:rsid w:val="00E8759A"/>
    <w:rsid w:val="00E876AD"/>
    <w:rsid w:val="00E8783E"/>
    <w:rsid w:val="00E87D3F"/>
    <w:rsid w:val="00E87FA3"/>
    <w:rsid w:val="00E9014A"/>
    <w:rsid w:val="00E9048B"/>
    <w:rsid w:val="00E908A9"/>
    <w:rsid w:val="00E90D52"/>
    <w:rsid w:val="00E90D9E"/>
    <w:rsid w:val="00E9121F"/>
    <w:rsid w:val="00E914A4"/>
    <w:rsid w:val="00E91573"/>
    <w:rsid w:val="00E9174D"/>
    <w:rsid w:val="00E91851"/>
    <w:rsid w:val="00E91852"/>
    <w:rsid w:val="00E9251D"/>
    <w:rsid w:val="00E925F4"/>
    <w:rsid w:val="00E9284F"/>
    <w:rsid w:val="00E9288B"/>
    <w:rsid w:val="00E935F8"/>
    <w:rsid w:val="00E93682"/>
    <w:rsid w:val="00E9376D"/>
    <w:rsid w:val="00E93AB3"/>
    <w:rsid w:val="00E93ACD"/>
    <w:rsid w:val="00E93CAA"/>
    <w:rsid w:val="00E93CC9"/>
    <w:rsid w:val="00E942C1"/>
    <w:rsid w:val="00E94306"/>
    <w:rsid w:val="00E94536"/>
    <w:rsid w:val="00E946FA"/>
    <w:rsid w:val="00E948DB"/>
    <w:rsid w:val="00E95084"/>
    <w:rsid w:val="00E95090"/>
    <w:rsid w:val="00E958A6"/>
    <w:rsid w:val="00E95CBB"/>
    <w:rsid w:val="00E95E37"/>
    <w:rsid w:val="00E95E43"/>
    <w:rsid w:val="00E95F14"/>
    <w:rsid w:val="00E9626A"/>
    <w:rsid w:val="00E96308"/>
    <w:rsid w:val="00E96464"/>
    <w:rsid w:val="00E96583"/>
    <w:rsid w:val="00E968CF"/>
    <w:rsid w:val="00E96A88"/>
    <w:rsid w:val="00E97200"/>
    <w:rsid w:val="00E97B5E"/>
    <w:rsid w:val="00E97C12"/>
    <w:rsid w:val="00E97DA6"/>
    <w:rsid w:val="00E97E58"/>
    <w:rsid w:val="00EA00BB"/>
    <w:rsid w:val="00EA0192"/>
    <w:rsid w:val="00EA05B4"/>
    <w:rsid w:val="00EA0626"/>
    <w:rsid w:val="00EA075B"/>
    <w:rsid w:val="00EA0F56"/>
    <w:rsid w:val="00EA1379"/>
    <w:rsid w:val="00EA16E3"/>
    <w:rsid w:val="00EA170B"/>
    <w:rsid w:val="00EA17B2"/>
    <w:rsid w:val="00EA2195"/>
    <w:rsid w:val="00EA2284"/>
    <w:rsid w:val="00EA25FD"/>
    <w:rsid w:val="00EA2690"/>
    <w:rsid w:val="00EA2888"/>
    <w:rsid w:val="00EA2B60"/>
    <w:rsid w:val="00EA3182"/>
    <w:rsid w:val="00EA3223"/>
    <w:rsid w:val="00EA35E2"/>
    <w:rsid w:val="00EA3A34"/>
    <w:rsid w:val="00EA3DF2"/>
    <w:rsid w:val="00EA3E09"/>
    <w:rsid w:val="00EA42E9"/>
    <w:rsid w:val="00EA473A"/>
    <w:rsid w:val="00EA47C5"/>
    <w:rsid w:val="00EA4983"/>
    <w:rsid w:val="00EA4A78"/>
    <w:rsid w:val="00EA4BE9"/>
    <w:rsid w:val="00EA4D17"/>
    <w:rsid w:val="00EA4F13"/>
    <w:rsid w:val="00EA525C"/>
    <w:rsid w:val="00EA5331"/>
    <w:rsid w:val="00EA54B8"/>
    <w:rsid w:val="00EA553F"/>
    <w:rsid w:val="00EA5792"/>
    <w:rsid w:val="00EA5ADC"/>
    <w:rsid w:val="00EA612F"/>
    <w:rsid w:val="00EA655F"/>
    <w:rsid w:val="00EA679A"/>
    <w:rsid w:val="00EA6A3B"/>
    <w:rsid w:val="00EA6AF9"/>
    <w:rsid w:val="00EA6CEF"/>
    <w:rsid w:val="00EA7601"/>
    <w:rsid w:val="00EA761C"/>
    <w:rsid w:val="00EA77F8"/>
    <w:rsid w:val="00EB0074"/>
    <w:rsid w:val="00EB0341"/>
    <w:rsid w:val="00EB04DB"/>
    <w:rsid w:val="00EB0521"/>
    <w:rsid w:val="00EB0830"/>
    <w:rsid w:val="00EB0853"/>
    <w:rsid w:val="00EB0AEA"/>
    <w:rsid w:val="00EB0B7D"/>
    <w:rsid w:val="00EB0B80"/>
    <w:rsid w:val="00EB0D3A"/>
    <w:rsid w:val="00EB1008"/>
    <w:rsid w:val="00EB10C2"/>
    <w:rsid w:val="00EB1650"/>
    <w:rsid w:val="00EB1782"/>
    <w:rsid w:val="00EB1BFD"/>
    <w:rsid w:val="00EB20BD"/>
    <w:rsid w:val="00EB21F1"/>
    <w:rsid w:val="00EB2A67"/>
    <w:rsid w:val="00EB30F1"/>
    <w:rsid w:val="00EB352D"/>
    <w:rsid w:val="00EB36F2"/>
    <w:rsid w:val="00EB3800"/>
    <w:rsid w:val="00EB3B8F"/>
    <w:rsid w:val="00EB3CB2"/>
    <w:rsid w:val="00EB3D9E"/>
    <w:rsid w:val="00EB47C3"/>
    <w:rsid w:val="00EB48ED"/>
    <w:rsid w:val="00EB49C1"/>
    <w:rsid w:val="00EB4A37"/>
    <w:rsid w:val="00EB4CDA"/>
    <w:rsid w:val="00EB5041"/>
    <w:rsid w:val="00EB51F6"/>
    <w:rsid w:val="00EB5470"/>
    <w:rsid w:val="00EB5724"/>
    <w:rsid w:val="00EB585C"/>
    <w:rsid w:val="00EB585E"/>
    <w:rsid w:val="00EB59B7"/>
    <w:rsid w:val="00EB66EF"/>
    <w:rsid w:val="00EB6A9E"/>
    <w:rsid w:val="00EB7094"/>
    <w:rsid w:val="00EB71EE"/>
    <w:rsid w:val="00EB7DBA"/>
    <w:rsid w:val="00EB7E5F"/>
    <w:rsid w:val="00EC019C"/>
    <w:rsid w:val="00EC0256"/>
    <w:rsid w:val="00EC0275"/>
    <w:rsid w:val="00EC05AB"/>
    <w:rsid w:val="00EC067A"/>
    <w:rsid w:val="00EC06AD"/>
    <w:rsid w:val="00EC0844"/>
    <w:rsid w:val="00EC08ED"/>
    <w:rsid w:val="00EC0B77"/>
    <w:rsid w:val="00EC1132"/>
    <w:rsid w:val="00EC1384"/>
    <w:rsid w:val="00EC13C4"/>
    <w:rsid w:val="00EC1419"/>
    <w:rsid w:val="00EC1730"/>
    <w:rsid w:val="00EC18CA"/>
    <w:rsid w:val="00EC1906"/>
    <w:rsid w:val="00EC19B8"/>
    <w:rsid w:val="00EC2158"/>
    <w:rsid w:val="00EC22A9"/>
    <w:rsid w:val="00EC26F8"/>
    <w:rsid w:val="00EC27F8"/>
    <w:rsid w:val="00EC2E09"/>
    <w:rsid w:val="00EC2F54"/>
    <w:rsid w:val="00EC3305"/>
    <w:rsid w:val="00EC3545"/>
    <w:rsid w:val="00EC3574"/>
    <w:rsid w:val="00EC3643"/>
    <w:rsid w:val="00EC380B"/>
    <w:rsid w:val="00EC3C29"/>
    <w:rsid w:val="00EC3C39"/>
    <w:rsid w:val="00EC3FD7"/>
    <w:rsid w:val="00EC4260"/>
    <w:rsid w:val="00EC4382"/>
    <w:rsid w:val="00EC439F"/>
    <w:rsid w:val="00EC441A"/>
    <w:rsid w:val="00EC450D"/>
    <w:rsid w:val="00EC4668"/>
    <w:rsid w:val="00EC4850"/>
    <w:rsid w:val="00EC5088"/>
    <w:rsid w:val="00EC52B9"/>
    <w:rsid w:val="00EC567D"/>
    <w:rsid w:val="00EC5C2D"/>
    <w:rsid w:val="00EC5C37"/>
    <w:rsid w:val="00EC5F5F"/>
    <w:rsid w:val="00EC5FC5"/>
    <w:rsid w:val="00EC607E"/>
    <w:rsid w:val="00EC641A"/>
    <w:rsid w:val="00EC6C15"/>
    <w:rsid w:val="00EC6E99"/>
    <w:rsid w:val="00EC725A"/>
    <w:rsid w:val="00EC7284"/>
    <w:rsid w:val="00EC74E1"/>
    <w:rsid w:val="00EC7634"/>
    <w:rsid w:val="00EC7D1F"/>
    <w:rsid w:val="00ED02D8"/>
    <w:rsid w:val="00ED0512"/>
    <w:rsid w:val="00ED0938"/>
    <w:rsid w:val="00ED096D"/>
    <w:rsid w:val="00ED0CA9"/>
    <w:rsid w:val="00ED0FA8"/>
    <w:rsid w:val="00ED12A9"/>
    <w:rsid w:val="00ED156E"/>
    <w:rsid w:val="00ED1A00"/>
    <w:rsid w:val="00ED1A1D"/>
    <w:rsid w:val="00ED1D0D"/>
    <w:rsid w:val="00ED1F2D"/>
    <w:rsid w:val="00ED1F76"/>
    <w:rsid w:val="00ED242A"/>
    <w:rsid w:val="00ED2464"/>
    <w:rsid w:val="00ED2BD9"/>
    <w:rsid w:val="00ED2F9B"/>
    <w:rsid w:val="00ED328F"/>
    <w:rsid w:val="00ED3338"/>
    <w:rsid w:val="00ED3567"/>
    <w:rsid w:val="00ED37DC"/>
    <w:rsid w:val="00ED383C"/>
    <w:rsid w:val="00ED3E49"/>
    <w:rsid w:val="00ED401C"/>
    <w:rsid w:val="00ED42C9"/>
    <w:rsid w:val="00ED43B9"/>
    <w:rsid w:val="00ED46C8"/>
    <w:rsid w:val="00ED47F8"/>
    <w:rsid w:val="00ED4CDF"/>
    <w:rsid w:val="00ED4E78"/>
    <w:rsid w:val="00ED50E4"/>
    <w:rsid w:val="00ED54D7"/>
    <w:rsid w:val="00ED570C"/>
    <w:rsid w:val="00ED596E"/>
    <w:rsid w:val="00ED5A92"/>
    <w:rsid w:val="00ED5D7D"/>
    <w:rsid w:val="00ED5F1D"/>
    <w:rsid w:val="00ED627E"/>
    <w:rsid w:val="00ED6333"/>
    <w:rsid w:val="00ED646F"/>
    <w:rsid w:val="00ED64CC"/>
    <w:rsid w:val="00ED7023"/>
    <w:rsid w:val="00ED7365"/>
    <w:rsid w:val="00ED73BA"/>
    <w:rsid w:val="00ED79BE"/>
    <w:rsid w:val="00ED7D42"/>
    <w:rsid w:val="00EE00B3"/>
    <w:rsid w:val="00EE0197"/>
    <w:rsid w:val="00EE02FF"/>
    <w:rsid w:val="00EE0BBE"/>
    <w:rsid w:val="00EE0E7C"/>
    <w:rsid w:val="00EE0EFD"/>
    <w:rsid w:val="00EE0F7A"/>
    <w:rsid w:val="00EE1133"/>
    <w:rsid w:val="00EE1314"/>
    <w:rsid w:val="00EE13BB"/>
    <w:rsid w:val="00EE144F"/>
    <w:rsid w:val="00EE169D"/>
    <w:rsid w:val="00EE1983"/>
    <w:rsid w:val="00EE1E0A"/>
    <w:rsid w:val="00EE2032"/>
    <w:rsid w:val="00EE2100"/>
    <w:rsid w:val="00EE2210"/>
    <w:rsid w:val="00EE26D1"/>
    <w:rsid w:val="00EE2837"/>
    <w:rsid w:val="00EE288B"/>
    <w:rsid w:val="00EE28E4"/>
    <w:rsid w:val="00EE2A2A"/>
    <w:rsid w:val="00EE2DD3"/>
    <w:rsid w:val="00EE2EFE"/>
    <w:rsid w:val="00EE336D"/>
    <w:rsid w:val="00EE398A"/>
    <w:rsid w:val="00EE3F20"/>
    <w:rsid w:val="00EE3F59"/>
    <w:rsid w:val="00EE46C4"/>
    <w:rsid w:val="00EE4903"/>
    <w:rsid w:val="00EE499C"/>
    <w:rsid w:val="00EE4A6E"/>
    <w:rsid w:val="00EE578F"/>
    <w:rsid w:val="00EE5AC4"/>
    <w:rsid w:val="00EE5CFA"/>
    <w:rsid w:val="00EE5D83"/>
    <w:rsid w:val="00EE64F9"/>
    <w:rsid w:val="00EE6A54"/>
    <w:rsid w:val="00EE6BE1"/>
    <w:rsid w:val="00EE6D1A"/>
    <w:rsid w:val="00EE7044"/>
    <w:rsid w:val="00EE7428"/>
    <w:rsid w:val="00EE76EF"/>
    <w:rsid w:val="00EE7969"/>
    <w:rsid w:val="00EE7A1C"/>
    <w:rsid w:val="00EE7AB7"/>
    <w:rsid w:val="00EE7B6F"/>
    <w:rsid w:val="00EF03D0"/>
    <w:rsid w:val="00EF0622"/>
    <w:rsid w:val="00EF0D66"/>
    <w:rsid w:val="00EF1210"/>
    <w:rsid w:val="00EF1420"/>
    <w:rsid w:val="00EF16F9"/>
    <w:rsid w:val="00EF17CD"/>
    <w:rsid w:val="00EF191B"/>
    <w:rsid w:val="00EF1A7E"/>
    <w:rsid w:val="00EF1FE7"/>
    <w:rsid w:val="00EF2102"/>
    <w:rsid w:val="00EF26A3"/>
    <w:rsid w:val="00EF2741"/>
    <w:rsid w:val="00EF28AF"/>
    <w:rsid w:val="00EF2908"/>
    <w:rsid w:val="00EF33C3"/>
    <w:rsid w:val="00EF350D"/>
    <w:rsid w:val="00EF386E"/>
    <w:rsid w:val="00EF3F1C"/>
    <w:rsid w:val="00EF455E"/>
    <w:rsid w:val="00EF46FC"/>
    <w:rsid w:val="00EF4D3C"/>
    <w:rsid w:val="00EF5080"/>
    <w:rsid w:val="00EF5386"/>
    <w:rsid w:val="00EF553B"/>
    <w:rsid w:val="00EF5B37"/>
    <w:rsid w:val="00EF5D65"/>
    <w:rsid w:val="00EF6FF8"/>
    <w:rsid w:val="00F002FC"/>
    <w:rsid w:val="00F0044B"/>
    <w:rsid w:val="00F005AC"/>
    <w:rsid w:val="00F00E33"/>
    <w:rsid w:val="00F0241D"/>
    <w:rsid w:val="00F02554"/>
    <w:rsid w:val="00F026E4"/>
    <w:rsid w:val="00F028B8"/>
    <w:rsid w:val="00F02AB6"/>
    <w:rsid w:val="00F02CB8"/>
    <w:rsid w:val="00F02F29"/>
    <w:rsid w:val="00F03150"/>
    <w:rsid w:val="00F0327C"/>
    <w:rsid w:val="00F033DC"/>
    <w:rsid w:val="00F035BC"/>
    <w:rsid w:val="00F036A6"/>
    <w:rsid w:val="00F03796"/>
    <w:rsid w:val="00F03D2B"/>
    <w:rsid w:val="00F04071"/>
    <w:rsid w:val="00F0458B"/>
    <w:rsid w:val="00F04700"/>
    <w:rsid w:val="00F04F0F"/>
    <w:rsid w:val="00F053FA"/>
    <w:rsid w:val="00F0557D"/>
    <w:rsid w:val="00F05831"/>
    <w:rsid w:val="00F05839"/>
    <w:rsid w:val="00F06632"/>
    <w:rsid w:val="00F0665E"/>
    <w:rsid w:val="00F069CD"/>
    <w:rsid w:val="00F06B83"/>
    <w:rsid w:val="00F06C86"/>
    <w:rsid w:val="00F06DB7"/>
    <w:rsid w:val="00F06E48"/>
    <w:rsid w:val="00F06F0C"/>
    <w:rsid w:val="00F077F4"/>
    <w:rsid w:val="00F078B1"/>
    <w:rsid w:val="00F10135"/>
    <w:rsid w:val="00F102A6"/>
    <w:rsid w:val="00F105EA"/>
    <w:rsid w:val="00F10D26"/>
    <w:rsid w:val="00F10D7D"/>
    <w:rsid w:val="00F110AF"/>
    <w:rsid w:val="00F1118A"/>
    <w:rsid w:val="00F1164F"/>
    <w:rsid w:val="00F120AD"/>
    <w:rsid w:val="00F1255D"/>
    <w:rsid w:val="00F12A2E"/>
    <w:rsid w:val="00F12A6F"/>
    <w:rsid w:val="00F13318"/>
    <w:rsid w:val="00F13490"/>
    <w:rsid w:val="00F138DE"/>
    <w:rsid w:val="00F13D4B"/>
    <w:rsid w:val="00F13DDC"/>
    <w:rsid w:val="00F13F68"/>
    <w:rsid w:val="00F14064"/>
    <w:rsid w:val="00F14410"/>
    <w:rsid w:val="00F14629"/>
    <w:rsid w:val="00F1466A"/>
    <w:rsid w:val="00F147D8"/>
    <w:rsid w:val="00F14825"/>
    <w:rsid w:val="00F14A9A"/>
    <w:rsid w:val="00F14EC6"/>
    <w:rsid w:val="00F15311"/>
    <w:rsid w:val="00F15493"/>
    <w:rsid w:val="00F15B12"/>
    <w:rsid w:val="00F16072"/>
    <w:rsid w:val="00F165BF"/>
    <w:rsid w:val="00F165E8"/>
    <w:rsid w:val="00F169F5"/>
    <w:rsid w:val="00F16A59"/>
    <w:rsid w:val="00F16E6F"/>
    <w:rsid w:val="00F16F14"/>
    <w:rsid w:val="00F1716C"/>
    <w:rsid w:val="00F17237"/>
    <w:rsid w:val="00F17350"/>
    <w:rsid w:val="00F177FD"/>
    <w:rsid w:val="00F17977"/>
    <w:rsid w:val="00F17988"/>
    <w:rsid w:val="00F17ADB"/>
    <w:rsid w:val="00F17B26"/>
    <w:rsid w:val="00F17B9A"/>
    <w:rsid w:val="00F17F79"/>
    <w:rsid w:val="00F2037E"/>
    <w:rsid w:val="00F206EE"/>
    <w:rsid w:val="00F20724"/>
    <w:rsid w:val="00F20CA6"/>
    <w:rsid w:val="00F20CEB"/>
    <w:rsid w:val="00F21326"/>
    <w:rsid w:val="00F21834"/>
    <w:rsid w:val="00F21964"/>
    <w:rsid w:val="00F21A1A"/>
    <w:rsid w:val="00F21C7F"/>
    <w:rsid w:val="00F21D9D"/>
    <w:rsid w:val="00F21FB3"/>
    <w:rsid w:val="00F22284"/>
    <w:rsid w:val="00F22393"/>
    <w:rsid w:val="00F22628"/>
    <w:rsid w:val="00F22C48"/>
    <w:rsid w:val="00F22E52"/>
    <w:rsid w:val="00F23390"/>
    <w:rsid w:val="00F23528"/>
    <w:rsid w:val="00F235D2"/>
    <w:rsid w:val="00F236AF"/>
    <w:rsid w:val="00F237F9"/>
    <w:rsid w:val="00F239D6"/>
    <w:rsid w:val="00F23AF5"/>
    <w:rsid w:val="00F23BC0"/>
    <w:rsid w:val="00F244D6"/>
    <w:rsid w:val="00F24749"/>
    <w:rsid w:val="00F247F2"/>
    <w:rsid w:val="00F24A60"/>
    <w:rsid w:val="00F24A64"/>
    <w:rsid w:val="00F24F70"/>
    <w:rsid w:val="00F2546A"/>
    <w:rsid w:val="00F254BE"/>
    <w:rsid w:val="00F254DA"/>
    <w:rsid w:val="00F25830"/>
    <w:rsid w:val="00F25D2C"/>
    <w:rsid w:val="00F25E6B"/>
    <w:rsid w:val="00F25F5A"/>
    <w:rsid w:val="00F25FF4"/>
    <w:rsid w:val="00F26091"/>
    <w:rsid w:val="00F260C0"/>
    <w:rsid w:val="00F2619D"/>
    <w:rsid w:val="00F264B8"/>
    <w:rsid w:val="00F267EA"/>
    <w:rsid w:val="00F27093"/>
    <w:rsid w:val="00F2734C"/>
    <w:rsid w:val="00F27943"/>
    <w:rsid w:val="00F27D3F"/>
    <w:rsid w:val="00F3061D"/>
    <w:rsid w:val="00F30779"/>
    <w:rsid w:val="00F3090D"/>
    <w:rsid w:val="00F30B84"/>
    <w:rsid w:val="00F30C04"/>
    <w:rsid w:val="00F30D28"/>
    <w:rsid w:val="00F31244"/>
    <w:rsid w:val="00F3183D"/>
    <w:rsid w:val="00F31863"/>
    <w:rsid w:val="00F31BB5"/>
    <w:rsid w:val="00F32266"/>
    <w:rsid w:val="00F32604"/>
    <w:rsid w:val="00F326DD"/>
    <w:rsid w:val="00F32A00"/>
    <w:rsid w:val="00F32C21"/>
    <w:rsid w:val="00F33855"/>
    <w:rsid w:val="00F33976"/>
    <w:rsid w:val="00F33E52"/>
    <w:rsid w:val="00F34502"/>
    <w:rsid w:val="00F349C6"/>
    <w:rsid w:val="00F351A1"/>
    <w:rsid w:val="00F35C26"/>
    <w:rsid w:val="00F35F28"/>
    <w:rsid w:val="00F36FAC"/>
    <w:rsid w:val="00F3726D"/>
    <w:rsid w:val="00F373DC"/>
    <w:rsid w:val="00F375FB"/>
    <w:rsid w:val="00F37894"/>
    <w:rsid w:val="00F37B73"/>
    <w:rsid w:val="00F37BE2"/>
    <w:rsid w:val="00F37E87"/>
    <w:rsid w:val="00F4021C"/>
    <w:rsid w:val="00F402BD"/>
    <w:rsid w:val="00F4063E"/>
    <w:rsid w:val="00F406C7"/>
    <w:rsid w:val="00F407A9"/>
    <w:rsid w:val="00F4080F"/>
    <w:rsid w:val="00F4098E"/>
    <w:rsid w:val="00F40C72"/>
    <w:rsid w:val="00F411B6"/>
    <w:rsid w:val="00F412E3"/>
    <w:rsid w:val="00F41336"/>
    <w:rsid w:val="00F41509"/>
    <w:rsid w:val="00F41521"/>
    <w:rsid w:val="00F41589"/>
    <w:rsid w:val="00F4176D"/>
    <w:rsid w:val="00F41879"/>
    <w:rsid w:val="00F41EE3"/>
    <w:rsid w:val="00F42162"/>
    <w:rsid w:val="00F4242A"/>
    <w:rsid w:val="00F42B33"/>
    <w:rsid w:val="00F42D0A"/>
    <w:rsid w:val="00F4328A"/>
    <w:rsid w:val="00F43328"/>
    <w:rsid w:val="00F4376A"/>
    <w:rsid w:val="00F43AFC"/>
    <w:rsid w:val="00F43BF2"/>
    <w:rsid w:val="00F43C5F"/>
    <w:rsid w:val="00F44567"/>
    <w:rsid w:val="00F44CC1"/>
    <w:rsid w:val="00F44E36"/>
    <w:rsid w:val="00F452B3"/>
    <w:rsid w:val="00F45654"/>
    <w:rsid w:val="00F45949"/>
    <w:rsid w:val="00F459F5"/>
    <w:rsid w:val="00F45CA6"/>
    <w:rsid w:val="00F4628D"/>
    <w:rsid w:val="00F464FB"/>
    <w:rsid w:val="00F46ADF"/>
    <w:rsid w:val="00F46F4A"/>
    <w:rsid w:val="00F471BB"/>
    <w:rsid w:val="00F47744"/>
    <w:rsid w:val="00F500F5"/>
    <w:rsid w:val="00F50393"/>
    <w:rsid w:val="00F506BB"/>
    <w:rsid w:val="00F506E0"/>
    <w:rsid w:val="00F50C41"/>
    <w:rsid w:val="00F51426"/>
    <w:rsid w:val="00F5145B"/>
    <w:rsid w:val="00F51462"/>
    <w:rsid w:val="00F515C6"/>
    <w:rsid w:val="00F51A1B"/>
    <w:rsid w:val="00F51DA2"/>
    <w:rsid w:val="00F520BE"/>
    <w:rsid w:val="00F520CD"/>
    <w:rsid w:val="00F522DC"/>
    <w:rsid w:val="00F52302"/>
    <w:rsid w:val="00F52601"/>
    <w:rsid w:val="00F52757"/>
    <w:rsid w:val="00F529E2"/>
    <w:rsid w:val="00F52BC2"/>
    <w:rsid w:val="00F52E1F"/>
    <w:rsid w:val="00F53084"/>
    <w:rsid w:val="00F537FA"/>
    <w:rsid w:val="00F5399B"/>
    <w:rsid w:val="00F53D89"/>
    <w:rsid w:val="00F53DCD"/>
    <w:rsid w:val="00F53E27"/>
    <w:rsid w:val="00F54A02"/>
    <w:rsid w:val="00F54B5C"/>
    <w:rsid w:val="00F54BAF"/>
    <w:rsid w:val="00F55780"/>
    <w:rsid w:val="00F55916"/>
    <w:rsid w:val="00F55BD7"/>
    <w:rsid w:val="00F55F3E"/>
    <w:rsid w:val="00F5621D"/>
    <w:rsid w:val="00F562F7"/>
    <w:rsid w:val="00F564B4"/>
    <w:rsid w:val="00F5687D"/>
    <w:rsid w:val="00F56900"/>
    <w:rsid w:val="00F56B7E"/>
    <w:rsid w:val="00F56C6C"/>
    <w:rsid w:val="00F56F06"/>
    <w:rsid w:val="00F57026"/>
    <w:rsid w:val="00F57CB3"/>
    <w:rsid w:val="00F57E2D"/>
    <w:rsid w:val="00F601A9"/>
    <w:rsid w:val="00F604FB"/>
    <w:rsid w:val="00F60679"/>
    <w:rsid w:val="00F608EF"/>
    <w:rsid w:val="00F60955"/>
    <w:rsid w:val="00F60FEF"/>
    <w:rsid w:val="00F61450"/>
    <w:rsid w:val="00F6156F"/>
    <w:rsid w:val="00F617DD"/>
    <w:rsid w:val="00F6197C"/>
    <w:rsid w:val="00F61E80"/>
    <w:rsid w:val="00F61E84"/>
    <w:rsid w:val="00F62143"/>
    <w:rsid w:val="00F622A0"/>
    <w:rsid w:val="00F62479"/>
    <w:rsid w:val="00F62706"/>
    <w:rsid w:val="00F6308D"/>
    <w:rsid w:val="00F63177"/>
    <w:rsid w:val="00F632C3"/>
    <w:rsid w:val="00F632DE"/>
    <w:rsid w:val="00F63333"/>
    <w:rsid w:val="00F634B4"/>
    <w:rsid w:val="00F634FB"/>
    <w:rsid w:val="00F63775"/>
    <w:rsid w:val="00F63B54"/>
    <w:rsid w:val="00F63B65"/>
    <w:rsid w:val="00F63B76"/>
    <w:rsid w:val="00F63EDC"/>
    <w:rsid w:val="00F64122"/>
    <w:rsid w:val="00F6470B"/>
    <w:rsid w:val="00F647E7"/>
    <w:rsid w:val="00F64B52"/>
    <w:rsid w:val="00F64BBC"/>
    <w:rsid w:val="00F64F70"/>
    <w:rsid w:val="00F651E8"/>
    <w:rsid w:val="00F65895"/>
    <w:rsid w:val="00F65E7D"/>
    <w:rsid w:val="00F66074"/>
    <w:rsid w:val="00F661A6"/>
    <w:rsid w:val="00F66A9C"/>
    <w:rsid w:val="00F67074"/>
    <w:rsid w:val="00F67209"/>
    <w:rsid w:val="00F674ED"/>
    <w:rsid w:val="00F678D6"/>
    <w:rsid w:val="00F67CCB"/>
    <w:rsid w:val="00F67DDB"/>
    <w:rsid w:val="00F7069F"/>
    <w:rsid w:val="00F707AC"/>
    <w:rsid w:val="00F7083C"/>
    <w:rsid w:val="00F7084D"/>
    <w:rsid w:val="00F708FB"/>
    <w:rsid w:val="00F70C34"/>
    <w:rsid w:val="00F70DB4"/>
    <w:rsid w:val="00F70EFD"/>
    <w:rsid w:val="00F70FE5"/>
    <w:rsid w:val="00F71316"/>
    <w:rsid w:val="00F717B2"/>
    <w:rsid w:val="00F71C64"/>
    <w:rsid w:val="00F71D04"/>
    <w:rsid w:val="00F71F47"/>
    <w:rsid w:val="00F7204B"/>
    <w:rsid w:val="00F72094"/>
    <w:rsid w:val="00F72236"/>
    <w:rsid w:val="00F724F9"/>
    <w:rsid w:val="00F72E36"/>
    <w:rsid w:val="00F7301E"/>
    <w:rsid w:val="00F733A9"/>
    <w:rsid w:val="00F73827"/>
    <w:rsid w:val="00F73BE3"/>
    <w:rsid w:val="00F73D24"/>
    <w:rsid w:val="00F74997"/>
    <w:rsid w:val="00F75070"/>
    <w:rsid w:val="00F750D9"/>
    <w:rsid w:val="00F7525D"/>
    <w:rsid w:val="00F7548F"/>
    <w:rsid w:val="00F754CE"/>
    <w:rsid w:val="00F755C1"/>
    <w:rsid w:val="00F75AEE"/>
    <w:rsid w:val="00F75ECA"/>
    <w:rsid w:val="00F7647A"/>
    <w:rsid w:val="00F7685B"/>
    <w:rsid w:val="00F76B1C"/>
    <w:rsid w:val="00F76B45"/>
    <w:rsid w:val="00F76DB8"/>
    <w:rsid w:val="00F77112"/>
    <w:rsid w:val="00F776FA"/>
    <w:rsid w:val="00F77855"/>
    <w:rsid w:val="00F77EBE"/>
    <w:rsid w:val="00F77F2C"/>
    <w:rsid w:val="00F801D6"/>
    <w:rsid w:val="00F80363"/>
    <w:rsid w:val="00F8097A"/>
    <w:rsid w:val="00F80BA7"/>
    <w:rsid w:val="00F80EFB"/>
    <w:rsid w:val="00F80F34"/>
    <w:rsid w:val="00F8100C"/>
    <w:rsid w:val="00F816EA"/>
    <w:rsid w:val="00F81705"/>
    <w:rsid w:val="00F81776"/>
    <w:rsid w:val="00F817E7"/>
    <w:rsid w:val="00F81A49"/>
    <w:rsid w:val="00F81A98"/>
    <w:rsid w:val="00F81BC5"/>
    <w:rsid w:val="00F8223A"/>
    <w:rsid w:val="00F82308"/>
    <w:rsid w:val="00F823A9"/>
    <w:rsid w:val="00F825E9"/>
    <w:rsid w:val="00F8280E"/>
    <w:rsid w:val="00F828EF"/>
    <w:rsid w:val="00F8308B"/>
    <w:rsid w:val="00F831DC"/>
    <w:rsid w:val="00F8335D"/>
    <w:rsid w:val="00F8381D"/>
    <w:rsid w:val="00F83B4D"/>
    <w:rsid w:val="00F83F25"/>
    <w:rsid w:val="00F84384"/>
    <w:rsid w:val="00F843D6"/>
    <w:rsid w:val="00F845E2"/>
    <w:rsid w:val="00F8499E"/>
    <w:rsid w:val="00F84AA0"/>
    <w:rsid w:val="00F84ACB"/>
    <w:rsid w:val="00F85310"/>
    <w:rsid w:val="00F85758"/>
    <w:rsid w:val="00F85B75"/>
    <w:rsid w:val="00F85C50"/>
    <w:rsid w:val="00F85DD4"/>
    <w:rsid w:val="00F860FD"/>
    <w:rsid w:val="00F86252"/>
    <w:rsid w:val="00F86365"/>
    <w:rsid w:val="00F869B9"/>
    <w:rsid w:val="00F86D1E"/>
    <w:rsid w:val="00F86F04"/>
    <w:rsid w:val="00F8709A"/>
    <w:rsid w:val="00F87804"/>
    <w:rsid w:val="00F8784A"/>
    <w:rsid w:val="00F87BD1"/>
    <w:rsid w:val="00F90307"/>
    <w:rsid w:val="00F903C6"/>
    <w:rsid w:val="00F90577"/>
    <w:rsid w:val="00F906F9"/>
    <w:rsid w:val="00F90A0E"/>
    <w:rsid w:val="00F90AC4"/>
    <w:rsid w:val="00F90B2D"/>
    <w:rsid w:val="00F90B9B"/>
    <w:rsid w:val="00F912BA"/>
    <w:rsid w:val="00F913A5"/>
    <w:rsid w:val="00F913C5"/>
    <w:rsid w:val="00F914B0"/>
    <w:rsid w:val="00F9164F"/>
    <w:rsid w:val="00F916A2"/>
    <w:rsid w:val="00F916D7"/>
    <w:rsid w:val="00F91930"/>
    <w:rsid w:val="00F91ED1"/>
    <w:rsid w:val="00F9224F"/>
    <w:rsid w:val="00F92353"/>
    <w:rsid w:val="00F9253F"/>
    <w:rsid w:val="00F9275C"/>
    <w:rsid w:val="00F92EA7"/>
    <w:rsid w:val="00F92F89"/>
    <w:rsid w:val="00F92FD2"/>
    <w:rsid w:val="00F93500"/>
    <w:rsid w:val="00F9355C"/>
    <w:rsid w:val="00F936A4"/>
    <w:rsid w:val="00F93820"/>
    <w:rsid w:val="00F938FD"/>
    <w:rsid w:val="00F93E70"/>
    <w:rsid w:val="00F93F5F"/>
    <w:rsid w:val="00F943B2"/>
    <w:rsid w:val="00F9447C"/>
    <w:rsid w:val="00F94522"/>
    <w:rsid w:val="00F94B1A"/>
    <w:rsid w:val="00F94CB6"/>
    <w:rsid w:val="00F94FA2"/>
    <w:rsid w:val="00F95295"/>
    <w:rsid w:val="00F957D8"/>
    <w:rsid w:val="00F9580F"/>
    <w:rsid w:val="00F95819"/>
    <w:rsid w:val="00F958B6"/>
    <w:rsid w:val="00F95B16"/>
    <w:rsid w:val="00F95BC3"/>
    <w:rsid w:val="00F95C5E"/>
    <w:rsid w:val="00F95CEF"/>
    <w:rsid w:val="00F95E1F"/>
    <w:rsid w:val="00F964A7"/>
    <w:rsid w:val="00F9680F"/>
    <w:rsid w:val="00F969DC"/>
    <w:rsid w:val="00F96B25"/>
    <w:rsid w:val="00F96E63"/>
    <w:rsid w:val="00F9738A"/>
    <w:rsid w:val="00F97983"/>
    <w:rsid w:val="00F97D62"/>
    <w:rsid w:val="00FA0037"/>
    <w:rsid w:val="00FA03FA"/>
    <w:rsid w:val="00FA07AF"/>
    <w:rsid w:val="00FA0BBC"/>
    <w:rsid w:val="00FA0C4A"/>
    <w:rsid w:val="00FA1288"/>
    <w:rsid w:val="00FA14F7"/>
    <w:rsid w:val="00FA19E5"/>
    <w:rsid w:val="00FA1D31"/>
    <w:rsid w:val="00FA1E3C"/>
    <w:rsid w:val="00FA21BE"/>
    <w:rsid w:val="00FA2224"/>
    <w:rsid w:val="00FA228D"/>
    <w:rsid w:val="00FA2333"/>
    <w:rsid w:val="00FA2438"/>
    <w:rsid w:val="00FA2713"/>
    <w:rsid w:val="00FA2A05"/>
    <w:rsid w:val="00FA2B4D"/>
    <w:rsid w:val="00FA2D4B"/>
    <w:rsid w:val="00FA366A"/>
    <w:rsid w:val="00FA36F6"/>
    <w:rsid w:val="00FA399D"/>
    <w:rsid w:val="00FA3BA0"/>
    <w:rsid w:val="00FA3CD8"/>
    <w:rsid w:val="00FA3D02"/>
    <w:rsid w:val="00FA3E53"/>
    <w:rsid w:val="00FA499E"/>
    <w:rsid w:val="00FA4D65"/>
    <w:rsid w:val="00FA50A8"/>
    <w:rsid w:val="00FA5298"/>
    <w:rsid w:val="00FA57EF"/>
    <w:rsid w:val="00FA59A9"/>
    <w:rsid w:val="00FA6123"/>
    <w:rsid w:val="00FA6915"/>
    <w:rsid w:val="00FA6A4E"/>
    <w:rsid w:val="00FA6DDF"/>
    <w:rsid w:val="00FA6E72"/>
    <w:rsid w:val="00FA7237"/>
    <w:rsid w:val="00FA7360"/>
    <w:rsid w:val="00FA750E"/>
    <w:rsid w:val="00FA7C25"/>
    <w:rsid w:val="00FA7E9A"/>
    <w:rsid w:val="00FB0001"/>
    <w:rsid w:val="00FB03CB"/>
    <w:rsid w:val="00FB07B7"/>
    <w:rsid w:val="00FB0AA8"/>
    <w:rsid w:val="00FB0DF4"/>
    <w:rsid w:val="00FB0E29"/>
    <w:rsid w:val="00FB1232"/>
    <w:rsid w:val="00FB163C"/>
    <w:rsid w:val="00FB184E"/>
    <w:rsid w:val="00FB1A0B"/>
    <w:rsid w:val="00FB1ABF"/>
    <w:rsid w:val="00FB2010"/>
    <w:rsid w:val="00FB2124"/>
    <w:rsid w:val="00FB22D9"/>
    <w:rsid w:val="00FB256E"/>
    <w:rsid w:val="00FB260B"/>
    <w:rsid w:val="00FB282E"/>
    <w:rsid w:val="00FB34EF"/>
    <w:rsid w:val="00FB3A15"/>
    <w:rsid w:val="00FB3A88"/>
    <w:rsid w:val="00FB3F9C"/>
    <w:rsid w:val="00FB40C1"/>
    <w:rsid w:val="00FB4617"/>
    <w:rsid w:val="00FB4AA6"/>
    <w:rsid w:val="00FB4BE4"/>
    <w:rsid w:val="00FB5163"/>
    <w:rsid w:val="00FB56B5"/>
    <w:rsid w:val="00FB5740"/>
    <w:rsid w:val="00FB589B"/>
    <w:rsid w:val="00FB58B2"/>
    <w:rsid w:val="00FB5A5C"/>
    <w:rsid w:val="00FB5D0E"/>
    <w:rsid w:val="00FB615A"/>
    <w:rsid w:val="00FB662F"/>
    <w:rsid w:val="00FB6865"/>
    <w:rsid w:val="00FB6A19"/>
    <w:rsid w:val="00FB6C70"/>
    <w:rsid w:val="00FB6C9C"/>
    <w:rsid w:val="00FB70B0"/>
    <w:rsid w:val="00FB7220"/>
    <w:rsid w:val="00FB7237"/>
    <w:rsid w:val="00FB7735"/>
    <w:rsid w:val="00FB7D5E"/>
    <w:rsid w:val="00FB7DF0"/>
    <w:rsid w:val="00FB7DF9"/>
    <w:rsid w:val="00FB7EB3"/>
    <w:rsid w:val="00FB7ED0"/>
    <w:rsid w:val="00FB7F59"/>
    <w:rsid w:val="00FC0754"/>
    <w:rsid w:val="00FC0B34"/>
    <w:rsid w:val="00FC0C3D"/>
    <w:rsid w:val="00FC0C9D"/>
    <w:rsid w:val="00FC0D8D"/>
    <w:rsid w:val="00FC0DD4"/>
    <w:rsid w:val="00FC0DDE"/>
    <w:rsid w:val="00FC10FB"/>
    <w:rsid w:val="00FC14B3"/>
    <w:rsid w:val="00FC1A68"/>
    <w:rsid w:val="00FC1D35"/>
    <w:rsid w:val="00FC1D48"/>
    <w:rsid w:val="00FC26CF"/>
    <w:rsid w:val="00FC2F1A"/>
    <w:rsid w:val="00FC3649"/>
    <w:rsid w:val="00FC3A16"/>
    <w:rsid w:val="00FC3DAE"/>
    <w:rsid w:val="00FC3E5A"/>
    <w:rsid w:val="00FC3FA9"/>
    <w:rsid w:val="00FC3FC1"/>
    <w:rsid w:val="00FC4282"/>
    <w:rsid w:val="00FC441B"/>
    <w:rsid w:val="00FC4715"/>
    <w:rsid w:val="00FC4C94"/>
    <w:rsid w:val="00FC5025"/>
    <w:rsid w:val="00FC51DE"/>
    <w:rsid w:val="00FC55B6"/>
    <w:rsid w:val="00FC5F77"/>
    <w:rsid w:val="00FC62A1"/>
    <w:rsid w:val="00FC6527"/>
    <w:rsid w:val="00FC66C7"/>
    <w:rsid w:val="00FC66DA"/>
    <w:rsid w:val="00FC6970"/>
    <w:rsid w:val="00FC6B57"/>
    <w:rsid w:val="00FC6E63"/>
    <w:rsid w:val="00FC712A"/>
    <w:rsid w:val="00FC719C"/>
    <w:rsid w:val="00FC71F8"/>
    <w:rsid w:val="00FC7225"/>
    <w:rsid w:val="00FC7454"/>
    <w:rsid w:val="00FC76CC"/>
    <w:rsid w:val="00FC77A7"/>
    <w:rsid w:val="00FC7A0D"/>
    <w:rsid w:val="00FD0327"/>
    <w:rsid w:val="00FD04DA"/>
    <w:rsid w:val="00FD0915"/>
    <w:rsid w:val="00FD096E"/>
    <w:rsid w:val="00FD0A92"/>
    <w:rsid w:val="00FD0C64"/>
    <w:rsid w:val="00FD0F3E"/>
    <w:rsid w:val="00FD119B"/>
    <w:rsid w:val="00FD1317"/>
    <w:rsid w:val="00FD1470"/>
    <w:rsid w:val="00FD1CEB"/>
    <w:rsid w:val="00FD2525"/>
    <w:rsid w:val="00FD258A"/>
    <w:rsid w:val="00FD280E"/>
    <w:rsid w:val="00FD2812"/>
    <w:rsid w:val="00FD2847"/>
    <w:rsid w:val="00FD2CD8"/>
    <w:rsid w:val="00FD2D96"/>
    <w:rsid w:val="00FD2F24"/>
    <w:rsid w:val="00FD3204"/>
    <w:rsid w:val="00FD32D5"/>
    <w:rsid w:val="00FD36DD"/>
    <w:rsid w:val="00FD37E1"/>
    <w:rsid w:val="00FD3819"/>
    <w:rsid w:val="00FD3A60"/>
    <w:rsid w:val="00FD3C91"/>
    <w:rsid w:val="00FD4406"/>
    <w:rsid w:val="00FD44DA"/>
    <w:rsid w:val="00FD558D"/>
    <w:rsid w:val="00FD56FE"/>
    <w:rsid w:val="00FD5A84"/>
    <w:rsid w:val="00FD5AC2"/>
    <w:rsid w:val="00FD62B2"/>
    <w:rsid w:val="00FD6525"/>
    <w:rsid w:val="00FD659E"/>
    <w:rsid w:val="00FD675B"/>
    <w:rsid w:val="00FD67AB"/>
    <w:rsid w:val="00FD69CE"/>
    <w:rsid w:val="00FD6A1F"/>
    <w:rsid w:val="00FD6D03"/>
    <w:rsid w:val="00FD6F17"/>
    <w:rsid w:val="00FD71BE"/>
    <w:rsid w:val="00FD72F4"/>
    <w:rsid w:val="00FD7418"/>
    <w:rsid w:val="00FD74A5"/>
    <w:rsid w:val="00FD7A59"/>
    <w:rsid w:val="00FE0007"/>
    <w:rsid w:val="00FE04C6"/>
    <w:rsid w:val="00FE051D"/>
    <w:rsid w:val="00FE07D5"/>
    <w:rsid w:val="00FE09FB"/>
    <w:rsid w:val="00FE0C4A"/>
    <w:rsid w:val="00FE0C6D"/>
    <w:rsid w:val="00FE0C90"/>
    <w:rsid w:val="00FE0CCE"/>
    <w:rsid w:val="00FE0F1F"/>
    <w:rsid w:val="00FE107D"/>
    <w:rsid w:val="00FE12D5"/>
    <w:rsid w:val="00FE181C"/>
    <w:rsid w:val="00FE18BF"/>
    <w:rsid w:val="00FE19DD"/>
    <w:rsid w:val="00FE2FEF"/>
    <w:rsid w:val="00FE311F"/>
    <w:rsid w:val="00FE3875"/>
    <w:rsid w:val="00FE3B0E"/>
    <w:rsid w:val="00FE3C50"/>
    <w:rsid w:val="00FE3D66"/>
    <w:rsid w:val="00FE3E59"/>
    <w:rsid w:val="00FE42E7"/>
    <w:rsid w:val="00FE48FF"/>
    <w:rsid w:val="00FE4DC1"/>
    <w:rsid w:val="00FE55F6"/>
    <w:rsid w:val="00FE5852"/>
    <w:rsid w:val="00FE58C7"/>
    <w:rsid w:val="00FE5EE4"/>
    <w:rsid w:val="00FE6180"/>
    <w:rsid w:val="00FE62E6"/>
    <w:rsid w:val="00FE6B8E"/>
    <w:rsid w:val="00FE7645"/>
    <w:rsid w:val="00FE7CB9"/>
    <w:rsid w:val="00FF010E"/>
    <w:rsid w:val="00FF0133"/>
    <w:rsid w:val="00FF0562"/>
    <w:rsid w:val="00FF0675"/>
    <w:rsid w:val="00FF0889"/>
    <w:rsid w:val="00FF130E"/>
    <w:rsid w:val="00FF150A"/>
    <w:rsid w:val="00FF1B21"/>
    <w:rsid w:val="00FF2374"/>
    <w:rsid w:val="00FF23B0"/>
    <w:rsid w:val="00FF2435"/>
    <w:rsid w:val="00FF2577"/>
    <w:rsid w:val="00FF27CA"/>
    <w:rsid w:val="00FF27D6"/>
    <w:rsid w:val="00FF281F"/>
    <w:rsid w:val="00FF28B7"/>
    <w:rsid w:val="00FF29CF"/>
    <w:rsid w:val="00FF2B57"/>
    <w:rsid w:val="00FF2D00"/>
    <w:rsid w:val="00FF30B0"/>
    <w:rsid w:val="00FF32D9"/>
    <w:rsid w:val="00FF3326"/>
    <w:rsid w:val="00FF35DE"/>
    <w:rsid w:val="00FF37EC"/>
    <w:rsid w:val="00FF3B12"/>
    <w:rsid w:val="00FF3C00"/>
    <w:rsid w:val="00FF3D4F"/>
    <w:rsid w:val="00FF3D8C"/>
    <w:rsid w:val="00FF4074"/>
    <w:rsid w:val="00FF40F2"/>
    <w:rsid w:val="00FF42F6"/>
    <w:rsid w:val="00FF4916"/>
    <w:rsid w:val="00FF4CB1"/>
    <w:rsid w:val="00FF4CDC"/>
    <w:rsid w:val="00FF53D0"/>
    <w:rsid w:val="00FF5950"/>
    <w:rsid w:val="00FF5B27"/>
    <w:rsid w:val="00FF5DE7"/>
    <w:rsid w:val="00FF5FCD"/>
    <w:rsid w:val="00FF66FD"/>
    <w:rsid w:val="00FF674E"/>
    <w:rsid w:val="00FF68F2"/>
    <w:rsid w:val="00FF6C10"/>
    <w:rsid w:val="00FF6E4E"/>
    <w:rsid w:val="00FF6F87"/>
    <w:rsid w:val="00FF7DB7"/>
    <w:rsid w:val="00FF7F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76F8CE4C-E737-4EF7-9B21-BDFAF63A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before="160"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lsdException w:name="heading 5" w:semiHidden="1" w:uiPriority="1" w:unhideWhenUsed="1"/>
    <w:lsdException w:name="heading 6" w:semiHidden="1" w:uiPriority="1"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15C"/>
    <w:rPr>
      <w:lang w:val="en-AU"/>
    </w:rPr>
  </w:style>
  <w:style w:type="paragraph" w:styleId="Heading1">
    <w:name w:val="heading 1"/>
    <w:basedOn w:val="Normal"/>
    <w:next w:val="Normal"/>
    <w:link w:val="Heading1Char"/>
    <w:uiPriority w:val="9"/>
    <w:unhideWhenUsed/>
    <w:qFormat/>
    <w:rsid w:val="00BF4E99"/>
    <w:pPr>
      <w:keepNext/>
      <w:numPr>
        <w:numId w:val="7"/>
      </w:numPr>
      <w:spacing w:before="320" w:after="320"/>
      <w:outlineLvl w:val="0"/>
    </w:pPr>
    <w:rPr>
      <w:rFonts w:asciiTheme="majorHAnsi" w:hAnsiTheme="majorHAnsi"/>
      <w:b/>
      <w:color w:val="6A2875"/>
      <w:sz w:val="32"/>
      <w:szCs w:val="32"/>
    </w:rPr>
  </w:style>
  <w:style w:type="paragraph" w:styleId="Heading2">
    <w:name w:val="heading 2"/>
    <w:basedOn w:val="Normal"/>
    <w:next w:val="Normal"/>
    <w:link w:val="Heading2Char"/>
    <w:uiPriority w:val="1"/>
    <w:unhideWhenUsed/>
    <w:qFormat/>
    <w:rsid w:val="00977D24"/>
    <w:pPr>
      <w:keepNext/>
      <w:spacing w:before="320"/>
      <w:ind w:left="578" w:right="284" w:hanging="578"/>
      <w:outlineLvl w:val="1"/>
    </w:pPr>
    <w:rPr>
      <w:b/>
      <w:caps/>
      <w:color w:val="6A2875"/>
    </w:rPr>
  </w:style>
  <w:style w:type="paragraph" w:styleId="Heading3">
    <w:name w:val="heading 3"/>
    <w:basedOn w:val="Normal"/>
    <w:next w:val="Normal"/>
    <w:link w:val="Heading3Char"/>
    <w:uiPriority w:val="1"/>
    <w:unhideWhenUsed/>
    <w:qFormat/>
    <w:rsid w:val="00A64919"/>
    <w:pPr>
      <w:keepNext/>
      <w:spacing w:before="320"/>
      <w:ind w:left="720" w:hanging="720"/>
      <w:outlineLvl w:val="2"/>
    </w:pPr>
    <w:rPr>
      <w:b/>
      <w:color w:val="6A2875" w:themeColor="accent4"/>
    </w:rPr>
  </w:style>
  <w:style w:type="paragraph" w:styleId="Heading4">
    <w:name w:val="heading 4"/>
    <w:basedOn w:val="Normal"/>
    <w:next w:val="Normal"/>
    <w:link w:val="Heading4Char"/>
    <w:uiPriority w:val="1"/>
    <w:unhideWhenUsed/>
    <w:rsid w:val="00FC441B"/>
    <w:pPr>
      <w:numPr>
        <w:ilvl w:val="3"/>
        <w:numId w:val="7"/>
      </w:numPr>
      <w:spacing w:before="240" w:after="0"/>
      <w:outlineLvl w:val="3"/>
    </w:pPr>
    <w:rPr>
      <w:smallCaps/>
      <w:spacing w:val="10"/>
      <w:szCs w:val="22"/>
    </w:rPr>
  </w:style>
  <w:style w:type="paragraph" w:styleId="Heading5">
    <w:name w:val="heading 5"/>
    <w:basedOn w:val="Normal"/>
    <w:next w:val="Normal"/>
    <w:link w:val="Heading5Char"/>
    <w:uiPriority w:val="1"/>
    <w:unhideWhenUsed/>
    <w:rsid w:val="00D97646"/>
    <w:pPr>
      <w:numPr>
        <w:ilvl w:val="4"/>
        <w:numId w:val="7"/>
      </w:numPr>
      <w:spacing w:before="200" w:after="0"/>
      <w:outlineLvl w:val="4"/>
    </w:pPr>
    <w:rPr>
      <w:rFonts w:eastAsiaTheme="minorEastAsia"/>
      <w:smallCaps/>
      <w:color w:val="675086" w:themeColor="accent2" w:themeShade="BF"/>
      <w:spacing w:val="10"/>
      <w:szCs w:val="26"/>
    </w:rPr>
  </w:style>
  <w:style w:type="paragraph" w:styleId="Heading6">
    <w:name w:val="heading 6"/>
    <w:basedOn w:val="Normal"/>
    <w:next w:val="Normal"/>
    <w:link w:val="Heading6Char"/>
    <w:uiPriority w:val="1"/>
    <w:unhideWhenUsed/>
    <w:rsid w:val="00D97646"/>
    <w:pPr>
      <w:numPr>
        <w:ilvl w:val="5"/>
        <w:numId w:val="7"/>
      </w:numPr>
      <w:spacing w:after="0"/>
      <w:outlineLvl w:val="5"/>
    </w:pPr>
    <w:rPr>
      <w:rFonts w:eastAsiaTheme="minorEastAsia"/>
      <w:smallCaps/>
      <w:color w:val="8C74AC" w:themeColor="accent2"/>
      <w:spacing w:val="5"/>
    </w:rPr>
  </w:style>
  <w:style w:type="paragraph" w:styleId="Heading7">
    <w:name w:val="heading 7"/>
    <w:basedOn w:val="Normal"/>
    <w:next w:val="Normal"/>
    <w:link w:val="Heading7Char"/>
    <w:uiPriority w:val="9"/>
    <w:unhideWhenUsed/>
    <w:rsid w:val="00D97646"/>
    <w:pPr>
      <w:numPr>
        <w:ilvl w:val="6"/>
        <w:numId w:val="7"/>
      </w:numPr>
      <w:spacing w:after="0"/>
      <w:outlineLvl w:val="6"/>
    </w:pPr>
    <w:rPr>
      <w:rFonts w:eastAsiaTheme="minorEastAsia"/>
      <w:b/>
      <w:smallCaps/>
      <w:color w:val="8C74AC" w:themeColor="accent2"/>
      <w:spacing w:val="10"/>
      <w:sz w:val="20"/>
    </w:rPr>
  </w:style>
  <w:style w:type="paragraph" w:styleId="Heading8">
    <w:name w:val="heading 8"/>
    <w:basedOn w:val="Normal"/>
    <w:next w:val="Normal"/>
    <w:link w:val="Heading8Char"/>
    <w:uiPriority w:val="9"/>
    <w:unhideWhenUsed/>
    <w:rsid w:val="00D97646"/>
    <w:pPr>
      <w:numPr>
        <w:ilvl w:val="7"/>
        <w:numId w:val="7"/>
      </w:numPr>
      <w:spacing w:after="0"/>
      <w:outlineLvl w:val="7"/>
    </w:pPr>
    <w:rPr>
      <w:rFonts w:eastAsiaTheme="minorEastAsia"/>
      <w:b/>
      <w:i/>
      <w:smallCaps/>
      <w:color w:val="675086" w:themeColor="accent2" w:themeShade="BF"/>
      <w:sz w:val="20"/>
    </w:rPr>
  </w:style>
  <w:style w:type="paragraph" w:styleId="Heading9">
    <w:name w:val="heading 9"/>
    <w:basedOn w:val="Normal"/>
    <w:next w:val="Normal"/>
    <w:link w:val="Heading9Char"/>
    <w:uiPriority w:val="9"/>
    <w:unhideWhenUsed/>
    <w:rsid w:val="00D97646"/>
    <w:pPr>
      <w:numPr>
        <w:ilvl w:val="8"/>
        <w:numId w:val="7"/>
      </w:numPr>
      <w:spacing w:after="0"/>
      <w:outlineLvl w:val="8"/>
    </w:pPr>
    <w:rPr>
      <w:rFonts w:eastAsiaTheme="minorEastAsia"/>
      <w:b/>
      <w:i/>
      <w:smallCaps/>
      <w:color w:val="453559" w:themeColor="accent2"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E99"/>
    <w:rPr>
      <w:rFonts w:asciiTheme="majorHAnsi" w:hAnsiTheme="majorHAnsi"/>
      <w:b/>
      <w:color w:val="6A2875"/>
      <w:sz w:val="32"/>
      <w:szCs w:val="32"/>
      <w:lang w:val="en-AU"/>
    </w:rPr>
  </w:style>
  <w:style w:type="character" w:customStyle="1" w:styleId="Heading2Char">
    <w:name w:val="Heading 2 Char"/>
    <w:basedOn w:val="DefaultParagraphFont"/>
    <w:link w:val="Heading2"/>
    <w:uiPriority w:val="1"/>
    <w:rsid w:val="00977D24"/>
    <w:rPr>
      <w:b/>
      <w:caps/>
      <w:color w:val="6A2875"/>
      <w:lang w:val="en-AU"/>
    </w:rPr>
  </w:style>
  <w:style w:type="character" w:customStyle="1" w:styleId="Heading3Char">
    <w:name w:val="Heading 3 Char"/>
    <w:basedOn w:val="DefaultParagraphFont"/>
    <w:link w:val="Heading3"/>
    <w:uiPriority w:val="1"/>
    <w:rsid w:val="00A64919"/>
    <w:rPr>
      <w:b/>
      <w:color w:val="6A2875" w:themeColor="accent4"/>
      <w:lang w:val="en-AU"/>
    </w:rPr>
  </w:style>
  <w:style w:type="character" w:customStyle="1" w:styleId="Heading4Char">
    <w:name w:val="Heading 4 Char"/>
    <w:basedOn w:val="DefaultParagraphFont"/>
    <w:link w:val="Heading4"/>
    <w:uiPriority w:val="1"/>
    <w:rsid w:val="00D97646"/>
    <w:rPr>
      <w:smallCaps/>
      <w:spacing w:val="10"/>
      <w:szCs w:val="22"/>
      <w:lang w:val="en-AU"/>
    </w:rPr>
  </w:style>
  <w:style w:type="character" w:customStyle="1" w:styleId="Heading5Char">
    <w:name w:val="Heading 5 Char"/>
    <w:basedOn w:val="DefaultParagraphFont"/>
    <w:link w:val="Heading5"/>
    <w:uiPriority w:val="1"/>
    <w:rsid w:val="00D97646"/>
    <w:rPr>
      <w:rFonts w:eastAsiaTheme="minorEastAsia"/>
      <w:smallCaps/>
      <w:color w:val="675086" w:themeColor="accent2" w:themeShade="BF"/>
      <w:spacing w:val="10"/>
      <w:szCs w:val="26"/>
      <w:lang w:val="en-AU"/>
    </w:rPr>
  </w:style>
  <w:style w:type="character" w:customStyle="1" w:styleId="Heading6Char">
    <w:name w:val="Heading 6 Char"/>
    <w:basedOn w:val="DefaultParagraphFont"/>
    <w:link w:val="Heading6"/>
    <w:uiPriority w:val="1"/>
    <w:rsid w:val="00D97646"/>
    <w:rPr>
      <w:rFonts w:eastAsiaTheme="minorEastAsia"/>
      <w:smallCaps/>
      <w:color w:val="8C74AC" w:themeColor="accent2"/>
      <w:spacing w:val="5"/>
      <w:lang w:val="en-AU"/>
    </w:rPr>
  </w:style>
  <w:style w:type="character" w:customStyle="1" w:styleId="Heading7Char">
    <w:name w:val="Heading 7 Char"/>
    <w:basedOn w:val="DefaultParagraphFont"/>
    <w:link w:val="Heading7"/>
    <w:uiPriority w:val="9"/>
    <w:rsid w:val="00D97646"/>
    <w:rPr>
      <w:rFonts w:eastAsiaTheme="minorEastAsia"/>
      <w:b/>
      <w:smallCaps/>
      <w:color w:val="8C74AC" w:themeColor="accent2"/>
      <w:spacing w:val="10"/>
      <w:sz w:val="20"/>
      <w:lang w:val="en-AU"/>
    </w:rPr>
  </w:style>
  <w:style w:type="character" w:customStyle="1" w:styleId="Heading8Char">
    <w:name w:val="Heading 8 Char"/>
    <w:basedOn w:val="DefaultParagraphFont"/>
    <w:link w:val="Heading8"/>
    <w:uiPriority w:val="9"/>
    <w:rsid w:val="00D97646"/>
    <w:rPr>
      <w:rFonts w:eastAsiaTheme="minorEastAsia"/>
      <w:b/>
      <w:i/>
      <w:smallCaps/>
      <w:color w:val="675086" w:themeColor="accent2" w:themeShade="BF"/>
      <w:sz w:val="20"/>
      <w:lang w:val="en-AU"/>
    </w:rPr>
  </w:style>
  <w:style w:type="character" w:customStyle="1" w:styleId="Heading9Char">
    <w:name w:val="Heading 9 Char"/>
    <w:basedOn w:val="DefaultParagraphFont"/>
    <w:link w:val="Heading9"/>
    <w:uiPriority w:val="9"/>
    <w:rsid w:val="00D97646"/>
    <w:rPr>
      <w:rFonts w:eastAsiaTheme="minorEastAsia"/>
      <w:b/>
      <w:i/>
      <w:smallCaps/>
      <w:color w:val="453559" w:themeColor="accent2" w:themeShade="7F"/>
      <w:sz w:val="20"/>
      <w:lang w:val="en-AU"/>
    </w:rPr>
  </w:style>
  <w:style w:type="paragraph" w:styleId="BalloonText">
    <w:name w:val="Balloon Text"/>
    <w:basedOn w:val="Normal"/>
    <w:link w:val="BalloonTextChar"/>
    <w:uiPriority w:val="99"/>
    <w:semiHidden/>
    <w:unhideWhenUsed/>
    <w:rsid w:val="007E6B8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B89"/>
    <w:rPr>
      <w:rFonts w:ascii="Segoe UI" w:hAnsi="Segoe UI" w:cs="Segoe UI"/>
      <w:sz w:val="18"/>
      <w:szCs w:val="18"/>
    </w:rPr>
  </w:style>
  <w:style w:type="paragraph" w:styleId="Header">
    <w:name w:val="header"/>
    <w:basedOn w:val="Normal"/>
    <w:link w:val="HeaderChar"/>
    <w:uiPriority w:val="99"/>
    <w:unhideWhenUsed/>
    <w:qFormat/>
    <w:rsid w:val="00D97646"/>
    <w:pPr>
      <w:tabs>
        <w:tab w:val="center" w:pos="4320"/>
        <w:tab w:val="right" w:pos="8640"/>
      </w:tabs>
      <w:jc w:val="right"/>
    </w:pPr>
    <w:rPr>
      <w:sz w:val="18"/>
      <w:lang w:val="de-DE"/>
    </w:rPr>
  </w:style>
  <w:style w:type="character" w:customStyle="1" w:styleId="HeaderChar">
    <w:name w:val="Header Char"/>
    <w:basedOn w:val="DefaultParagraphFont"/>
    <w:link w:val="Header"/>
    <w:uiPriority w:val="99"/>
    <w:rsid w:val="00D97646"/>
    <w:rPr>
      <w:rFonts w:ascii="Arial" w:eastAsia="Times New Roman" w:hAnsi="Arial" w:cs="Times New Roman"/>
      <w:sz w:val="18"/>
      <w:szCs w:val="20"/>
      <w:lang w:val="de-DE"/>
    </w:rPr>
  </w:style>
  <w:style w:type="paragraph" w:styleId="Footer">
    <w:name w:val="footer"/>
    <w:basedOn w:val="Normal"/>
    <w:link w:val="FooterChar"/>
    <w:uiPriority w:val="99"/>
    <w:unhideWhenUsed/>
    <w:rsid w:val="007F5D4E"/>
    <w:pPr>
      <w:pBdr>
        <w:top w:val="single" w:sz="4" w:space="1" w:color="6A2875" w:themeColor="accent4"/>
      </w:pBdr>
      <w:spacing w:before="0" w:after="0" w:line="240" w:lineRule="atLeast"/>
    </w:pPr>
    <w:rPr>
      <w:sz w:val="18"/>
    </w:rPr>
  </w:style>
  <w:style w:type="character" w:customStyle="1" w:styleId="FooterChar">
    <w:name w:val="Footer Char"/>
    <w:basedOn w:val="DefaultParagraphFont"/>
    <w:link w:val="Footer"/>
    <w:uiPriority w:val="99"/>
    <w:rsid w:val="007F5D4E"/>
    <w:rPr>
      <w:rFonts w:ascii="Arial" w:eastAsia="Times New Roman" w:hAnsi="Arial" w:cs="Times New Roman"/>
      <w:sz w:val="18"/>
      <w:szCs w:val="20"/>
      <w:lang w:val="en-AU"/>
    </w:rPr>
  </w:style>
  <w:style w:type="character" w:styleId="FootnoteReference">
    <w:name w:val="footnote reference"/>
    <w:basedOn w:val="DefaultParagraphFont"/>
    <w:uiPriority w:val="99"/>
    <w:rsid w:val="005A700D"/>
    <w:rPr>
      <w:rFonts w:asciiTheme="minorHAnsi" w:hAnsiTheme="minorHAnsi"/>
      <w:caps w:val="0"/>
      <w:smallCaps w:val="0"/>
      <w:strike w:val="0"/>
      <w:dstrike w:val="0"/>
      <w:vanish w:val="0"/>
      <w:position w:val="6"/>
      <w:sz w:val="18"/>
      <w:vertAlign w:val="superscript"/>
    </w:rPr>
  </w:style>
  <w:style w:type="paragraph" w:styleId="FootnoteText">
    <w:name w:val="footnote text"/>
    <w:basedOn w:val="Normal"/>
    <w:link w:val="FootnoteTextChar"/>
    <w:uiPriority w:val="99"/>
    <w:qFormat/>
    <w:rsid w:val="00B31142"/>
    <w:pPr>
      <w:spacing w:before="0" w:after="100" w:line="200" w:lineRule="atLeast"/>
      <w:ind w:left="284" w:hanging="284"/>
    </w:pPr>
    <w:rPr>
      <w:sz w:val="18"/>
    </w:rPr>
  </w:style>
  <w:style w:type="character" w:customStyle="1" w:styleId="FootnoteTextChar">
    <w:name w:val="Footnote Text Char"/>
    <w:basedOn w:val="DefaultParagraphFont"/>
    <w:link w:val="FootnoteText"/>
    <w:uiPriority w:val="99"/>
    <w:rsid w:val="00B31142"/>
    <w:rPr>
      <w:sz w:val="18"/>
      <w:lang w:val="en-AU"/>
    </w:rPr>
  </w:style>
  <w:style w:type="paragraph" w:customStyle="1" w:styleId="DotPoint">
    <w:name w:val="Dot Point"/>
    <w:basedOn w:val="Normal"/>
    <w:link w:val="DotPointChar"/>
    <w:qFormat/>
    <w:rsid w:val="00F35C26"/>
    <w:pPr>
      <w:numPr>
        <w:numId w:val="13"/>
      </w:numPr>
    </w:pPr>
  </w:style>
  <w:style w:type="character" w:customStyle="1" w:styleId="DotPointChar">
    <w:name w:val="Dot Point Char"/>
    <w:basedOn w:val="DefaultParagraphFont"/>
    <w:link w:val="DotPoint"/>
    <w:rsid w:val="00F35C26"/>
    <w:rPr>
      <w:lang w:val="en-AU"/>
    </w:rPr>
  </w:style>
  <w:style w:type="paragraph" w:styleId="TOC1">
    <w:name w:val="toc 1"/>
    <w:basedOn w:val="Normal"/>
    <w:next w:val="Normal"/>
    <w:autoRedefine/>
    <w:uiPriority w:val="39"/>
    <w:rsid w:val="00E87FA3"/>
    <w:pPr>
      <w:tabs>
        <w:tab w:val="left" w:pos="567"/>
        <w:tab w:val="right" w:leader="dot" w:pos="9017"/>
      </w:tabs>
      <w:spacing w:line="240" w:lineRule="auto"/>
      <w:ind w:left="567" w:right="284" w:hanging="567"/>
    </w:pPr>
    <w:rPr>
      <w:b/>
      <w:bCs/>
      <w:noProof/>
      <w:sz w:val="20"/>
    </w:rPr>
  </w:style>
  <w:style w:type="paragraph" w:styleId="TOC2">
    <w:name w:val="toc 2"/>
    <w:basedOn w:val="Normal"/>
    <w:next w:val="Normal"/>
    <w:autoRedefine/>
    <w:uiPriority w:val="39"/>
    <w:rsid w:val="00E87FA3"/>
    <w:pPr>
      <w:tabs>
        <w:tab w:val="left" w:pos="1134"/>
        <w:tab w:val="right" w:leader="dot" w:pos="9017"/>
      </w:tabs>
      <w:spacing w:before="120" w:line="240" w:lineRule="auto"/>
      <w:ind w:left="1134" w:right="521" w:hanging="567"/>
    </w:pPr>
    <w:rPr>
      <w:i/>
      <w:iCs/>
      <w:sz w:val="20"/>
    </w:rPr>
  </w:style>
  <w:style w:type="paragraph" w:styleId="TOC3">
    <w:name w:val="toc 3"/>
    <w:basedOn w:val="TOC2"/>
    <w:next w:val="Normal"/>
    <w:autoRedefine/>
    <w:uiPriority w:val="39"/>
    <w:rsid w:val="00D97646"/>
    <w:pPr>
      <w:spacing w:before="80" w:after="80"/>
      <w:ind w:left="1247"/>
    </w:pPr>
    <w:rPr>
      <w:i w:val="0"/>
      <w:iCs w:val="0"/>
    </w:rPr>
  </w:style>
  <w:style w:type="paragraph" w:styleId="TOC4">
    <w:name w:val="toc 4"/>
    <w:basedOn w:val="Normal"/>
    <w:next w:val="Normal"/>
    <w:autoRedefine/>
    <w:uiPriority w:val="39"/>
    <w:rsid w:val="00D97646"/>
    <w:pPr>
      <w:spacing w:before="0" w:after="0"/>
      <w:ind w:left="720"/>
    </w:pPr>
    <w:rPr>
      <w:sz w:val="20"/>
    </w:rPr>
  </w:style>
  <w:style w:type="paragraph" w:styleId="TOC5">
    <w:name w:val="toc 5"/>
    <w:basedOn w:val="Normal"/>
    <w:next w:val="Normal"/>
    <w:autoRedefine/>
    <w:uiPriority w:val="39"/>
    <w:rsid w:val="00D97646"/>
    <w:pPr>
      <w:spacing w:before="0" w:after="0"/>
      <w:ind w:left="960"/>
    </w:pPr>
    <w:rPr>
      <w:sz w:val="20"/>
    </w:rPr>
  </w:style>
  <w:style w:type="paragraph" w:styleId="TOC6">
    <w:name w:val="toc 6"/>
    <w:basedOn w:val="Normal"/>
    <w:next w:val="Normal"/>
    <w:autoRedefine/>
    <w:rsid w:val="00D97646"/>
    <w:pPr>
      <w:spacing w:before="0" w:after="0"/>
      <w:ind w:left="1200"/>
    </w:pPr>
    <w:rPr>
      <w:sz w:val="20"/>
    </w:rPr>
  </w:style>
  <w:style w:type="paragraph" w:styleId="TOC7">
    <w:name w:val="toc 7"/>
    <w:basedOn w:val="Normal"/>
    <w:next w:val="Normal"/>
    <w:autoRedefine/>
    <w:rsid w:val="00D97646"/>
    <w:pPr>
      <w:spacing w:before="0" w:after="0"/>
      <w:ind w:left="1440"/>
    </w:pPr>
    <w:rPr>
      <w:sz w:val="20"/>
    </w:rPr>
  </w:style>
  <w:style w:type="paragraph" w:styleId="TOC8">
    <w:name w:val="toc 8"/>
    <w:basedOn w:val="Normal"/>
    <w:next w:val="Normal"/>
    <w:autoRedefine/>
    <w:rsid w:val="00D97646"/>
    <w:pPr>
      <w:spacing w:before="0" w:after="0"/>
      <w:ind w:left="1680"/>
    </w:pPr>
    <w:rPr>
      <w:sz w:val="20"/>
    </w:rPr>
  </w:style>
  <w:style w:type="paragraph" w:styleId="TOC9">
    <w:name w:val="toc 9"/>
    <w:basedOn w:val="Normal"/>
    <w:next w:val="Normal"/>
    <w:autoRedefine/>
    <w:rsid w:val="00D97646"/>
    <w:pPr>
      <w:spacing w:before="0" w:after="0"/>
      <w:ind w:left="1920"/>
    </w:pPr>
    <w:rPr>
      <w:sz w:val="20"/>
    </w:rPr>
  </w:style>
  <w:style w:type="character" w:styleId="FollowedHyperlink">
    <w:name w:val="FollowedHyperlink"/>
    <w:basedOn w:val="DefaultParagraphFont"/>
    <w:uiPriority w:val="99"/>
    <w:unhideWhenUsed/>
    <w:rsid w:val="00D97646"/>
    <w:rPr>
      <w:color w:val="6A2875" w:themeColor="followedHyperlink"/>
      <w:u w:val="single"/>
    </w:rPr>
  </w:style>
  <w:style w:type="character" w:styleId="Hyperlink">
    <w:name w:val="Hyperlink"/>
    <w:basedOn w:val="DefaultParagraphFont"/>
    <w:uiPriority w:val="99"/>
    <w:unhideWhenUsed/>
    <w:rsid w:val="00D97646"/>
    <w:rPr>
      <w:color w:val="6A5288" w:themeColor="hyperlink"/>
      <w:u w:val="single"/>
    </w:rPr>
  </w:style>
  <w:style w:type="paragraph" w:customStyle="1" w:styleId="TieredDotPoints">
    <w:name w:val="Tiered Dot Points"/>
    <w:basedOn w:val="Normal"/>
    <w:link w:val="TieredDotPointsChar"/>
    <w:qFormat/>
    <w:rsid w:val="00B77140"/>
    <w:pPr>
      <w:numPr>
        <w:ilvl w:val="1"/>
        <w:numId w:val="3"/>
      </w:numPr>
      <w:spacing w:before="140" w:after="140" w:line="280" w:lineRule="atLeast"/>
    </w:pPr>
  </w:style>
  <w:style w:type="character" w:customStyle="1" w:styleId="TieredDotPointsChar">
    <w:name w:val="Tiered Dot Points Char"/>
    <w:basedOn w:val="DefaultParagraphFont"/>
    <w:link w:val="TieredDotPoints"/>
    <w:rsid w:val="00B77140"/>
    <w:rPr>
      <w:lang w:val="en-AU"/>
    </w:rPr>
  </w:style>
  <w:style w:type="paragraph" w:customStyle="1" w:styleId="REcommendation">
    <w:name w:val="REcommendation"/>
    <w:basedOn w:val="Normal"/>
    <w:link w:val="REcommendationChar"/>
    <w:qFormat/>
    <w:rsid w:val="00C26679"/>
    <w:pPr>
      <w:keepNext/>
      <w:numPr>
        <w:numId w:val="11"/>
      </w:numPr>
    </w:pPr>
  </w:style>
  <w:style w:type="character" w:customStyle="1" w:styleId="REcommendationChar">
    <w:name w:val="REcommendation Char"/>
    <w:basedOn w:val="DefaultParagraphFont"/>
    <w:link w:val="REcommendation"/>
    <w:rsid w:val="00C26679"/>
    <w:rPr>
      <w:lang w:val="en-AU"/>
    </w:rPr>
  </w:style>
  <w:style w:type="paragraph" w:customStyle="1" w:styleId="Quote1">
    <w:name w:val="Quote1"/>
    <w:basedOn w:val="Normal"/>
    <w:link w:val="QUOTEChar"/>
    <w:qFormat/>
    <w:rsid w:val="006A1029"/>
    <w:pPr>
      <w:ind w:left="284"/>
    </w:pPr>
    <w:rPr>
      <w:i/>
    </w:rPr>
  </w:style>
  <w:style w:type="character" w:customStyle="1" w:styleId="QUOTEChar">
    <w:name w:val="QUOTE Char"/>
    <w:basedOn w:val="DefaultParagraphFont"/>
    <w:link w:val="Quote1"/>
    <w:rsid w:val="006A1029"/>
    <w:rPr>
      <w:i/>
      <w:lang w:val="en-AU"/>
    </w:rPr>
  </w:style>
  <w:style w:type="table" w:styleId="GridTable4-Accent4">
    <w:name w:val="Grid Table 4 Accent 4"/>
    <w:basedOn w:val="TableNormal"/>
    <w:uiPriority w:val="49"/>
    <w:rsid w:val="00B31142"/>
    <w:pPr>
      <w:spacing w:before="40" w:after="40" w:line="240" w:lineRule="auto"/>
    </w:pPr>
    <w:rPr>
      <w:sz w:val="18"/>
    </w:rPr>
    <w:tblPr>
      <w:tblStyleRowBandSize w:val="1"/>
      <w:tblStyleColBandSize w:val="1"/>
      <w:tblBorders>
        <w:top w:val="single" w:sz="4" w:space="0" w:color="B961C9" w:themeColor="accent4" w:themeTint="99"/>
        <w:left w:val="single" w:sz="4" w:space="0" w:color="B961C9" w:themeColor="accent4" w:themeTint="99"/>
        <w:bottom w:val="single" w:sz="4" w:space="0" w:color="B961C9" w:themeColor="accent4" w:themeTint="99"/>
        <w:right w:val="single" w:sz="4" w:space="0" w:color="B961C9" w:themeColor="accent4" w:themeTint="99"/>
        <w:insideH w:val="single" w:sz="4" w:space="0" w:color="B961C9" w:themeColor="accent4" w:themeTint="99"/>
        <w:insideV w:val="single" w:sz="4" w:space="0" w:color="B961C9" w:themeColor="accent4" w:themeTint="99"/>
      </w:tblBorders>
    </w:tblPr>
    <w:tblStylePr w:type="firstRow">
      <w:rPr>
        <w:b/>
        <w:bCs/>
        <w:color w:val="FFFFFF" w:themeColor="background1"/>
      </w:rPr>
      <w:tblPr/>
      <w:tcPr>
        <w:tcBorders>
          <w:top w:val="single" w:sz="4" w:space="0" w:color="6A2875" w:themeColor="accent4"/>
          <w:left w:val="single" w:sz="4" w:space="0" w:color="6A2875" w:themeColor="accent4"/>
          <w:bottom w:val="single" w:sz="4" w:space="0" w:color="6A2875" w:themeColor="accent4"/>
          <w:right w:val="single" w:sz="4" w:space="0" w:color="6A2875" w:themeColor="accent4"/>
          <w:insideH w:val="nil"/>
          <w:insideV w:val="nil"/>
        </w:tcBorders>
        <w:shd w:val="clear" w:color="auto" w:fill="6A2875" w:themeFill="accent4"/>
      </w:tcPr>
    </w:tblStylePr>
    <w:tblStylePr w:type="lastRow">
      <w:rPr>
        <w:b/>
        <w:bCs/>
      </w:rPr>
      <w:tblPr/>
      <w:tcPr>
        <w:tcBorders>
          <w:top w:val="double" w:sz="4" w:space="0" w:color="6A2875" w:themeColor="accent4"/>
        </w:tcBorders>
      </w:tcPr>
    </w:tblStylePr>
    <w:tblStylePr w:type="firstCol">
      <w:rPr>
        <w:b/>
        <w:bCs/>
      </w:rPr>
    </w:tblStylePr>
    <w:tblStylePr w:type="lastCol">
      <w:rPr>
        <w:b/>
        <w:bCs/>
      </w:rPr>
    </w:tblStylePr>
    <w:tblStylePr w:type="band1Vert">
      <w:tblPr/>
      <w:tcPr>
        <w:shd w:val="clear" w:color="auto" w:fill="E7CAED" w:themeFill="accent4" w:themeFillTint="33"/>
      </w:tcPr>
    </w:tblStylePr>
    <w:tblStylePr w:type="band1Horz">
      <w:tblPr/>
      <w:tcPr>
        <w:shd w:val="clear" w:color="auto" w:fill="E7CAED" w:themeFill="accent4" w:themeFillTint="33"/>
      </w:tcPr>
    </w:tblStylePr>
  </w:style>
  <w:style w:type="paragraph" w:styleId="Title">
    <w:name w:val="Title"/>
    <w:basedOn w:val="Normal"/>
    <w:next w:val="Normal"/>
    <w:link w:val="TitleChar"/>
    <w:uiPriority w:val="10"/>
    <w:unhideWhenUsed/>
    <w:qFormat/>
    <w:rsid w:val="00D97646"/>
    <w:pPr>
      <w:pBdr>
        <w:bottom w:val="single" w:sz="8" w:space="4" w:color="BEB0D0"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D97646"/>
    <w:rPr>
      <w:rFonts w:asciiTheme="majorHAnsi" w:eastAsiaTheme="majorEastAsia" w:hAnsiTheme="majorHAnsi" w:cstheme="majorBidi"/>
      <w:color w:val="000000" w:themeColor="text2" w:themeShade="BF"/>
      <w:spacing w:val="5"/>
      <w:kern w:val="28"/>
      <w:sz w:val="52"/>
      <w:szCs w:val="52"/>
    </w:rPr>
  </w:style>
  <w:style w:type="paragraph" w:styleId="TOAHeading">
    <w:name w:val="toa heading"/>
    <w:basedOn w:val="Normal"/>
    <w:next w:val="Normal"/>
    <w:uiPriority w:val="99"/>
    <w:unhideWhenUsed/>
    <w:rsid w:val="00D97646"/>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rsid w:val="00D97646"/>
    <w:pPr>
      <w:keepLines/>
      <w:spacing w:before="480" w:after="0"/>
      <w:outlineLvl w:val="9"/>
    </w:pPr>
    <w:rPr>
      <w:rFonts w:eastAsiaTheme="majorEastAsia" w:cstheme="majorBidi"/>
      <w:b w:val="0"/>
      <w:bCs/>
      <w:color w:val="8C73AC" w:themeColor="accent1" w:themeShade="BF"/>
      <w:sz w:val="28"/>
      <w:szCs w:val="28"/>
    </w:rPr>
  </w:style>
  <w:style w:type="paragraph" w:customStyle="1" w:styleId="Footnotes">
    <w:name w:val="Footnotes"/>
    <w:basedOn w:val="Normal"/>
    <w:uiPriority w:val="99"/>
    <w:rsid w:val="00D97646"/>
    <w:pPr>
      <w:widowControl w:val="0"/>
      <w:suppressAutoHyphens/>
      <w:autoSpaceDE w:val="0"/>
      <w:autoSpaceDN w:val="0"/>
      <w:adjustRightInd w:val="0"/>
      <w:spacing w:before="0" w:after="170" w:line="200" w:lineRule="atLeast"/>
      <w:ind w:left="113" w:hanging="113"/>
      <w:textAlignment w:val="center"/>
    </w:pPr>
    <w:rPr>
      <w:rFonts w:ascii="ArialMT" w:eastAsiaTheme="minorEastAsia" w:hAnsi="ArialMT" w:cs="ArialMT"/>
      <w:color w:val="000000"/>
      <w:sz w:val="16"/>
      <w:szCs w:val="16"/>
      <w:lang w:val="en-GB"/>
    </w:rPr>
  </w:style>
  <w:style w:type="paragraph" w:styleId="Revision">
    <w:name w:val="Revision"/>
    <w:hidden/>
    <w:uiPriority w:val="99"/>
    <w:semiHidden/>
    <w:rsid w:val="00CE445D"/>
    <w:pPr>
      <w:spacing w:after="0" w:line="240" w:lineRule="auto"/>
    </w:pPr>
    <w:rPr>
      <w:rFonts w:ascii="Arial" w:eastAsia="Times New Roman" w:hAnsi="Arial" w:cs="Times New Roman"/>
      <w:szCs w:val="20"/>
      <w:lang w:val="en-AU"/>
    </w:r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
    <w:basedOn w:val="Normal"/>
    <w:link w:val="ListParagraphChar"/>
    <w:uiPriority w:val="34"/>
    <w:qFormat/>
    <w:rsid w:val="005019F5"/>
    <w:pPr>
      <w:spacing w:before="140" w:after="140" w:line="280" w:lineRule="atLeast"/>
      <w:ind w:left="720"/>
      <w:contextualSpacing/>
    </w:pPr>
    <w:rPr>
      <w:sz w:val="22"/>
      <w:szCs w:val="22"/>
    </w:r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link w:val="ListParagraph"/>
    <w:uiPriority w:val="34"/>
    <w:qFormat/>
    <w:locked/>
    <w:rsid w:val="005019F5"/>
    <w:rPr>
      <w:sz w:val="22"/>
      <w:szCs w:val="22"/>
      <w:lang w:val="en-AU"/>
    </w:rPr>
  </w:style>
  <w:style w:type="table" w:styleId="GridTable4-Accent1">
    <w:name w:val="Grid Table 4 Accent 1"/>
    <w:basedOn w:val="TableNormal"/>
    <w:uiPriority w:val="49"/>
    <w:rsid w:val="005019F5"/>
    <w:pPr>
      <w:spacing w:before="140" w:after="0" w:line="240" w:lineRule="auto"/>
    </w:pPr>
    <w:rPr>
      <w:sz w:val="22"/>
      <w:szCs w:val="22"/>
      <w:lang w:val="en-AU"/>
    </w:rPr>
    <w:tblPr>
      <w:tblStyleRowBandSize w:val="1"/>
      <w:tblStyleColBandSize w:val="1"/>
      <w:tblBorders>
        <w:top w:val="single" w:sz="4" w:space="0" w:color="D7CFE2" w:themeColor="accent1" w:themeTint="99"/>
        <w:left w:val="single" w:sz="4" w:space="0" w:color="D7CFE2" w:themeColor="accent1" w:themeTint="99"/>
        <w:bottom w:val="single" w:sz="4" w:space="0" w:color="D7CFE2" w:themeColor="accent1" w:themeTint="99"/>
        <w:right w:val="single" w:sz="4" w:space="0" w:color="D7CFE2" w:themeColor="accent1" w:themeTint="99"/>
        <w:insideH w:val="single" w:sz="4" w:space="0" w:color="D7CFE2" w:themeColor="accent1" w:themeTint="99"/>
        <w:insideV w:val="single" w:sz="4" w:space="0" w:color="D7CFE2" w:themeColor="accent1" w:themeTint="99"/>
      </w:tblBorders>
    </w:tblPr>
    <w:tblStylePr w:type="firstRow">
      <w:rPr>
        <w:b/>
        <w:bCs/>
        <w:color w:val="FFFFFF" w:themeColor="background1"/>
      </w:rPr>
      <w:tblPr/>
      <w:tcPr>
        <w:tcBorders>
          <w:top w:val="single" w:sz="4" w:space="0" w:color="BEB0D0" w:themeColor="accent1"/>
          <w:left w:val="single" w:sz="4" w:space="0" w:color="BEB0D0" w:themeColor="accent1"/>
          <w:bottom w:val="single" w:sz="4" w:space="0" w:color="BEB0D0" w:themeColor="accent1"/>
          <w:right w:val="single" w:sz="4" w:space="0" w:color="BEB0D0" w:themeColor="accent1"/>
          <w:insideH w:val="nil"/>
          <w:insideV w:val="nil"/>
        </w:tcBorders>
        <w:shd w:val="clear" w:color="auto" w:fill="BEB0D0" w:themeFill="accent1"/>
      </w:tcPr>
    </w:tblStylePr>
    <w:tblStylePr w:type="lastRow">
      <w:rPr>
        <w:b/>
        <w:bCs/>
      </w:rPr>
      <w:tblPr/>
      <w:tcPr>
        <w:tcBorders>
          <w:top w:val="double" w:sz="4" w:space="0" w:color="BEB0D0" w:themeColor="accent1"/>
        </w:tcBorders>
      </w:tcPr>
    </w:tblStylePr>
    <w:tblStylePr w:type="firstCol">
      <w:rPr>
        <w:b/>
        <w:bCs/>
      </w:rPr>
    </w:tblStylePr>
    <w:tblStylePr w:type="lastCol">
      <w:rPr>
        <w:b/>
        <w:bCs/>
      </w:rPr>
    </w:tblStylePr>
    <w:tblStylePr w:type="band1Vert">
      <w:tblPr/>
      <w:tcPr>
        <w:shd w:val="clear" w:color="auto" w:fill="F1EFF5" w:themeFill="accent1" w:themeFillTint="33"/>
      </w:tcPr>
    </w:tblStylePr>
    <w:tblStylePr w:type="band1Horz">
      <w:tblPr/>
      <w:tcPr>
        <w:shd w:val="clear" w:color="auto" w:fill="F1EFF5" w:themeFill="accent1" w:themeFillTint="33"/>
      </w:tcPr>
    </w:tblStylePr>
  </w:style>
  <w:style w:type="paragraph" w:styleId="Caption">
    <w:name w:val="caption"/>
    <w:basedOn w:val="Normal"/>
    <w:next w:val="Normal"/>
    <w:link w:val="CaptionChar"/>
    <w:uiPriority w:val="3"/>
    <w:unhideWhenUsed/>
    <w:qFormat/>
    <w:rsid w:val="006B3887"/>
    <w:pPr>
      <w:keepNext/>
      <w:jc w:val="center"/>
    </w:pPr>
    <w:rPr>
      <w:b/>
      <w:i/>
      <w:iCs/>
      <w:color w:val="000000" w:themeColor="text2"/>
      <w:sz w:val="18"/>
      <w:szCs w:val="18"/>
    </w:rPr>
  </w:style>
  <w:style w:type="character" w:customStyle="1" w:styleId="CaptionChar">
    <w:name w:val="Caption Char"/>
    <w:basedOn w:val="DefaultParagraphFont"/>
    <w:link w:val="Caption"/>
    <w:uiPriority w:val="3"/>
    <w:rsid w:val="006B3887"/>
    <w:rPr>
      <w:b/>
      <w:i/>
      <w:iCs/>
      <w:color w:val="000000" w:themeColor="text2"/>
      <w:sz w:val="18"/>
      <w:szCs w:val="18"/>
      <w:lang w:val="en-AU"/>
    </w:rPr>
  </w:style>
  <w:style w:type="paragraph" w:customStyle="1" w:styleId="Footnoterefernce">
    <w:name w:val="Footnote refernce"/>
    <w:basedOn w:val="FootnoteText"/>
    <w:qFormat/>
    <w:rsid w:val="00B63112"/>
    <w:pPr>
      <w:spacing w:before="120" w:after="0"/>
      <w:ind w:left="425" w:hanging="425"/>
    </w:pPr>
    <w:rPr>
      <w:sz w:val="20"/>
      <w:szCs w:val="20"/>
    </w:rPr>
  </w:style>
  <w:style w:type="character" w:styleId="CommentReference">
    <w:name w:val="annotation reference"/>
    <w:basedOn w:val="DefaultParagraphFont"/>
    <w:uiPriority w:val="99"/>
    <w:semiHidden/>
    <w:unhideWhenUsed/>
    <w:rsid w:val="00B1246B"/>
    <w:rPr>
      <w:sz w:val="16"/>
      <w:szCs w:val="16"/>
    </w:rPr>
  </w:style>
  <w:style w:type="paragraph" w:styleId="CommentText">
    <w:name w:val="annotation text"/>
    <w:basedOn w:val="Normal"/>
    <w:link w:val="CommentTextChar"/>
    <w:uiPriority w:val="99"/>
    <w:semiHidden/>
    <w:unhideWhenUsed/>
    <w:rsid w:val="00B1246B"/>
    <w:pPr>
      <w:spacing w:line="240" w:lineRule="auto"/>
    </w:pPr>
    <w:rPr>
      <w:sz w:val="20"/>
      <w:szCs w:val="20"/>
    </w:rPr>
  </w:style>
  <w:style w:type="character" w:customStyle="1" w:styleId="CommentTextChar">
    <w:name w:val="Comment Text Char"/>
    <w:basedOn w:val="DefaultParagraphFont"/>
    <w:link w:val="CommentText"/>
    <w:uiPriority w:val="99"/>
    <w:semiHidden/>
    <w:rsid w:val="00B1246B"/>
    <w:rPr>
      <w:sz w:val="20"/>
      <w:szCs w:val="20"/>
      <w:lang w:val="en-AU"/>
    </w:rPr>
  </w:style>
  <w:style w:type="paragraph" w:styleId="CommentSubject">
    <w:name w:val="annotation subject"/>
    <w:basedOn w:val="CommentText"/>
    <w:next w:val="CommentText"/>
    <w:link w:val="CommentSubjectChar"/>
    <w:uiPriority w:val="99"/>
    <w:semiHidden/>
    <w:unhideWhenUsed/>
    <w:rsid w:val="00B1246B"/>
    <w:rPr>
      <w:b/>
      <w:bCs/>
    </w:rPr>
  </w:style>
  <w:style w:type="character" w:customStyle="1" w:styleId="CommentSubjectChar">
    <w:name w:val="Comment Subject Char"/>
    <w:basedOn w:val="CommentTextChar"/>
    <w:link w:val="CommentSubject"/>
    <w:uiPriority w:val="99"/>
    <w:semiHidden/>
    <w:rsid w:val="00B1246B"/>
    <w:rPr>
      <w:b/>
      <w:bCs/>
      <w:sz w:val="20"/>
      <w:szCs w:val="20"/>
      <w:lang w:val="en-AU"/>
    </w:rPr>
  </w:style>
  <w:style w:type="paragraph" w:styleId="TableofFigures">
    <w:name w:val="table of figures"/>
    <w:basedOn w:val="Normal"/>
    <w:next w:val="Normal"/>
    <w:uiPriority w:val="99"/>
    <w:unhideWhenUsed/>
    <w:rsid w:val="00CF16FF"/>
    <w:pPr>
      <w:tabs>
        <w:tab w:val="right" w:leader="dot" w:pos="9072"/>
      </w:tabs>
      <w:spacing w:after="0"/>
      <w:ind w:left="1134" w:right="567" w:hanging="1134"/>
    </w:pPr>
    <w:rPr>
      <w:sz w:val="20"/>
    </w:rPr>
  </w:style>
  <w:style w:type="table" w:styleId="TableGrid">
    <w:name w:val="Table Grid"/>
    <w:basedOn w:val="TableNormal"/>
    <w:uiPriority w:val="59"/>
    <w:rsid w:val="00E1767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1B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9890">
      <w:bodyDiv w:val="1"/>
      <w:marLeft w:val="0"/>
      <w:marRight w:val="0"/>
      <w:marTop w:val="0"/>
      <w:marBottom w:val="0"/>
      <w:divBdr>
        <w:top w:val="none" w:sz="0" w:space="0" w:color="auto"/>
        <w:left w:val="none" w:sz="0" w:space="0" w:color="auto"/>
        <w:bottom w:val="none" w:sz="0" w:space="0" w:color="auto"/>
        <w:right w:val="none" w:sz="0" w:space="0" w:color="auto"/>
      </w:divBdr>
    </w:div>
    <w:div w:id="5602276">
      <w:bodyDiv w:val="1"/>
      <w:marLeft w:val="0"/>
      <w:marRight w:val="0"/>
      <w:marTop w:val="0"/>
      <w:marBottom w:val="0"/>
      <w:divBdr>
        <w:top w:val="none" w:sz="0" w:space="0" w:color="auto"/>
        <w:left w:val="none" w:sz="0" w:space="0" w:color="auto"/>
        <w:bottom w:val="none" w:sz="0" w:space="0" w:color="auto"/>
        <w:right w:val="none" w:sz="0" w:space="0" w:color="auto"/>
      </w:divBdr>
    </w:div>
    <w:div w:id="14233302">
      <w:bodyDiv w:val="1"/>
      <w:marLeft w:val="0"/>
      <w:marRight w:val="0"/>
      <w:marTop w:val="0"/>
      <w:marBottom w:val="0"/>
      <w:divBdr>
        <w:top w:val="none" w:sz="0" w:space="0" w:color="auto"/>
        <w:left w:val="none" w:sz="0" w:space="0" w:color="auto"/>
        <w:bottom w:val="none" w:sz="0" w:space="0" w:color="auto"/>
        <w:right w:val="none" w:sz="0" w:space="0" w:color="auto"/>
      </w:divBdr>
    </w:div>
    <w:div w:id="14892027">
      <w:bodyDiv w:val="1"/>
      <w:marLeft w:val="0"/>
      <w:marRight w:val="0"/>
      <w:marTop w:val="0"/>
      <w:marBottom w:val="0"/>
      <w:divBdr>
        <w:top w:val="none" w:sz="0" w:space="0" w:color="auto"/>
        <w:left w:val="none" w:sz="0" w:space="0" w:color="auto"/>
        <w:bottom w:val="none" w:sz="0" w:space="0" w:color="auto"/>
        <w:right w:val="none" w:sz="0" w:space="0" w:color="auto"/>
      </w:divBdr>
    </w:div>
    <w:div w:id="47842603">
      <w:bodyDiv w:val="1"/>
      <w:marLeft w:val="0"/>
      <w:marRight w:val="0"/>
      <w:marTop w:val="0"/>
      <w:marBottom w:val="0"/>
      <w:divBdr>
        <w:top w:val="none" w:sz="0" w:space="0" w:color="auto"/>
        <w:left w:val="none" w:sz="0" w:space="0" w:color="auto"/>
        <w:bottom w:val="none" w:sz="0" w:space="0" w:color="auto"/>
        <w:right w:val="none" w:sz="0" w:space="0" w:color="auto"/>
      </w:divBdr>
    </w:div>
    <w:div w:id="65079136">
      <w:bodyDiv w:val="1"/>
      <w:marLeft w:val="0"/>
      <w:marRight w:val="0"/>
      <w:marTop w:val="0"/>
      <w:marBottom w:val="0"/>
      <w:divBdr>
        <w:top w:val="none" w:sz="0" w:space="0" w:color="auto"/>
        <w:left w:val="none" w:sz="0" w:space="0" w:color="auto"/>
        <w:bottom w:val="none" w:sz="0" w:space="0" w:color="auto"/>
        <w:right w:val="none" w:sz="0" w:space="0" w:color="auto"/>
      </w:divBdr>
    </w:div>
    <w:div w:id="82804594">
      <w:bodyDiv w:val="1"/>
      <w:marLeft w:val="0"/>
      <w:marRight w:val="0"/>
      <w:marTop w:val="0"/>
      <w:marBottom w:val="0"/>
      <w:divBdr>
        <w:top w:val="none" w:sz="0" w:space="0" w:color="auto"/>
        <w:left w:val="none" w:sz="0" w:space="0" w:color="auto"/>
        <w:bottom w:val="none" w:sz="0" w:space="0" w:color="auto"/>
        <w:right w:val="none" w:sz="0" w:space="0" w:color="auto"/>
      </w:divBdr>
    </w:div>
    <w:div w:id="87234117">
      <w:bodyDiv w:val="1"/>
      <w:marLeft w:val="0"/>
      <w:marRight w:val="0"/>
      <w:marTop w:val="0"/>
      <w:marBottom w:val="0"/>
      <w:divBdr>
        <w:top w:val="none" w:sz="0" w:space="0" w:color="auto"/>
        <w:left w:val="none" w:sz="0" w:space="0" w:color="auto"/>
        <w:bottom w:val="none" w:sz="0" w:space="0" w:color="auto"/>
        <w:right w:val="none" w:sz="0" w:space="0" w:color="auto"/>
      </w:divBdr>
    </w:div>
    <w:div w:id="99956024">
      <w:bodyDiv w:val="1"/>
      <w:marLeft w:val="0"/>
      <w:marRight w:val="0"/>
      <w:marTop w:val="0"/>
      <w:marBottom w:val="0"/>
      <w:divBdr>
        <w:top w:val="none" w:sz="0" w:space="0" w:color="auto"/>
        <w:left w:val="none" w:sz="0" w:space="0" w:color="auto"/>
        <w:bottom w:val="none" w:sz="0" w:space="0" w:color="auto"/>
        <w:right w:val="none" w:sz="0" w:space="0" w:color="auto"/>
      </w:divBdr>
    </w:div>
    <w:div w:id="119154242">
      <w:bodyDiv w:val="1"/>
      <w:marLeft w:val="0"/>
      <w:marRight w:val="0"/>
      <w:marTop w:val="0"/>
      <w:marBottom w:val="0"/>
      <w:divBdr>
        <w:top w:val="none" w:sz="0" w:space="0" w:color="auto"/>
        <w:left w:val="none" w:sz="0" w:space="0" w:color="auto"/>
        <w:bottom w:val="none" w:sz="0" w:space="0" w:color="auto"/>
        <w:right w:val="none" w:sz="0" w:space="0" w:color="auto"/>
      </w:divBdr>
    </w:div>
    <w:div w:id="128597800">
      <w:bodyDiv w:val="1"/>
      <w:marLeft w:val="0"/>
      <w:marRight w:val="0"/>
      <w:marTop w:val="0"/>
      <w:marBottom w:val="0"/>
      <w:divBdr>
        <w:top w:val="none" w:sz="0" w:space="0" w:color="auto"/>
        <w:left w:val="none" w:sz="0" w:space="0" w:color="auto"/>
        <w:bottom w:val="none" w:sz="0" w:space="0" w:color="auto"/>
        <w:right w:val="none" w:sz="0" w:space="0" w:color="auto"/>
      </w:divBdr>
      <w:divsChild>
        <w:div w:id="1966230193">
          <w:marLeft w:val="302"/>
          <w:marRight w:val="0"/>
          <w:marTop w:val="86"/>
          <w:marBottom w:val="0"/>
          <w:divBdr>
            <w:top w:val="none" w:sz="0" w:space="0" w:color="auto"/>
            <w:left w:val="none" w:sz="0" w:space="0" w:color="auto"/>
            <w:bottom w:val="none" w:sz="0" w:space="0" w:color="auto"/>
            <w:right w:val="none" w:sz="0" w:space="0" w:color="auto"/>
          </w:divBdr>
        </w:div>
      </w:divsChild>
    </w:div>
    <w:div w:id="133065140">
      <w:bodyDiv w:val="1"/>
      <w:marLeft w:val="0"/>
      <w:marRight w:val="0"/>
      <w:marTop w:val="0"/>
      <w:marBottom w:val="0"/>
      <w:divBdr>
        <w:top w:val="none" w:sz="0" w:space="0" w:color="auto"/>
        <w:left w:val="none" w:sz="0" w:space="0" w:color="auto"/>
        <w:bottom w:val="none" w:sz="0" w:space="0" w:color="auto"/>
        <w:right w:val="none" w:sz="0" w:space="0" w:color="auto"/>
      </w:divBdr>
    </w:div>
    <w:div w:id="155535686">
      <w:bodyDiv w:val="1"/>
      <w:marLeft w:val="0"/>
      <w:marRight w:val="0"/>
      <w:marTop w:val="0"/>
      <w:marBottom w:val="0"/>
      <w:divBdr>
        <w:top w:val="none" w:sz="0" w:space="0" w:color="auto"/>
        <w:left w:val="none" w:sz="0" w:space="0" w:color="auto"/>
        <w:bottom w:val="none" w:sz="0" w:space="0" w:color="auto"/>
        <w:right w:val="none" w:sz="0" w:space="0" w:color="auto"/>
      </w:divBdr>
    </w:div>
    <w:div w:id="175578754">
      <w:bodyDiv w:val="1"/>
      <w:marLeft w:val="0"/>
      <w:marRight w:val="0"/>
      <w:marTop w:val="0"/>
      <w:marBottom w:val="0"/>
      <w:divBdr>
        <w:top w:val="none" w:sz="0" w:space="0" w:color="auto"/>
        <w:left w:val="none" w:sz="0" w:space="0" w:color="auto"/>
        <w:bottom w:val="none" w:sz="0" w:space="0" w:color="auto"/>
        <w:right w:val="none" w:sz="0" w:space="0" w:color="auto"/>
      </w:divBdr>
    </w:div>
    <w:div w:id="185094414">
      <w:bodyDiv w:val="1"/>
      <w:marLeft w:val="0"/>
      <w:marRight w:val="0"/>
      <w:marTop w:val="0"/>
      <w:marBottom w:val="0"/>
      <w:divBdr>
        <w:top w:val="none" w:sz="0" w:space="0" w:color="auto"/>
        <w:left w:val="none" w:sz="0" w:space="0" w:color="auto"/>
        <w:bottom w:val="none" w:sz="0" w:space="0" w:color="auto"/>
        <w:right w:val="none" w:sz="0" w:space="0" w:color="auto"/>
      </w:divBdr>
    </w:div>
    <w:div w:id="185142669">
      <w:bodyDiv w:val="1"/>
      <w:marLeft w:val="0"/>
      <w:marRight w:val="0"/>
      <w:marTop w:val="0"/>
      <w:marBottom w:val="0"/>
      <w:divBdr>
        <w:top w:val="none" w:sz="0" w:space="0" w:color="auto"/>
        <w:left w:val="none" w:sz="0" w:space="0" w:color="auto"/>
        <w:bottom w:val="none" w:sz="0" w:space="0" w:color="auto"/>
        <w:right w:val="none" w:sz="0" w:space="0" w:color="auto"/>
      </w:divBdr>
    </w:div>
    <w:div w:id="186532112">
      <w:bodyDiv w:val="1"/>
      <w:marLeft w:val="0"/>
      <w:marRight w:val="0"/>
      <w:marTop w:val="0"/>
      <w:marBottom w:val="0"/>
      <w:divBdr>
        <w:top w:val="none" w:sz="0" w:space="0" w:color="auto"/>
        <w:left w:val="none" w:sz="0" w:space="0" w:color="auto"/>
        <w:bottom w:val="none" w:sz="0" w:space="0" w:color="auto"/>
        <w:right w:val="none" w:sz="0" w:space="0" w:color="auto"/>
      </w:divBdr>
    </w:div>
    <w:div w:id="201334017">
      <w:bodyDiv w:val="1"/>
      <w:marLeft w:val="0"/>
      <w:marRight w:val="0"/>
      <w:marTop w:val="0"/>
      <w:marBottom w:val="0"/>
      <w:divBdr>
        <w:top w:val="none" w:sz="0" w:space="0" w:color="auto"/>
        <w:left w:val="none" w:sz="0" w:space="0" w:color="auto"/>
        <w:bottom w:val="none" w:sz="0" w:space="0" w:color="auto"/>
        <w:right w:val="none" w:sz="0" w:space="0" w:color="auto"/>
      </w:divBdr>
    </w:div>
    <w:div w:id="220558510">
      <w:bodyDiv w:val="1"/>
      <w:marLeft w:val="0"/>
      <w:marRight w:val="0"/>
      <w:marTop w:val="0"/>
      <w:marBottom w:val="0"/>
      <w:divBdr>
        <w:top w:val="none" w:sz="0" w:space="0" w:color="auto"/>
        <w:left w:val="none" w:sz="0" w:space="0" w:color="auto"/>
        <w:bottom w:val="none" w:sz="0" w:space="0" w:color="auto"/>
        <w:right w:val="none" w:sz="0" w:space="0" w:color="auto"/>
      </w:divBdr>
    </w:div>
    <w:div w:id="250895149">
      <w:bodyDiv w:val="1"/>
      <w:marLeft w:val="0"/>
      <w:marRight w:val="0"/>
      <w:marTop w:val="0"/>
      <w:marBottom w:val="0"/>
      <w:divBdr>
        <w:top w:val="none" w:sz="0" w:space="0" w:color="auto"/>
        <w:left w:val="none" w:sz="0" w:space="0" w:color="auto"/>
        <w:bottom w:val="none" w:sz="0" w:space="0" w:color="auto"/>
        <w:right w:val="none" w:sz="0" w:space="0" w:color="auto"/>
      </w:divBdr>
    </w:div>
    <w:div w:id="259876756">
      <w:bodyDiv w:val="1"/>
      <w:marLeft w:val="0"/>
      <w:marRight w:val="0"/>
      <w:marTop w:val="0"/>
      <w:marBottom w:val="0"/>
      <w:divBdr>
        <w:top w:val="none" w:sz="0" w:space="0" w:color="auto"/>
        <w:left w:val="none" w:sz="0" w:space="0" w:color="auto"/>
        <w:bottom w:val="none" w:sz="0" w:space="0" w:color="auto"/>
        <w:right w:val="none" w:sz="0" w:space="0" w:color="auto"/>
      </w:divBdr>
    </w:div>
    <w:div w:id="267279339">
      <w:bodyDiv w:val="1"/>
      <w:marLeft w:val="0"/>
      <w:marRight w:val="0"/>
      <w:marTop w:val="0"/>
      <w:marBottom w:val="0"/>
      <w:divBdr>
        <w:top w:val="none" w:sz="0" w:space="0" w:color="auto"/>
        <w:left w:val="none" w:sz="0" w:space="0" w:color="auto"/>
        <w:bottom w:val="none" w:sz="0" w:space="0" w:color="auto"/>
        <w:right w:val="none" w:sz="0" w:space="0" w:color="auto"/>
      </w:divBdr>
      <w:divsChild>
        <w:div w:id="1045369467">
          <w:marLeft w:val="302"/>
          <w:marRight w:val="0"/>
          <w:marTop w:val="86"/>
          <w:marBottom w:val="0"/>
          <w:divBdr>
            <w:top w:val="none" w:sz="0" w:space="0" w:color="auto"/>
            <w:left w:val="none" w:sz="0" w:space="0" w:color="auto"/>
            <w:bottom w:val="none" w:sz="0" w:space="0" w:color="auto"/>
            <w:right w:val="none" w:sz="0" w:space="0" w:color="auto"/>
          </w:divBdr>
        </w:div>
        <w:div w:id="1391032546">
          <w:marLeft w:val="302"/>
          <w:marRight w:val="0"/>
          <w:marTop w:val="86"/>
          <w:marBottom w:val="0"/>
          <w:divBdr>
            <w:top w:val="none" w:sz="0" w:space="0" w:color="auto"/>
            <w:left w:val="none" w:sz="0" w:space="0" w:color="auto"/>
            <w:bottom w:val="none" w:sz="0" w:space="0" w:color="auto"/>
            <w:right w:val="none" w:sz="0" w:space="0" w:color="auto"/>
          </w:divBdr>
        </w:div>
      </w:divsChild>
    </w:div>
    <w:div w:id="273682196">
      <w:bodyDiv w:val="1"/>
      <w:marLeft w:val="0"/>
      <w:marRight w:val="0"/>
      <w:marTop w:val="0"/>
      <w:marBottom w:val="0"/>
      <w:divBdr>
        <w:top w:val="none" w:sz="0" w:space="0" w:color="auto"/>
        <w:left w:val="none" w:sz="0" w:space="0" w:color="auto"/>
        <w:bottom w:val="none" w:sz="0" w:space="0" w:color="auto"/>
        <w:right w:val="none" w:sz="0" w:space="0" w:color="auto"/>
      </w:divBdr>
    </w:div>
    <w:div w:id="275791152">
      <w:bodyDiv w:val="1"/>
      <w:marLeft w:val="0"/>
      <w:marRight w:val="0"/>
      <w:marTop w:val="0"/>
      <w:marBottom w:val="0"/>
      <w:divBdr>
        <w:top w:val="none" w:sz="0" w:space="0" w:color="auto"/>
        <w:left w:val="none" w:sz="0" w:space="0" w:color="auto"/>
        <w:bottom w:val="none" w:sz="0" w:space="0" w:color="auto"/>
        <w:right w:val="none" w:sz="0" w:space="0" w:color="auto"/>
      </w:divBdr>
    </w:div>
    <w:div w:id="279189450">
      <w:bodyDiv w:val="1"/>
      <w:marLeft w:val="0"/>
      <w:marRight w:val="0"/>
      <w:marTop w:val="0"/>
      <w:marBottom w:val="0"/>
      <w:divBdr>
        <w:top w:val="none" w:sz="0" w:space="0" w:color="auto"/>
        <w:left w:val="none" w:sz="0" w:space="0" w:color="auto"/>
        <w:bottom w:val="none" w:sz="0" w:space="0" w:color="auto"/>
        <w:right w:val="none" w:sz="0" w:space="0" w:color="auto"/>
      </w:divBdr>
    </w:div>
    <w:div w:id="291982555">
      <w:bodyDiv w:val="1"/>
      <w:marLeft w:val="0"/>
      <w:marRight w:val="0"/>
      <w:marTop w:val="0"/>
      <w:marBottom w:val="0"/>
      <w:divBdr>
        <w:top w:val="none" w:sz="0" w:space="0" w:color="auto"/>
        <w:left w:val="none" w:sz="0" w:space="0" w:color="auto"/>
        <w:bottom w:val="none" w:sz="0" w:space="0" w:color="auto"/>
        <w:right w:val="none" w:sz="0" w:space="0" w:color="auto"/>
      </w:divBdr>
    </w:div>
    <w:div w:id="292254492">
      <w:bodyDiv w:val="1"/>
      <w:marLeft w:val="0"/>
      <w:marRight w:val="0"/>
      <w:marTop w:val="0"/>
      <w:marBottom w:val="0"/>
      <w:divBdr>
        <w:top w:val="none" w:sz="0" w:space="0" w:color="auto"/>
        <w:left w:val="none" w:sz="0" w:space="0" w:color="auto"/>
        <w:bottom w:val="none" w:sz="0" w:space="0" w:color="auto"/>
        <w:right w:val="none" w:sz="0" w:space="0" w:color="auto"/>
      </w:divBdr>
    </w:div>
    <w:div w:id="333265827">
      <w:bodyDiv w:val="1"/>
      <w:marLeft w:val="0"/>
      <w:marRight w:val="0"/>
      <w:marTop w:val="0"/>
      <w:marBottom w:val="0"/>
      <w:divBdr>
        <w:top w:val="none" w:sz="0" w:space="0" w:color="auto"/>
        <w:left w:val="none" w:sz="0" w:space="0" w:color="auto"/>
        <w:bottom w:val="none" w:sz="0" w:space="0" w:color="auto"/>
        <w:right w:val="none" w:sz="0" w:space="0" w:color="auto"/>
      </w:divBdr>
    </w:div>
    <w:div w:id="389036869">
      <w:bodyDiv w:val="1"/>
      <w:marLeft w:val="0"/>
      <w:marRight w:val="0"/>
      <w:marTop w:val="0"/>
      <w:marBottom w:val="0"/>
      <w:divBdr>
        <w:top w:val="none" w:sz="0" w:space="0" w:color="auto"/>
        <w:left w:val="none" w:sz="0" w:space="0" w:color="auto"/>
        <w:bottom w:val="none" w:sz="0" w:space="0" w:color="auto"/>
        <w:right w:val="none" w:sz="0" w:space="0" w:color="auto"/>
      </w:divBdr>
    </w:div>
    <w:div w:id="390085271">
      <w:bodyDiv w:val="1"/>
      <w:marLeft w:val="0"/>
      <w:marRight w:val="0"/>
      <w:marTop w:val="0"/>
      <w:marBottom w:val="0"/>
      <w:divBdr>
        <w:top w:val="none" w:sz="0" w:space="0" w:color="auto"/>
        <w:left w:val="none" w:sz="0" w:space="0" w:color="auto"/>
        <w:bottom w:val="none" w:sz="0" w:space="0" w:color="auto"/>
        <w:right w:val="none" w:sz="0" w:space="0" w:color="auto"/>
      </w:divBdr>
    </w:div>
    <w:div w:id="410783720">
      <w:bodyDiv w:val="1"/>
      <w:marLeft w:val="0"/>
      <w:marRight w:val="0"/>
      <w:marTop w:val="0"/>
      <w:marBottom w:val="0"/>
      <w:divBdr>
        <w:top w:val="none" w:sz="0" w:space="0" w:color="auto"/>
        <w:left w:val="none" w:sz="0" w:space="0" w:color="auto"/>
        <w:bottom w:val="none" w:sz="0" w:space="0" w:color="auto"/>
        <w:right w:val="none" w:sz="0" w:space="0" w:color="auto"/>
      </w:divBdr>
      <w:divsChild>
        <w:div w:id="985089261">
          <w:marLeft w:val="274"/>
          <w:marRight w:val="0"/>
          <w:marTop w:val="0"/>
          <w:marBottom w:val="0"/>
          <w:divBdr>
            <w:top w:val="none" w:sz="0" w:space="0" w:color="auto"/>
            <w:left w:val="none" w:sz="0" w:space="0" w:color="auto"/>
            <w:bottom w:val="none" w:sz="0" w:space="0" w:color="auto"/>
            <w:right w:val="none" w:sz="0" w:space="0" w:color="auto"/>
          </w:divBdr>
        </w:div>
        <w:div w:id="1822191676">
          <w:marLeft w:val="274"/>
          <w:marRight w:val="0"/>
          <w:marTop w:val="0"/>
          <w:marBottom w:val="0"/>
          <w:divBdr>
            <w:top w:val="none" w:sz="0" w:space="0" w:color="auto"/>
            <w:left w:val="none" w:sz="0" w:space="0" w:color="auto"/>
            <w:bottom w:val="none" w:sz="0" w:space="0" w:color="auto"/>
            <w:right w:val="none" w:sz="0" w:space="0" w:color="auto"/>
          </w:divBdr>
        </w:div>
        <w:div w:id="2146846986">
          <w:marLeft w:val="274"/>
          <w:marRight w:val="0"/>
          <w:marTop w:val="0"/>
          <w:marBottom w:val="0"/>
          <w:divBdr>
            <w:top w:val="none" w:sz="0" w:space="0" w:color="auto"/>
            <w:left w:val="none" w:sz="0" w:space="0" w:color="auto"/>
            <w:bottom w:val="none" w:sz="0" w:space="0" w:color="auto"/>
            <w:right w:val="none" w:sz="0" w:space="0" w:color="auto"/>
          </w:divBdr>
        </w:div>
      </w:divsChild>
    </w:div>
    <w:div w:id="426582425">
      <w:bodyDiv w:val="1"/>
      <w:marLeft w:val="0"/>
      <w:marRight w:val="0"/>
      <w:marTop w:val="0"/>
      <w:marBottom w:val="0"/>
      <w:divBdr>
        <w:top w:val="none" w:sz="0" w:space="0" w:color="auto"/>
        <w:left w:val="none" w:sz="0" w:space="0" w:color="auto"/>
        <w:bottom w:val="none" w:sz="0" w:space="0" w:color="auto"/>
        <w:right w:val="none" w:sz="0" w:space="0" w:color="auto"/>
      </w:divBdr>
    </w:div>
    <w:div w:id="438380681">
      <w:bodyDiv w:val="1"/>
      <w:marLeft w:val="0"/>
      <w:marRight w:val="0"/>
      <w:marTop w:val="0"/>
      <w:marBottom w:val="0"/>
      <w:divBdr>
        <w:top w:val="none" w:sz="0" w:space="0" w:color="auto"/>
        <w:left w:val="none" w:sz="0" w:space="0" w:color="auto"/>
        <w:bottom w:val="none" w:sz="0" w:space="0" w:color="auto"/>
        <w:right w:val="none" w:sz="0" w:space="0" w:color="auto"/>
      </w:divBdr>
    </w:div>
    <w:div w:id="469133494">
      <w:bodyDiv w:val="1"/>
      <w:marLeft w:val="0"/>
      <w:marRight w:val="0"/>
      <w:marTop w:val="0"/>
      <w:marBottom w:val="0"/>
      <w:divBdr>
        <w:top w:val="none" w:sz="0" w:space="0" w:color="auto"/>
        <w:left w:val="none" w:sz="0" w:space="0" w:color="auto"/>
        <w:bottom w:val="none" w:sz="0" w:space="0" w:color="auto"/>
        <w:right w:val="none" w:sz="0" w:space="0" w:color="auto"/>
      </w:divBdr>
    </w:div>
    <w:div w:id="475727217">
      <w:bodyDiv w:val="1"/>
      <w:marLeft w:val="0"/>
      <w:marRight w:val="0"/>
      <w:marTop w:val="0"/>
      <w:marBottom w:val="0"/>
      <w:divBdr>
        <w:top w:val="none" w:sz="0" w:space="0" w:color="auto"/>
        <w:left w:val="none" w:sz="0" w:space="0" w:color="auto"/>
        <w:bottom w:val="none" w:sz="0" w:space="0" w:color="auto"/>
        <w:right w:val="none" w:sz="0" w:space="0" w:color="auto"/>
      </w:divBdr>
    </w:div>
    <w:div w:id="494684950">
      <w:bodyDiv w:val="1"/>
      <w:marLeft w:val="0"/>
      <w:marRight w:val="0"/>
      <w:marTop w:val="0"/>
      <w:marBottom w:val="0"/>
      <w:divBdr>
        <w:top w:val="none" w:sz="0" w:space="0" w:color="auto"/>
        <w:left w:val="none" w:sz="0" w:space="0" w:color="auto"/>
        <w:bottom w:val="none" w:sz="0" w:space="0" w:color="auto"/>
        <w:right w:val="none" w:sz="0" w:space="0" w:color="auto"/>
      </w:divBdr>
    </w:div>
    <w:div w:id="504512746">
      <w:bodyDiv w:val="1"/>
      <w:marLeft w:val="0"/>
      <w:marRight w:val="0"/>
      <w:marTop w:val="0"/>
      <w:marBottom w:val="0"/>
      <w:divBdr>
        <w:top w:val="none" w:sz="0" w:space="0" w:color="auto"/>
        <w:left w:val="none" w:sz="0" w:space="0" w:color="auto"/>
        <w:bottom w:val="none" w:sz="0" w:space="0" w:color="auto"/>
        <w:right w:val="none" w:sz="0" w:space="0" w:color="auto"/>
      </w:divBdr>
    </w:div>
    <w:div w:id="536354488">
      <w:bodyDiv w:val="1"/>
      <w:marLeft w:val="0"/>
      <w:marRight w:val="0"/>
      <w:marTop w:val="0"/>
      <w:marBottom w:val="0"/>
      <w:divBdr>
        <w:top w:val="none" w:sz="0" w:space="0" w:color="auto"/>
        <w:left w:val="none" w:sz="0" w:space="0" w:color="auto"/>
        <w:bottom w:val="none" w:sz="0" w:space="0" w:color="auto"/>
        <w:right w:val="none" w:sz="0" w:space="0" w:color="auto"/>
      </w:divBdr>
    </w:div>
    <w:div w:id="537201176">
      <w:bodyDiv w:val="1"/>
      <w:marLeft w:val="0"/>
      <w:marRight w:val="0"/>
      <w:marTop w:val="0"/>
      <w:marBottom w:val="0"/>
      <w:divBdr>
        <w:top w:val="none" w:sz="0" w:space="0" w:color="auto"/>
        <w:left w:val="none" w:sz="0" w:space="0" w:color="auto"/>
        <w:bottom w:val="none" w:sz="0" w:space="0" w:color="auto"/>
        <w:right w:val="none" w:sz="0" w:space="0" w:color="auto"/>
      </w:divBdr>
    </w:div>
    <w:div w:id="547187078">
      <w:bodyDiv w:val="1"/>
      <w:marLeft w:val="0"/>
      <w:marRight w:val="0"/>
      <w:marTop w:val="0"/>
      <w:marBottom w:val="0"/>
      <w:divBdr>
        <w:top w:val="none" w:sz="0" w:space="0" w:color="auto"/>
        <w:left w:val="none" w:sz="0" w:space="0" w:color="auto"/>
        <w:bottom w:val="none" w:sz="0" w:space="0" w:color="auto"/>
        <w:right w:val="none" w:sz="0" w:space="0" w:color="auto"/>
      </w:divBdr>
    </w:div>
    <w:div w:id="570971370">
      <w:bodyDiv w:val="1"/>
      <w:marLeft w:val="0"/>
      <w:marRight w:val="0"/>
      <w:marTop w:val="0"/>
      <w:marBottom w:val="0"/>
      <w:divBdr>
        <w:top w:val="none" w:sz="0" w:space="0" w:color="auto"/>
        <w:left w:val="none" w:sz="0" w:space="0" w:color="auto"/>
        <w:bottom w:val="none" w:sz="0" w:space="0" w:color="auto"/>
        <w:right w:val="none" w:sz="0" w:space="0" w:color="auto"/>
      </w:divBdr>
    </w:div>
    <w:div w:id="592592221">
      <w:bodyDiv w:val="1"/>
      <w:marLeft w:val="0"/>
      <w:marRight w:val="0"/>
      <w:marTop w:val="0"/>
      <w:marBottom w:val="0"/>
      <w:divBdr>
        <w:top w:val="none" w:sz="0" w:space="0" w:color="auto"/>
        <w:left w:val="none" w:sz="0" w:space="0" w:color="auto"/>
        <w:bottom w:val="none" w:sz="0" w:space="0" w:color="auto"/>
        <w:right w:val="none" w:sz="0" w:space="0" w:color="auto"/>
      </w:divBdr>
    </w:div>
    <w:div w:id="596135436">
      <w:bodyDiv w:val="1"/>
      <w:marLeft w:val="0"/>
      <w:marRight w:val="0"/>
      <w:marTop w:val="0"/>
      <w:marBottom w:val="0"/>
      <w:divBdr>
        <w:top w:val="none" w:sz="0" w:space="0" w:color="auto"/>
        <w:left w:val="none" w:sz="0" w:space="0" w:color="auto"/>
        <w:bottom w:val="none" w:sz="0" w:space="0" w:color="auto"/>
        <w:right w:val="none" w:sz="0" w:space="0" w:color="auto"/>
      </w:divBdr>
    </w:div>
    <w:div w:id="609708012">
      <w:bodyDiv w:val="1"/>
      <w:marLeft w:val="0"/>
      <w:marRight w:val="0"/>
      <w:marTop w:val="0"/>
      <w:marBottom w:val="0"/>
      <w:divBdr>
        <w:top w:val="none" w:sz="0" w:space="0" w:color="auto"/>
        <w:left w:val="none" w:sz="0" w:space="0" w:color="auto"/>
        <w:bottom w:val="none" w:sz="0" w:space="0" w:color="auto"/>
        <w:right w:val="none" w:sz="0" w:space="0" w:color="auto"/>
      </w:divBdr>
    </w:div>
    <w:div w:id="655451254">
      <w:bodyDiv w:val="1"/>
      <w:marLeft w:val="0"/>
      <w:marRight w:val="0"/>
      <w:marTop w:val="0"/>
      <w:marBottom w:val="0"/>
      <w:divBdr>
        <w:top w:val="none" w:sz="0" w:space="0" w:color="auto"/>
        <w:left w:val="none" w:sz="0" w:space="0" w:color="auto"/>
        <w:bottom w:val="none" w:sz="0" w:space="0" w:color="auto"/>
        <w:right w:val="none" w:sz="0" w:space="0" w:color="auto"/>
      </w:divBdr>
    </w:div>
    <w:div w:id="697119043">
      <w:bodyDiv w:val="1"/>
      <w:marLeft w:val="0"/>
      <w:marRight w:val="0"/>
      <w:marTop w:val="0"/>
      <w:marBottom w:val="0"/>
      <w:divBdr>
        <w:top w:val="none" w:sz="0" w:space="0" w:color="auto"/>
        <w:left w:val="none" w:sz="0" w:space="0" w:color="auto"/>
        <w:bottom w:val="none" w:sz="0" w:space="0" w:color="auto"/>
        <w:right w:val="none" w:sz="0" w:space="0" w:color="auto"/>
      </w:divBdr>
    </w:div>
    <w:div w:id="697703543">
      <w:bodyDiv w:val="1"/>
      <w:marLeft w:val="0"/>
      <w:marRight w:val="0"/>
      <w:marTop w:val="0"/>
      <w:marBottom w:val="0"/>
      <w:divBdr>
        <w:top w:val="none" w:sz="0" w:space="0" w:color="auto"/>
        <w:left w:val="none" w:sz="0" w:space="0" w:color="auto"/>
        <w:bottom w:val="none" w:sz="0" w:space="0" w:color="auto"/>
        <w:right w:val="none" w:sz="0" w:space="0" w:color="auto"/>
      </w:divBdr>
    </w:div>
    <w:div w:id="724179164">
      <w:bodyDiv w:val="1"/>
      <w:marLeft w:val="0"/>
      <w:marRight w:val="0"/>
      <w:marTop w:val="0"/>
      <w:marBottom w:val="0"/>
      <w:divBdr>
        <w:top w:val="none" w:sz="0" w:space="0" w:color="auto"/>
        <w:left w:val="none" w:sz="0" w:space="0" w:color="auto"/>
        <w:bottom w:val="none" w:sz="0" w:space="0" w:color="auto"/>
        <w:right w:val="none" w:sz="0" w:space="0" w:color="auto"/>
      </w:divBdr>
    </w:div>
    <w:div w:id="737362964">
      <w:bodyDiv w:val="1"/>
      <w:marLeft w:val="0"/>
      <w:marRight w:val="0"/>
      <w:marTop w:val="0"/>
      <w:marBottom w:val="0"/>
      <w:divBdr>
        <w:top w:val="none" w:sz="0" w:space="0" w:color="auto"/>
        <w:left w:val="none" w:sz="0" w:space="0" w:color="auto"/>
        <w:bottom w:val="none" w:sz="0" w:space="0" w:color="auto"/>
        <w:right w:val="none" w:sz="0" w:space="0" w:color="auto"/>
      </w:divBdr>
    </w:div>
    <w:div w:id="738673183">
      <w:bodyDiv w:val="1"/>
      <w:marLeft w:val="0"/>
      <w:marRight w:val="0"/>
      <w:marTop w:val="0"/>
      <w:marBottom w:val="0"/>
      <w:divBdr>
        <w:top w:val="none" w:sz="0" w:space="0" w:color="auto"/>
        <w:left w:val="none" w:sz="0" w:space="0" w:color="auto"/>
        <w:bottom w:val="none" w:sz="0" w:space="0" w:color="auto"/>
        <w:right w:val="none" w:sz="0" w:space="0" w:color="auto"/>
      </w:divBdr>
    </w:div>
    <w:div w:id="754401087">
      <w:bodyDiv w:val="1"/>
      <w:marLeft w:val="0"/>
      <w:marRight w:val="0"/>
      <w:marTop w:val="0"/>
      <w:marBottom w:val="0"/>
      <w:divBdr>
        <w:top w:val="none" w:sz="0" w:space="0" w:color="auto"/>
        <w:left w:val="none" w:sz="0" w:space="0" w:color="auto"/>
        <w:bottom w:val="none" w:sz="0" w:space="0" w:color="auto"/>
        <w:right w:val="none" w:sz="0" w:space="0" w:color="auto"/>
      </w:divBdr>
    </w:div>
    <w:div w:id="762066314">
      <w:bodyDiv w:val="1"/>
      <w:marLeft w:val="0"/>
      <w:marRight w:val="0"/>
      <w:marTop w:val="0"/>
      <w:marBottom w:val="0"/>
      <w:divBdr>
        <w:top w:val="none" w:sz="0" w:space="0" w:color="auto"/>
        <w:left w:val="none" w:sz="0" w:space="0" w:color="auto"/>
        <w:bottom w:val="none" w:sz="0" w:space="0" w:color="auto"/>
        <w:right w:val="none" w:sz="0" w:space="0" w:color="auto"/>
      </w:divBdr>
    </w:div>
    <w:div w:id="765467190">
      <w:bodyDiv w:val="1"/>
      <w:marLeft w:val="0"/>
      <w:marRight w:val="0"/>
      <w:marTop w:val="0"/>
      <w:marBottom w:val="0"/>
      <w:divBdr>
        <w:top w:val="none" w:sz="0" w:space="0" w:color="auto"/>
        <w:left w:val="none" w:sz="0" w:space="0" w:color="auto"/>
        <w:bottom w:val="none" w:sz="0" w:space="0" w:color="auto"/>
        <w:right w:val="none" w:sz="0" w:space="0" w:color="auto"/>
      </w:divBdr>
    </w:div>
    <w:div w:id="769012778">
      <w:bodyDiv w:val="1"/>
      <w:marLeft w:val="0"/>
      <w:marRight w:val="0"/>
      <w:marTop w:val="0"/>
      <w:marBottom w:val="0"/>
      <w:divBdr>
        <w:top w:val="none" w:sz="0" w:space="0" w:color="auto"/>
        <w:left w:val="none" w:sz="0" w:space="0" w:color="auto"/>
        <w:bottom w:val="none" w:sz="0" w:space="0" w:color="auto"/>
        <w:right w:val="none" w:sz="0" w:space="0" w:color="auto"/>
      </w:divBdr>
    </w:div>
    <w:div w:id="772241433">
      <w:bodyDiv w:val="1"/>
      <w:marLeft w:val="0"/>
      <w:marRight w:val="0"/>
      <w:marTop w:val="0"/>
      <w:marBottom w:val="0"/>
      <w:divBdr>
        <w:top w:val="none" w:sz="0" w:space="0" w:color="auto"/>
        <w:left w:val="none" w:sz="0" w:space="0" w:color="auto"/>
        <w:bottom w:val="none" w:sz="0" w:space="0" w:color="auto"/>
        <w:right w:val="none" w:sz="0" w:space="0" w:color="auto"/>
      </w:divBdr>
    </w:div>
    <w:div w:id="791291104">
      <w:bodyDiv w:val="1"/>
      <w:marLeft w:val="0"/>
      <w:marRight w:val="0"/>
      <w:marTop w:val="0"/>
      <w:marBottom w:val="0"/>
      <w:divBdr>
        <w:top w:val="none" w:sz="0" w:space="0" w:color="auto"/>
        <w:left w:val="none" w:sz="0" w:space="0" w:color="auto"/>
        <w:bottom w:val="none" w:sz="0" w:space="0" w:color="auto"/>
        <w:right w:val="none" w:sz="0" w:space="0" w:color="auto"/>
      </w:divBdr>
    </w:div>
    <w:div w:id="826752854">
      <w:bodyDiv w:val="1"/>
      <w:marLeft w:val="0"/>
      <w:marRight w:val="0"/>
      <w:marTop w:val="0"/>
      <w:marBottom w:val="0"/>
      <w:divBdr>
        <w:top w:val="none" w:sz="0" w:space="0" w:color="auto"/>
        <w:left w:val="none" w:sz="0" w:space="0" w:color="auto"/>
        <w:bottom w:val="none" w:sz="0" w:space="0" w:color="auto"/>
        <w:right w:val="none" w:sz="0" w:space="0" w:color="auto"/>
      </w:divBdr>
    </w:div>
    <w:div w:id="833880178">
      <w:bodyDiv w:val="1"/>
      <w:marLeft w:val="0"/>
      <w:marRight w:val="0"/>
      <w:marTop w:val="0"/>
      <w:marBottom w:val="0"/>
      <w:divBdr>
        <w:top w:val="none" w:sz="0" w:space="0" w:color="auto"/>
        <w:left w:val="none" w:sz="0" w:space="0" w:color="auto"/>
        <w:bottom w:val="none" w:sz="0" w:space="0" w:color="auto"/>
        <w:right w:val="none" w:sz="0" w:space="0" w:color="auto"/>
      </w:divBdr>
    </w:div>
    <w:div w:id="851604736">
      <w:bodyDiv w:val="1"/>
      <w:marLeft w:val="0"/>
      <w:marRight w:val="0"/>
      <w:marTop w:val="0"/>
      <w:marBottom w:val="0"/>
      <w:divBdr>
        <w:top w:val="none" w:sz="0" w:space="0" w:color="auto"/>
        <w:left w:val="none" w:sz="0" w:space="0" w:color="auto"/>
        <w:bottom w:val="none" w:sz="0" w:space="0" w:color="auto"/>
        <w:right w:val="none" w:sz="0" w:space="0" w:color="auto"/>
      </w:divBdr>
    </w:div>
    <w:div w:id="898052097">
      <w:bodyDiv w:val="1"/>
      <w:marLeft w:val="0"/>
      <w:marRight w:val="0"/>
      <w:marTop w:val="0"/>
      <w:marBottom w:val="0"/>
      <w:divBdr>
        <w:top w:val="none" w:sz="0" w:space="0" w:color="auto"/>
        <w:left w:val="none" w:sz="0" w:space="0" w:color="auto"/>
        <w:bottom w:val="none" w:sz="0" w:space="0" w:color="auto"/>
        <w:right w:val="none" w:sz="0" w:space="0" w:color="auto"/>
      </w:divBdr>
    </w:div>
    <w:div w:id="935946769">
      <w:bodyDiv w:val="1"/>
      <w:marLeft w:val="0"/>
      <w:marRight w:val="0"/>
      <w:marTop w:val="0"/>
      <w:marBottom w:val="0"/>
      <w:divBdr>
        <w:top w:val="none" w:sz="0" w:space="0" w:color="auto"/>
        <w:left w:val="none" w:sz="0" w:space="0" w:color="auto"/>
        <w:bottom w:val="none" w:sz="0" w:space="0" w:color="auto"/>
        <w:right w:val="none" w:sz="0" w:space="0" w:color="auto"/>
      </w:divBdr>
    </w:div>
    <w:div w:id="941230080">
      <w:bodyDiv w:val="1"/>
      <w:marLeft w:val="0"/>
      <w:marRight w:val="0"/>
      <w:marTop w:val="0"/>
      <w:marBottom w:val="0"/>
      <w:divBdr>
        <w:top w:val="none" w:sz="0" w:space="0" w:color="auto"/>
        <w:left w:val="none" w:sz="0" w:space="0" w:color="auto"/>
        <w:bottom w:val="none" w:sz="0" w:space="0" w:color="auto"/>
        <w:right w:val="none" w:sz="0" w:space="0" w:color="auto"/>
      </w:divBdr>
    </w:div>
    <w:div w:id="957107035">
      <w:bodyDiv w:val="1"/>
      <w:marLeft w:val="0"/>
      <w:marRight w:val="0"/>
      <w:marTop w:val="0"/>
      <w:marBottom w:val="0"/>
      <w:divBdr>
        <w:top w:val="none" w:sz="0" w:space="0" w:color="auto"/>
        <w:left w:val="none" w:sz="0" w:space="0" w:color="auto"/>
        <w:bottom w:val="none" w:sz="0" w:space="0" w:color="auto"/>
        <w:right w:val="none" w:sz="0" w:space="0" w:color="auto"/>
      </w:divBdr>
    </w:div>
    <w:div w:id="965281795">
      <w:bodyDiv w:val="1"/>
      <w:marLeft w:val="0"/>
      <w:marRight w:val="0"/>
      <w:marTop w:val="0"/>
      <w:marBottom w:val="0"/>
      <w:divBdr>
        <w:top w:val="none" w:sz="0" w:space="0" w:color="auto"/>
        <w:left w:val="none" w:sz="0" w:space="0" w:color="auto"/>
        <w:bottom w:val="none" w:sz="0" w:space="0" w:color="auto"/>
        <w:right w:val="none" w:sz="0" w:space="0" w:color="auto"/>
      </w:divBdr>
    </w:div>
    <w:div w:id="973560982">
      <w:bodyDiv w:val="1"/>
      <w:marLeft w:val="0"/>
      <w:marRight w:val="0"/>
      <w:marTop w:val="0"/>
      <w:marBottom w:val="0"/>
      <w:divBdr>
        <w:top w:val="none" w:sz="0" w:space="0" w:color="auto"/>
        <w:left w:val="none" w:sz="0" w:space="0" w:color="auto"/>
        <w:bottom w:val="none" w:sz="0" w:space="0" w:color="auto"/>
        <w:right w:val="none" w:sz="0" w:space="0" w:color="auto"/>
      </w:divBdr>
    </w:div>
    <w:div w:id="976884844">
      <w:bodyDiv w:val="1"/>
      <w:marLeft w:val="0"/>
      <w:marRight w:val="0"/>
      <w:marTop w:val="0"/>
      <w:marBottom w:val="0"/>
      <w:divBdr>
        <w:top w:val="none" w:sz="0" w:space="0" w:color="auto"/>
        <w:left w:val="none" w:sz="0" w:space="0" w:color="auto"/>
        <w:bottom w:val="none" w:sz="0" w:space="0" w:color="auto"/>
        <w:right w:val="none" w:sz="0" w:space="0" w:color="auto"/>
      </w:divBdr>
    </w:div>
    <w:div w:id="977955229">
      <w:bodyDiv w:val="1"/>
      <w:marLeft w:val="0"/>
      <w:marRight w:val="0"/>
      <w:marTop w:val="0"/>
      <w:marBottom w:val="0"/>
      <w:divBdr>
        <w:top w:val="none" w:sz="0" w:space="0" w:color="auto"/>
        <w:left w:val="none" w:sz="0" w:space="0" w:color="auto"/>
        <w:bottom w:val="none" w:sz="0" w:space="0" w:color="auto"/>
        <w:right w:val="none" w:sz="0" w:space="0" w:color="auto"/>
      </w:divBdr>
    </w:div>
    <w:div w:id="1003894049">
      <w:bodyDiv w:val="1"/>
      <w:marLeft w:val="0"/>
      <w:marRight w:val="0"/>
      <w:marTop w:val="0"/>
      <w:marBottom w:val="0"/>
      <w:divBdr>
        <w:top w:val="none" w:sz="0" w:space="0" w:color="auto"/>
        <w:left w:val="none" w:sz="0" w:space="0" w:color="auto"/>
        <w:bottom w:val="none" w:sz="0" w:space="0" w:color="auto"/>
        <w:right w:val="none" w:sz="0" w:space="0" w:color="auto"/>
      </w:divBdr>
    </w:div>
    <w:div w:id="1008287445">
      <w:bodyDiv w:val="1"/>
      <w:marLeft w:val="0"/>
      <w:marRight w:val="0"/>
      <w:marTop w:val="0"/>
      <w:marBottom w:val="0"/>
      <w:divBdr>
        <w:top w:val="none" w:sz="0" w:space="0" w:color="auto"/>
        <w:left w:val="none" w:sz="0" w:space="0" w:color="auto"/>
        <w:bottom w:val="none" w:sz="0" w:space="0" w:color="auto"/>
        <w:right w:val="none" w:sz="0" w:space="0" w:color="auto"/>
      </w:divBdr>
    </w:div>
    <w:div w:id="1031952243">
      <w:bodyDiv w:val="1"/>
      <w:marLeft w:val="0"/>
      <w:marRight w:val="0"/>
      <w:marTop w:val="0"/>
      <w:marBottom w:val="0"/>
      <w:divBdr>
        <w:top w:val="none" w:sz="0" w:space="0" w:color="auto"/>
        <w:left w:val="none" w:sz="0" w:space="0" w:color="auto"/>
        <w:bottom w:val="none" w:sz="0" w:space="0" w:color="auto"/>
        <w:right w:val="none" w:sz="0" w:space="0" w:color="auto"/>
      </w:divBdr>
    </w:div>
    <w:div w:id="1063060255">
      <w:bodyDiv w:val="1"/>
      <w:marLeft w:val="0"/>
      <w:marRight w:val="0"/>
      <w:marTop w:val="0"/>
      <w:marBottom w:val="0"/>
      <w:divBdr>
        <w:top w:val="none" w:sz="0" w:space="0" w:color="auto"/>
        <w:left w:val="none" w:sz="0" w:space="0" w:color="auto"/>
        <w:bottom w:val="none" w:sz="0" w:space="0" w:color="auto"/>
        <w:right w:val="none" w:sz="0" w:space="0" w:color="auto"/>
      </w:divBdr>
    </w:div>
    <w:div w:id="1092356921">
      <w:bodyDiv w:val="1"/>
      <w:marLeft w:val="0"/>
      <w:marRight w:val="0"/>
      <w:marTop w:val="0"/>
      <w:marBottom w:val="0"/>
      <w:divBdr>
        <w:top w:val="none" w:sz="0" w:space="0" w:color="auto"/>
        <w:left w:val="none" w:sz="0" w:space="0" w:color="auto"/>
        <w:bottom w:val="none" w:sz="0" w:space="0" w:color="auto"/>
        <w:right w:val="none" w:sz="0" w:space="0" w:color="auto"/>
      </w:divBdr>
    </w:div>
    <w:div w:id="1102603997">
      <w:bodyDiv w:val="1"/>
      <w:marLeft w:val="0"/>
      <w:marRight w:val="0"/>
      <w:marTop w:val="0"/>
      <w:marBottom w:val="0"/>
      <w:divBdr>
        <w:top w:val="none" w:sz="0" w:space="0" w:color="auto"/>
        <w:left w:val="none" w:sz="0" w:space="0" w:color="auto"/>
        <w:bottom w:val="none" w:sz="0" w:space="0" w:color="auto"/>
        <w:right w:val="none" w:sz="0" w:space="0" w:color="auto"/>
      </w:divBdr>
    </w:div>
    <w:div w:id="1106116660">
      <w:bodyDiv w:val="1"/>
      <w:marLeft w:val="0"/>
      <w:marRight w:val="0"/>
      <w:marTop w:val="0"/>
      <w:marBottom w:val="0"/>
      <w:divBdr>
        <w:top w:val="none" w:sz="0" w:space="0" w:color="auto"/>
        <w:left w:val="none" w:sz="0" w:space="0" w:color="auto"/>
        <w:bottom w:val="none" w:sz="0" w:space="0" w:color="auto"/>
        <w:right w:val="none" w:sz="0" w:space="0" w:color="auto"/>
      </w:divBdr>
    </w:div>
    <w:div w:id="1110319149">
      <w:bodyDiv w:val="1"/>
      <w:marLeft w:val="0"/>
      <w:marRight w:val="0"/>
      <w:marTop w:val="0"/>
      <w:marBottom w:val="0"/>
      <w:divBdr>
        <w:top w:val="none" w:sz="0" w:space="0" w:color="auto"/>
        <w:left w:val="none" w:sz="0" w:space="0" w:color="auto"/>
        <w:bottom w:val="none" w:sz="0" w:space="0" w:color="auto"/>
        <w:right w:val="none" w:sz="0" w:space="0" w:color="auto"/>
      </w:divBdr>
    </w:div>
    <w:div w:id="1115490264">
      <w:bodyDiv w:val="1"/>
      <w:marLeft w:val="0"/>
      <w:marRight w:val="0"/>
      <w:marTop w:val="0"/>
      <w:marBottom w:val="0"/>
      <w:divBdr>
        <w:top w:val="none" w:sz="0" w:space="0" w:color="auto"/>
        <w:left w:val="none" w:sz="0" w:space="0" w:color="auto"/>
        <w:bottom w:val="none" w:sz="0" w:space="0" w:color="auto"/>
        <w:right w:val="none" w:sz="0" w:space="0" w:color="auto"/>
      </w:divBdr>
    </w:div>
    <w:div w:id="1125350987">
      <w:bodyDiv w:val="1"/>
      <w:marLeft w:val="0"/>
      <w:marRight w:val="0"/>
      <w:marTop w:val="0"/>
      <w:marBottom w:val="0"/>
      <w:divBdr>
        <w:top w:val="none" w:sz="0" w:space="0" w:color="auto"/>
        <w:left w:val="none" w:sz="0" w:space="0" w:color="auto"/>
        <w:bottom w:val="none" w:sz="0" w:space="0" w:color="auto"/>
        <w:right w:val="none" w:sz="0" w:space="0" w:color="auto"/>
      </w:divBdr>
    </w:div>
    <w:div w:id="1142456051">
      <w:bodyDiv w:val="1"/>
      <w:marLeft w:val="0"/>
      <w:marRight w:val="0"/>
      <w:marTop w:val="0"/>
      <w:marBottom w:val="0"/>
      <w:divBdr>
        <w:top w:val="none" w:sz="0" w:space="0" w:color="auto"/>
        <w:left w:val="none" w:sz="0" w:space="0" w:color="auto"/>
        <w:bottom w:val="none" w:sz="0" w:space="0" w:color="auto"/>
        <w:right w:val="none" w:sz="0" w:space="0" w:color="auto"/>
      </w:divBdr>
    </w:div>
    <w:div w:id="1143544736">
      <w:bodyDiv w:val="1"/>
      <w:marLeft w:val="0"/>
      <w:marRight w:val="0"/>
      <w:marTop w:val="0"/>
      <w:marBottom w:val="0"/>
      <w:divBdr>
        <w:top w:val="none" w:sz="0" w:space="0" w:color="auto"/>
        <w:left w:val="none" w:sz="0" w:space="0" w:color="auto"/>
        <w:bottom w:val="none" w:sz="0" w:space="0" w:color="auto"/>
        <w:right w:val="none" w:sz="0" w:space="0" w:color="auto"/>
      </w:divBdr>
    </w:div>
    <w:div w:id="1151822709">
      <w:bodyDiv w:val="1"/>
      <w:marLeft w:val="0"/>
      <w:marRight w:val="0"/>
      <w:marTop w:val="0"/>
      <w:marBottom w:val="0"/>
      <w:divBdr>
        <w:top w:val="none" w:sz="0" w:space="0" w:color="auto"/>
        <w:left w:val="none" w:sz="0" w:space="0" w:color="auto"/>
        <w:bottom w:val="none" w:sz="0" w:space="0" w:color="auto"/>
        <w:right w:val="none" w:sz="0" w:space="0" w:color="auto"/>
      </w:divBdr>
    </w:div>
    <w:div w:id="1156144587">
      <w:bodyDiv w:val="1"/>
      <w:marLeft w:val="0"/>
      <w:marRight w:val="0"/>
      <w:marTop w:val="0"/>
      <w:marBottom w:val="0"/>
      <w:divBdr>
        <w:top w:val="none" w:sz="0" w:space="0" w:color="auto"/>
        <w:left w:val="none" w:sz="0" w:space="0" w:color="auto"/>
        <w:bottom w:val="none" w:sz="0" w:space="0" w:color="auto"/>
        <w:right w:val="none" w:sz="0" w:space="0" w:color="auto"/>
      </w:divBdr>
    </w:div>
    <w:div w:id="1184050863">
      <w:bodyDiv w:val="1"/>
      <w:marLeft w:val="0"/>
      <w:marRight w:val="0"/>
      <w:marTop w:val="0"/>
      <w:marBottom w:val="0"/>
      <w:divBdr>
        <w:top w:val="none" w:sz="0" w:space="0" w:color="auto"/>
        <w:left w:val="none" w:sz="0" w:space="0" w:color="auto"/>
        <w:bottom w:val="none" w:sz="0" w:space="0" w:color="auto"/>
        <w:right w:val="none" w:sz="0" w:space="0" w:color="auto"/>
      </w:divBdr>
    </w:div>
    <w:div w:id="1209533457">
      <w:bodyDiv w:val="1"/>
      <w:marLeft w:val="0"/>
      <w:marRight w:val="0"/>
      <w:marTop w:val="0"/>
      <w:marBottom w:val="0"/>
      <w:divBdr>
        <w:top w:val="none" w:sz="0" w:space="0" w:color="auto"/>
        <w:left w:val="none" w:sz="0" w:space="0" w:color="auto"/>
        <w:bottom w:val="none" w:sz="0" w:space="0" w:color="auto"/>
        <w:right w:val="none" w:sz="0" w:space="0" w:color="auto"/>
      </w:divBdr>
    </w:div>
    <w:div w:id="1220704184">
      <w:bodyDiv w:val="1"/>
      <w:marLeft w:val="0"/>
      <w:marRight w:val="0"/>
      <w:marTop w:val="0"/>
      <w:marBottom w:val="0"/>
      <w:divBdr>
        <w:top w:val="none" w:sz="0" w:space="0" w:color="auto"/>
        <w:left w:val="none" w:sz="0" w:space="0" w:color="auto"/>
        <w:bottom w:val="none" w:sz="0" w:space="0" w:color="auto"/>
        <w:right w:val="none" w:sz="0" w:space="0" w:color="auto"/>
      </w:divBdr>
      <w:divsChild>
        <w:div w:id="833104641">
          <w:marLeft w:val="302"/>
          <w:marRight w:val="0"/>
          <w:marTop w:val="86"/>
          <w:marBottom w:val="0"/>
          <w:divBdr>
            <w:top w:val="none" w:sz="0" w:space="0" w:color="auto"/>
            <w:left w:val="none" w:sz="0" w:space="0" w:color="auto"/>
            <w:bottom w:val="none" w:sz="0" w:space="0" w:color="auto"/>
            <w:right w:val="none" w:sz="0" w:space="0" w:color="auto"/>
          </w:divBdr>
        </w:div>
      </w:divsChild>
    </w:div>
    <w:div w:id="1234776560">
      <w:bodyDiv w:val="1"/>
      <w:marLeft w:val="0"/>
      <w:marRight w:val="0"/>
      <w:marTop w:val="0"/>
      <w:marBottom w:val="0"/>
      <w:divBdr>
        <w:top w:val="none" w:sz="0" w:space="0" w:color="auto"/>
        <w:left w:val="none" w:sz="0" w:space="0" w:color="auto"/>
        <w:bottom w:val="none" w:sz="0" w:space="0" w:color="auto"/>
        <w:right w:val="none" w:sz="0" w:space="0" w:color="auto"/>
      </w:divBdr>
    </w:div>
    <w:div w:id="1260526754">
      <w:bodyDiv w:val="1"/>
      <w:marLeft w:val="0"/>
      <w:marRight w:val="0"/>
      <w:marTop w:val="0"/>
      <w:marBottom w:val="0"/>
      <w:divBdr>
        <w:top w:val="none" w:sz="0" w:space="0" w:color="auto"/>
        <w:left w:val="none" w:sz="0" w:space="0" w:color="auto"/>
        <w:bottom w:val="none" w:sz="0" w:space="0" w:color="auto"/>
        <w:right w:val="none" w:sz="0" w:space="0" w:color="auto"/>
      </w:divBdr>
    </w:div>
    <w:div w:id="1278681834">
      <w:bodyDiv w:val="1"/>
      <w:marLeft w:val="0"/>
      <w:marRight w:val="0"/>
      <w:marTop w:val="0"/>
      <w:marBottom w:val="0"/>
      <w:divBdr>
        <w:top w:val="none" w:sz="0" w:space="0" w:color="auto"/>
        <w:left w:val="none" w:sz="0" w:space="0" w:color="auto"/>
        <w:bottom w:val="none" w:sz="0" w:space="0" w:color="auto"/>
        <w:right w:val="none" w:sz="0" w:space="0" w:color="auto"/>
      </w:divBdr>
    </w:div>
    <w:div w:id="1290815103">
      <w:bodyDiv w:val="1"/>
      <w:marLeft w:val="0"/>
      <w:marRight w:val="0"/>
      <w:marTop w:val="0"/>
      <w:marBottom w:val="0"/>
      <w:divBdr>
        <w:top w:val="none" w:sz="0" w:space="0" w:color="auto"/>
        <w:left w:val="none" w:sz="0" w:space="0" w:color="auto"/>
        <w:bottom w:val="none" w:sz="0" w:space="0" w:color="auto"/>
        <w:right w:val="none" w:sz="0" w:space="0" w:color="auto"/>
      </w:divBdr>
    </w:div>
    <w:div w:id="1296715236">
      <w:bodyDiv w:val="1"/>
      <w:marLeft w:val="0"/>
      <w:marRight w:val="0"/>
      <w:marTop w:val="0"/>
      <w:marBottom w:val="0"/>
      <w:divBdr>
        <w:top w:val="none" w:sz="0" w:space="0" w:color="auto"/>
        <w:left w:val="none" w:sz="0" w:space="0" w:color="auto"/>
        <w:bottom w:val="none" w:sz="0" w:space="0" w:color="auto"/>
        <w:right w:val="none" w:sz="0" w:space="0" w:color="auto"/>
      </w:divBdr>
    </w:div>
    <w:div w:id="1362979251">
      <w:bodyDiv w:val="1"/>
      <w:marLeft w:val="0"/>
      <w:marRight w:val="0"/>
      <w:marTop w:val="0"/>
      <w:marBottom w:val="0"/>
      <w:divBdr>
        <w:top w:val="none" w:sz="0" w:space="0" w:color="auto"/>
        <w:left w:val="none" w:sz="0" w:space="0" w:color="auto"/>
        <w:bottom w:val="none" w:sz="0" w:space="0" w:color="auto"/>
        <w:right w:val="none" w:sz="0" w:space="0" w:color="auto"/>
      </w:divBdr>
    </w:div>
    <w:div w:id="1385522452">
      <w:bodyDiv w:val="1"/>
      <w:marLeft w:val="0"/>
      <w:marRight w:val="0"/>
      <w:marTop w:val="0"/>
      <w:marBottom w:val="0"/>
      <w:divBdr>
        <w:top w:val="none" w:sz="0" w:space="0" w:color="auto"/>
        <w:left w:val="none" w:sz="0" w:space="0" w:color="auto"/>
        <w:bottom w:val="none" w:sz="0" w:space="0" w:color="auto"/>
        <w:right w:val="none" w:sz="0" w:space="0" w:color="auto"/>
      </w:divBdr>
    </w:div>
    <w:div w:id="1387070483">
      <w:bodyDiv w:val="1"/>
      <w:marLeft w:val="0"/>
      <w:marRight w:val="0"/>
      <w:marTop w:val="0"/>
      <w:marBottom w:val="0"/>
      <w:divBdr>
        <w:top w:val="none" w:sz="0" w:space="0" w:color="auto"/>
        <w:left w:val="none" w:sz="0" w:space="0" w:color="auto"/>
        <w:bottom w:val="none" w:sz="0" w:space="0" w:color="auto"/>
        <w:right w:val="none" w:sz="0" w:space="0" w:color="auto"/>
      </w:divBdr>
    </w:div>
    <w:div w:id="1390499517">
      <w:bodyDiv w:val="1"/>
      <w:marLeft w:val="0"/>
      <w:marRight w:val="0"/>
      <w:marTop w:val="0"/>
      <w:marBottom w:val="0"/>
      <w:divBdr>
        <w:top w:val="none" w:sz="0" w:space="0" w:color="auto"/>
        <w:left w:val="none" w:sz="0" w:space="0" w:color="auto"/>
        <w:bottom w:val="none" w:sz="0" w:space="0" w:color="auto"/>
        <w:right w:val="none" w:sz="0" w:space="0" w:color="auto"/>
      </w:divBdr>
    </w:div>
    <w:div w:id="1393428199">
      <w:bodyDiv w:val="1"/>
      <w:marLeft w:val="0"/>
      <w:marRight w:val="0"/>
      <w:marTop w:val="0"/>
      <w:marBottom w:val="0"/>
      <w:divBdr>
        <w:top w:val="none" w:sz="0" w:space="0" w:color="auto"/>
        <w:left w:val="none" w:sz="0" w:space="0" w:color="auto"/>
        <w:bottom w:val="none" w:sz="0" w:space="0" w:color="auto"/>
        <w:right w:val="none" w:sz="0" w:space="0" w:color="auto"/>
      </w:divBdr>
    </w:div>
    <w:div w:id="1404377784">
      <w:bodyDiv w:val="1"/>
      <w:marLeft w:val="0"/>
      <w:marRight w:val="0"/>
      <w:marTop w:val="0"/>
      <w:marBottom w:val="0"/>
      <w:divBdr>
        <w:top w:val="none" w:sz="0" w:space="0" w:color="auto"/>
        <w:left w:val="none" w:sz="0" w:space="0" w:color="auto"/>
        <w:bottom w:val="none" w:sz="0" w:space="0" w:color="auto"/>
        <w:right w:val="none" w:sz="0" w:space="0" w:color="auto"/>
      </w:divBdr>
    </w:div>
    <w:div w:id="1453939521">
      <w:bodyDiv w:val="1"/>
      <w:marLeft w:val="0"/>
      <w:marRight w:val="0"/>
      <w:marTop w:val="0"/>
      <w:marBottom w:val="0"/>
      <w:divBdr>
        <w:top w:val="none" w:sz="0" w:space="0" w:color="auto"/>
        <w:left w:val="none" w:sz="0" w:space="0" w:color="auto"/>
        <w:bottom w:val="none" w:sz="0" w:space="0" w:color="auto"/>
        <w:right w:val="none" w:sz="0" w:space="0" w:color="auto"/>
      </w:divBdr>
    </w:div>
    <w:div w:id="1473406972">
      <w:bodyDiv w:val="1"/>
      <w:marLeft w:val="0"/>
      <w:marRight w:val="0"/>
      <w:marTop w:val="0"/>
      <w:marBottom w:val="0"/>
      <w:divBdr>
        <w:top w:val="none" w:sz="0" w:space="0" w:color="auto"/>
        <w:left w:val="none" w:sz="0" w:space="0" w:color="auto"/>
        <w:bottom w:val="none" w:sz="0" w:space="0" w:color="auto"/>
        <w:right w:val="none" w:sz="0" w:space="0" w:color="auto"/>
      </w:divBdr>
    </w:div>
    <w:div w:id="1501382258">
      <w:bodyDiv w:val="1"/>
      <w:marLeft w:val="0"/>
      <w:marRight w:val="0"/>
      <w:marTop w:val="0"/>
      <w:marBottom w:val="0"/>
      <w:divBdr>
        <w:top w:val="none" w:sz="0" w:space="0" w:color="auto"/>
        <w:left w:val="none" w:sz="0" w:space="0" w:color="auto"/>
        <w:bottom w:val="none" w:sz="0" w:space="0" w:color="auto"/>
        <w:right w:val="none" w:sz="0" w:space="0" w:color="auto"/>
      </w:divBdr>
    </w:div>
    <w:div w:id="1528830831">
      <w:bodyDiv w:val="1"/>
      <w:marLeft w:val="0"/>
      <w:marRight w:val="0"/>
      <w:marTop w:val="0"/>
      <w:marBottom w:val="0"/>
      <w:divBdr>
        <w:top w:val="none" w:sz="0" w:space="0" w:color="auto"/>
        <w:left w:val="none" w:sz="0" w:space="0" w:color="auto"/>
        <w:bottom w:val="none" w:sz="0" w:space="0" w:color="auto"/>
        <w:right w:val="none" w:sz="0" w:space="0" w:color="auto"/>
      </w:divBdr>
    </w:div>
    <w:div w:id="1537740447">
      <w:bodyDiv w:val="1"/>
      <w:marLeft w:val="0"/>
      <w:marRight w:val="0"/>
      <w:marTop w:val="0"/>
      <w:marBottom w:val="0"/>
      <w:divBdr>
        <w:top w:val="none" w:sz="0" w:space="0" w:color="auto"/>
        <w:left w:val="none" w:sz="0" w:space="0" w:color="auto"/>
        <w:bottom w:val="none" w:sz="0" w:space="0" w:color="auto"/>
        <w:right w:val="none" w:sz="0" w:space="0" w:color="auto"/>
      </w:divBdr>
    </w:div>
    <w:div w:id="1597472707">
      <w:bodyDiv w:val="1"/>
      <w:marLeft w:val="0"/>
      <w:marRight w:val="0"/>
      <w:marTop w:val="0"/>
      <w:marBottom w:val="0"/>
      <w:divBdr>
        <w:top w:val="none" w:sz="0" w:space="0" w:color="auto"/>
        <w:left w:val="none" w:sz="0" w:space="0" w:color="auto"/>
        <w:bottom w:val="none" w:sz="0" w:space="0" w:color="auto"/>
        <w:right w:val="none" w:sz="0" w:space="0" w:color="auto"/>
      </w:divBdr>
    </w:div>
    <w:div w:id="1599631453">
      <w:bodyDiv w:val="1"/>
      <w:marLeft w:val="0"/>
      <w:marRight w:val="0"/>
      <w:marTop w:val="0"/>
      <w:marBottom w:val="0"/>
      <w:divBdr>
        <w:top w:val="none" w:sz="0" w:space="0" w:color="auto"/>
        <w:left w:val="none" w:sz="0" w:space="0" w:color="auto"/>
        <w:bottom w:val="none" w:sz="0" w:space="0" w:color="auto"/>
        <w:right w:val="none" w:sz="0" w:space="0" w:color="auto"/>
      </w:divBdr>
    </w:div>
    <w:div w:id="1607690055">
      <w:bodyDiv w:val="1"/>
      <w:marLeft w:val="0"/>
      <w:marRight w:val="0"/>
      <w:marTop w:val="0"/>
      <w:marBottom w:val="0"/>
      <w:divBdr>
        <w:top w:val="none" w:sz="0" w:space="0" w:color="auto"/>
        <w:left w:val="none" w:sz="0" w:space="0" w:color="auto"/>
        <w:bottom w:val="none" w:sz="0" w:space="0" w:color="auto"/>
        <w:right w:val="none" w:sz="0" w:space="0" w:color="auto"/>
      </w:divBdr>
    </w:div>
    <w:div w:id="1609922099">
      <w:bodyDiv w:val="1"/>
      <w:marLeft w:val="0"/>
      <w:marRight w:val="0"/>
      <w:marTop w:val="0"/>
      <w:marBottom w:val="0"/>
      <w:divBdr>
        <w:top w:val="none" w:sz="0" w:space="0" w:color="auto"/>
        <w:left w:val="none" w:sz="0" w:space="0" w:color="auto"/>
        <w:bottom w:val="none" w:sz="0" w:space="0" w:color="auto"/>
        <w:right w:val="none" w:sz="0" w:space="0" w:color="auto"/>
      </w:divBdr>
    </w:div>
    <w:div w:id="1620529628">
      <w:bodyDiv w:val="1"/>
      <w:marLeft w:val="0"/>
      <w:marRight w:val="0"/>
      <w:marTop w:val="0"/>
      <w:marBottom w:val="0"/>
      <w:divBdr>
        <w:top w:val="none" w:sz="0" w:space="0" w:color="auto"/>
        <w:left w:val="none" w:sz="0" w:space="0" w:color="auto"/>
        <w:bottom w:val="none" w:sz="0" w:space="0" w:color="auto"/>
        <w:right w:val="none" w:sz="0" w:space="0" w:color="auto"/>
      </w:divBdr>
    </w:div>
    <w:div w:id="1629973222">
      <w:bodyDiv w:val="1"/>
      <w:marLeft w:val="0"/>
      <w:marRight w:val="0"/>
      <w:marTop w:val="0"/>
      <w:marBottom w:val="0"/>
      <w:divBdr>
        <w:top w:val="none" w:sz="0" w:space="0" w:color="auto"/>
        <w:left w:val="none" w:sz="0" w:space="0" w:color="auto"/>
        <w:bottom w:val="none" w:sz="0" w:space="0" w:color="auto"/>
        <w:right w:val="none" w:sz="0" w:space="0" w:color="auto"/>
      </w:divBdr>
    </w:div>
    <w:div w:id="1637956087">
      <w:bodyDiv w:val="1"/>
      <w:marLeft w:val="0"/>
      <w:marRight w:val="0"/>
      <w:marTop w:val="0"/>
      <w:marBottom w:val="0"/>
      <w:divBdr>
        <w:top w:val="none" w:sz="0" w:space="0" w:color="auto"/>
        <w:left w:val="none" w:sz="0" w:space="0" w:color="auto"/>
        <w:bottom w:val="none" w:sz="0" w:space="0" w:color="auto"/>
        <w:right w:val="none" w:sz="0" w:space="0" w:color="auto"/>
      </w:divBdr>
    </w:div>
    <w:div w:id="1641423144">
      <w:bodyDiv w:val="1"/>
      <w:marLeft w:val="0"/>
      <w:marRight w:val="0"/>
      <w:marTop w:val="0"/>
      <w:marBottom w:val="0"/>
      <w:divBdr>
        <w:top w:val="none" w:sz="0" w:space="0" w:color="auto"/>
        <w:left w:val="none" w:sz="0" w:space="0" w:color="auto"/>
        <w:bottom w:val="none" w:sz="0" w:space="0" w:color="auto"/>
        <w:right w:val="none" w:sz="0" w:space="0" w:color="auto"/>
      </w:divBdr>
    </w:div>
    <w:div w:id="1651129316">
      <w:bodyDiv w:val="1"/>
      <w:marLeft w:val="0"/>
      <w:marRight w:val="0"/>
      <w:marTop w:val="0"/>
      <w:marBottom w:val="0"/>
      <w:divBdr>
        <w:top w:val="none" w:sz="0" w:space="0" w:color="auto"/>
        <w:left w:val="none" w:sz="0" w:space="0" w:color="auto"/>
        <w:bottom w:val="none" w:sz="0" w:space="0" w:color="auto"/>
        <w:right w:val="none" w:sz="0" w:space="0" w:color="auto"/>
      </w:divBdr>
    </w:div>
    <w:div w:id="1682656697">
      <w:bodyDiv w:val="1"/>
      <w:marLeft w:val="0"/>
      <w:marRight w:val="0"/>
      <w:marTop w:val="0"/>
      <w:marBottom w:val="0"/>
      <w:divBdr>
        <w:top w:val="none" w:sz="0" w:space="0" w:color="auto"/>
        <w:left w:val="none" w:sz="0" w:space="0" w:color="auto"/>
        <w:bottom w:val="none" w:sz="0" w:space="0" w:color="auto"/>
        <w:right w:val="none" w:sz="0" w:space="0" w:color="auto"/>
      </w:divBdr>
    </w:div>
    <w:div w:id="1689260062">
      <w:bodyDiv w:val="1"/>
      <w:marLeft w:val="0"/>
      <w:marRight w:val="0"/>
      <w:marTop w:val="0"/>
      <w:marBottom w:val="0"/>
      <w:divBdr>
        <w:top w:val="none" w:sz="0" w:space="0" w:color="auto"/>
        <w:left w:val="none" w:sz="0" w:space="0" w:color="auto"/>
        <w:bottom w:val="none" w:sz="0" w:space="0" w:color="auto"/>
        <w:right w:val="none" w:sz="0" w:space="0" w:color="auto"/>
      </w:divBdr>
    </w:div>
    <w:div w:id="1711881330">
      <w:bodyDiv w:val="1"/>
      <w:marLeft w:val="0"/>
      <w:marRight w:val="0"/>
      <w:marTop w:val="0"/>
      <w:marBottom w:val="0"/>
      <w:divBdr>
        <w:top w:val="none" w:sz="0" w:space="0" w:color="auto"/>
        <w:left w:val="none" w:sz="0" w:space="0" w:color="auto"/>
        <w:bottom w:val="none" w:sz="0" w:space="0" w:color="auto"/>
        <w:right w:val="none" w:sz="0" w:space="0" w:color="auto"/>
      </w:divBdr>
    </w:div>
    <w:div w:id="1742486498">
      <w:bodyDiv w:val="1"/>
      <w:marLeft w:val="0"/>
      <w:marRight w:val="0"/>
      <w:marTop w:val="0"/>
      <w:marBottom w:val="0"/>
      <w:divBdr>
        <w:top w:val="none" w:sz="0" w:space="0" w:color="auto"/>
        <w:left w:val="none" w:sz="0" w:space="0" w:color="auto"/>
        <w:bottom w:val="none" w:sz="0" w:space="0" w:color="auto"/>
        <w:right w:val="none" w:sz="0" w:space="0" w:color="auto"/>
      </w:divBdr>
    </w:div>
    <w:div w:id="1755280119">
      <w:bodyDiv w:val="1"/>
      <w:marLeft w:val="0"/>
      <w:marRight w:val="0"/>
      <w:marTop w:val="0"/>
      <w:marBottom w:val="0"/>
      <w:divBdr>
        <w:top w:val="none" w:sz="0" w:space="0" w:color="auto"/>
        <w:left w:val="none" w:sz="0" w:space="0" w:color="auto"/>
        <w:bottom w:val="none" w:sz="0" w:space="0" w:color="auto"/>
        <w:right w:val="none" w:sz="0" w:space="0" w:color="auto"/>
      </w:divBdr>
    </w:div>
    <w:div w:id="1786389489">
      <w:bodyDiv w:val="1"/>
      <w:marLeft w:val="0"/>
      <w:marRight w:val="0"/>
      <w:marTop w:val="0"/>
      <w:marBottom w:val="0"/>
      <w:divBdr>
        <w:top w:val="none" w:sz="0" w:space="0" w:color="auto"/>
        <w:left w:val="none" w:sz="0" w:space="0" w:color="auto"/>
        <w:bottom w:val="none" w:sz="0" w:space="0" w:color="auto"/>
        <w:right w:val="none" w:sz="0" w:space="0" w:color="auto"/>
      </w:divBdr>
    </w:div>
    <w:div w:id="1797329869">
      <w:bodyDiv w:val="1"/>
      <w:marLeft w:val="0"/>
      <w:marRight w:val="0"/>
      <w:marTop w:val="0"/>
      <w:marBottom w:val="0"/>
      <w:divBdr>
        <w:top w:val="none" w:sz="0" w:space="0" w:color="auto"/>
        <w:left w:val="none" w:sz="0" w:space="0" w:color="auto"/>
        <w:bottom w:val="none" w:sz="0" w:space="0" w:color="auto"/>
        <w:right w:val="none" w:sz="0" w:space="0" w:color="auto"/>
      </w:divBdr>
    </w:div>
    <w:div w:id="1803158737">
      <w:bodyDiv w:val="1"/>
      <w:marLeft w:val="0"/>
      <w:marRight w:val="0"/>
      <w:marTop w:val="0"/>
      <w:marBottom w:val="0"/>
      <w:divBdr>
        <w:top w:val="none" w:sz="0" w:space="0" w:color="auto"/>
        <w:left w:val="none" w:sz="0" w:space="0" w:color="auto"/>
        <w:bottom w:val="none" w:sz="0" w:space="0" w:color="auto"/>
        <w:right w:val="none" w:sz="0" w:space="0" w:color="auto"/>
      </w:divBdr>
      <w:divsChild>
        <w:div w:id="1509295207">
          <w:marLeft w:val="0"/>
          <w:marRight w:val="0"/>
          <w:marTop w:val="0"/>
          <w:marBottom w:val="0"/>
          <w:divBdr>
            <w:top w:val="none" w:sz="0" w:space="0" w:color="auto"/>
            <w:left w:val="none" w:sz="0" w:space="0" w:color="auto"/>
            <w:bottom w:val="none" w:sz="0" w:space="0" w:color="auto"/>
            <w:right w:val="none" w:sz="0" w:space="0" w:color="auto"/>
          </w:divBdr>
          <w:divsChild>
            <w:div w:id="609631966">
              <w:marLeft w:val="0"/>
              <w:marRight w:val="0"/>
              <w:marTop w:val="0"/>
              <w:marBottom w:val="0"/>
              <w:divBdr>
                <w:top w:val="none" w:sz="0" w:space="0" w:color="auto"/>
                <w:left w:val="none" w:sz="0" w:space="0" w:color="auto"/>
                <w:bottom w:val="none" w:sz="0" w:space="0" w:color="auto"/>
                <w:right w:val="none" w:sz="0" w:space="0" w:color="auto"/>
              </w:divBdr>
              <w:divsChild>
                <w:div w:id="1105619302">
                  <w:marLeft w:val="0"/>
                  <w:marRight w:val="0"/>
                  <w:marTop w:val="0"/>
                  <w:marBottom w:val="0"/>
                  <w:divBdr>
                    <w:top w:val="none" w:sz="0" w:space="0" w:color="auto"/>
                    <w:left w:val="none" w:sz="0" w:space="0" w:color="auto"/>
                    <w:bottom w:val="none" w:sz="0" w:space="0" w:color="auto"/>
                    <w:right w:val="none" w:sz="0" w:space="0" w:color="auto"/>
                  </w:divBdr>
                  <w:divsChild>
                    <w:div w:id="355273146">
                      <w:marLeft w:val="0"/>
                      <w:marRight w:val="0"/>
                      <w:marTop w:val="0"/>
                      <w:marBottom w:val="0"/>
                      <w:divBdr>
                        <w:top w:val="none" w:sz="0" w:space="0" w:color="auto"/>
                        <w:left w:val="none" w:sz="0" w:space="0" w:color="auto"/>
                        <w:bottom w:val="none" w:sz="0" w:space="0" w:color="auto"/>
                        <w:right w:val="none" w:sz="0" w:space="0" w:color="auto"/>
                      </w:divBdr>
                    </w:div>
                    <w:div w:id="87669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451362">
      <w:bodyDiv w:val="1"/>
      <w:marLeft w:val="0"/>
      <w:marRight w:val="0"/>
      <w:marTop w:val="0"/>
      <w:marBottom w:val="0"/>
      <w:divBdr>
        <w:top w:val="none" w:sz="0" w:space="0" w:color="auto"/>
        <w:left w:val="none" w:sz="0" w:space="0" w:color="auto"/>
        <w:bottom w:val="none" w:sz="0" w:space="0" w:color="auto"/>
        <w:right w:val="none" w:sz="0" w:space="0" w:color="auto"/>
      </w:divBdr>
    </w:div>
    <w:div w:id="1819615970">
      <w:bodyDiv w:val="1"/>
      <w:marLeft w:val="0"/>
      <w:marRight w:val="0"/>
      <w:marTop w:val="0"/>
      <w:marBottom w:val="0"/>
      <w:divBdr>
        <w:top w:val="none" w:sz="0" w:space="0" w:color="auto"/>
        <w:left w:val="none" w:sz="0" w:space="0" w:color="auto"/>
        <w:bottom w:val="none" w:sz="0" w:space="0" w:color="auto"/>
        <w:right w:val="none" w:sz="0" w:space="0" w:color="auto"/>
      </w:divBdr>
    </w:div>
    <w:div w:id="1842044115">
      <w:bodyDiv w:val="1"/>
      <w:marLeft w:val="0"/>
      <w:marRight w:val="0"/>
      <w:marTop w:val="0"/>
      <w:marBottom w:val="0"/>
      <w:divBdr>
        <w:top w:val="none" w:sz="0" w:space="0" w:color="auto"/>
        <w:left w:val="none" w:sz="0" w:space="0" w:color="auto"/>
        <w:bottom w:val="none" w:sz="0" w:space="0" w:color="auto"/>
        <w:right w:val="none" w:sz="0" w:space="0" w:color="auto"/>
      </w:divBdr>
    </w:div>
    <w:div w:id="1891454591">
      <w:bodyDiv w:val="1"/>
      <w:marLeft w:val="0"/>
      <w:marRight w:val="0"/>
      <w:marTop w:val="0"/>
      <w:marBottom w:val="0"/>
      <w:divBdr>
        <w:top w:val="none" w:sz="0" w:space="0" w:color="auto"/>
        <w:left w:val="none" w:sz="0" w:space="0" w:color="auto"/>
        <w:bottom w:val="none" w:sz="0" w:space="0" w:color="auto"/>
        <w:right w:val="none" w:sz="0" w:space="0" w:color="auto"/>
      </w:divBdr>
    </w:div>
    <w:div w:id="1915775596">
      <w:bodyDiv w:val="1"/>
      <w:marLeft w:val="0"/>
      <w:marRight w:val="0"/>
      <w:marTop w:val="0"/>
      <w:marBottom w:val="0"/>
      <w:divBdr>
        <w:top w:val="none" w:sz="0" w:space="0" w:color="auto"/>
        <w:left w:val="none" w:sz="0" w:space="0" w:color="auto"/>
        <w:bottom w:val="none" w:sz="0" w:space="0" w:color="auto"/>
        <w:right w:val="none" w:sz="0" w:space="0" w:color="auto"/>
      </w:divBdr>
    </w:div>
    <w:div w:id="1926306252">
      <w:bodyDiv w:val="1"/>
      <w:marLeft w:val="0"/>
      <w:marRight w:val="0"/>
      <w:marTop w:val="0"/>
      <w:marBottom w:val="0"/>
      <w:divBdr>
        <w:top w:val="none" w:sz="0" w:space="0" w:color="auto"/>
        <w:left w:val="none" w:sz="0" w:space="0" w:color="auto"/>
        <w:bottom w:val="none" w:sz="0" w:space="0" w:color="auto"/>
        <w:right w:val="none" w:sz="0" w:space="0" w:color="auto"/>
      </w:divBdr>
    </w:div>
    <w:div w:id="1940797683">
      <w:bodyDiv w:val="1"/>
      <w:marLeft w:val="0"/>
      <w:marRight w:val="0"/>
      <w:marTop w:val="0"/>
      <w:marBottom w:val="0"/>
      <w:divBdr>
        <w:top w:val="none" w:sz="0" w:space="0" w:color="auto"/>
        <w:left w:val="none" w:sz="0" w:space="0" w:color="auto"/>
        <w:bottom w:val="none" w:sz="0" w:space="0" w:color="auto"/>
        <w:right w:val="none" w:sz="0" w:space="0" w:color="auto"/>
      </w:divBdr>
    </w:div>
    <w:div w:id="1950089374">
      <w:bodyDiv w:val="1"/>
      <w:marLeft w:val="0"/>
      <w:marRight w:val="0"/>
      <w:marTop w:val="0"/>
      <w:marBottom w:val="0"/>
      <w:divBdr>
        <w:top w:val="none" w:sz="0" w:space="0" w:color="auto"/>
        <w:left w:val="none" w:sz="0" w:space="0" w:color="auto"/>
        <w:bottom w:val="none" w:sz="0" w:space="0" w:color="auto"/>
        <w:right w:val="none" w:sz="0" w:space="0" w:color="auto"/>
      </w:divBdr>
    </w:div>
    <w:div w:id="1952123796">
      <w:bodyDiv w:val="1"/>
      <w:marLeft w:val="0"/>
      <w:marRight w:val="0"/>
      <w:marTop w:val="0"/>
      <w:marBottom w:val="0"/>
      <w:divBdr>
        <w:top w:val="none" w:sz="0" w:space="0" w:color="auto"/>
        <w:left w:val="none" w:sz="0" w:space="0" w:color="auto"/>
        <w:bottom w:val="none" w:sz="0" w:space="0" w:color="auto"/>
        <w:right w:val="none" w:sz="0" w:space="0" w:color="auto"/>
      </w:divBdr>
    </w:div>
    <w:div w:id="1996837616">
      <w:bodyDiv w:val="1"/>
      <w:marLeft w:val="0"/>
      <w:marRight w:val="0"/>
      <w:marTop w:val="0"/>
      <w:marBottom w:val="0"/>
      <w:divBdr>
        <w:top w:val="none" w:sz="0" w:space="0" w:color="auto"/>
        <w:left w:val="none" w:sz="0" w:space="0" w:color="auto"/>
        <w:bottom w:val="none" w:sz="0" w:space="0" w:color="auto"/>
        <w:right w:val="none" w:sz="0" w:space="0" w:color="auto"/>
      </w:divBdr>
    </w:div>
    <w:div w:id="1996909446">
      <w:bodyDiv w:val="1"/>
      <w:marLeft w:val="0"/>
      <w:marRight w:val="0"/>
      <w:marTop w:val="0"/>
      <w:marBottom w:val="0"/>
      <w:divBdr>
        <w:top w:val="none" w:sz="0" w:space="0" w:color="auto"/>
        <w:left w:val="none" w:sz="0" w:space="0" w:color="auto"/>
        <w:bottom w:val="none" w:sz="0" w:space="0" w:color="auto"/>
        <w:right w:val="none" w:sz="0" w:space="0" w:color="auto"/>
      </w:divBdr>
    </w:div>
    <w:div w:id="2046640205">
      <w:bodyDiv w:val="1"/>
      <w:marLeft w:val="0"/>
      <w:marRight w:val="0"/>
      <w:marTop w:val="0"/>
      <w:marBottom w:val="0"/>
      <w:divBdr>
        <w:top w:val="none" w:sz="0" w:space="0" w:color="auto"/>
        <w:left w:val="none" w:sz="0" w:space="0" w:color="auto"/>
        <w:bottom w:val="none" w:sz="0" w:space="0" w:color="auto"/>
        <w:right w:val="none" w:sz="0" w:space="0" w:color="auto"/>
      </w:divBdr>
    </w:div>
    <w:div w:id="2047219125">
      <w:bodyDiv w:val="1"/>
      <w:marLeft w:val="0"/>
      <w:marRight w:val="0"/>
      <w:marTop w:val="0"/>
      <w:marBottom w:val="0"/>
      <w:divBdr>
        <w:top w:val="none" w:sz="0" w:space="0" w:color="auto"/>
        <w:left w:val="none" w:sz="0" w:space="0" w:color="auto"/>
        <w:bottom w:val="none" w:sz="0" w:space="0" w:color="auto"/>
        <w:right w:val="none" w:sz="0" w:space="0" w:color="auto"/>
      </w:divBdr>
    </w:div>
    <w:div w:id="2053919841">
      <w:bodyDiv w:val="1"/>
      <w:marLeft w:val="0"/>
      <w:marRight w:val="0"/>
      <w:marTop w:val="0"/>
      <w:marBottom w:val="0"/>
      <w:divBdr>
        <w:top w:val="none" w:sz="0" w:space="0" w:color="auto"/>
        <w:left w:val="none" w:sz="0" w:space="0" w:color="auto"/>
        <w:bottom w:val="none" w:sz="0" w:space="0" w:color="auto"/>
        <w:right w:val="none" w:sz="0" w:space="0" w:color="auto"/>
      </w:divBdr>
    </w:div>
    <w:div w:id="2068413115">
      <w:bodyDiv w:val="1"/>
      <w:marLeft w:val="0"/>
      <w:marRight w:val="0"/>
      <w:marTop w:val="0"/>
      <w:marBottom w:val="0"/>
      <w:divBdr>
        <w:top w:val="none" w:sz="0" w:space="0" w:color="auto"/>
        <w:left w:val="none" w:sz="0" w:space="0" w:color="auto"/>
        <w:bottom w:val="none" w:sz="0" w:space="0" w:color="auto"/>
        <w:right w:val="none" w:sz="0" w:space="0" w:color="auto"/>
      </w:divBdr>
    </w:div>
    <w:div w:id="2070111589">
      <w:bodyDiv w:val="1"/>
      <w:marLeft w:val="0"/>
      <w:marRight w:val="0"/>
      <w:marTop w:val="0"/>
      <w:marBottom w:val="0"/>
      <w:divBdr>
        <w:top w:val="none" w:sz="0" w:space="0" w:color="auto"/>
        <w:left w:val="none" w:sz="0" w:space="0" w:color="auto"/>
        <w:bottom w:val="none" w:sz="0" w:space="0" w:color="auto"/>
        <w:right w:val="none" w:sz="0" w:space="0" w:color="auto"/>
      </w:divBdr>
    </w:div>
    <w:div w:id="2084447311">
      <w:bodyDiv w:val="1"/>
      <w:marLeft w:val="0"/>
      <w:marRight w:val="0"/>
      <w:marTop w:val="0"/>
      <w:marBottom w:val="0"/>
      <w:divBdr>
        <w:top w:val="none" w:sz="0" w:space="0" w:color="auto"/>
        <w:left w:val="none" w:sz="0" w:space="0" w:color="auto"/>
        <w:bottom w:val="none" w:sz="0" w:space="0" w:color="auto"/>
        <w:right w:val="none" w:sz="0" w:space="0" w:color="auto"/>
      </w:divBdr>
    </w:div>
    <w:div w:id="2111654845">
      <w:bodyDiv w:val="1"/>
      <w:marLeft w:val="0"/>
      <w:marRight w:val="0"/>
      <w:marTop w:val="0"/>
      <w:marBottom w:val="0"/>
      <w:divBdr>
        <w:top w:val="none" w:sz="0" w:space="0" w:color="auto"/>
        <w:left w:val="none" w:sz="0" w:space="0" w:color="auto"/>
        <w:bottom w:val="none" w:sz="0" w:space="0" w:color="auto"/>
        <w:right w:val="none" w:sz="0" w:space="0" w:color="auto"/>
      </w:divBdr>
    </w:div>
    <w:div w:id="211289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www.ndis.gov.au" TargetMode="External"/><Relationship Id="rId14" Type="http://schemas.openxmlformats.org/officeDocument/2006/relationships/image" Target="media/image2.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icare.nsw.gov.au/-/media/icare/unique-media/treatment-and-care/info-for-service-and-hp/requesting-services-on-behalf-of-an-injured-person/media-files/files/download-module/lifetime-care-payment-codes---2017.pdf" TargetMode="External"/><Relationship Id="rId13" Type="http://schemas.openxmlformats.org/officeDocument/2006/relationships/hyperlink" Target="https://www.comcare.gov.au/service-providers/medical-allied-health/treatment-rates" TargetMode="External"/><Relationship Id="rId18" Type="http://schemas.openxmlformats.org/officeDocument/2006/relationships/hyperlink" Target="https://www.abs.gov.au/ausstats/abs@.nsf/mf/6401.0" TargetMode="External"/><Relationship Id="rId26" Type="http://schemas.openxmlformats.org/officeDocument/2006/relationships/hyperlink" Target="https://www.vic.gov.au/portable-long-service-community-services-sector" TargetMode="External"/><Relationship Id="rId39" Type="http://schemas.openxmlformats.org/officeDocument/2006/relationships/hyperlink" Target="https://www.rtwsa.com/service-providers/provider-registration-and-payments/fee-schedules" TargetMode="External"/><Relationship Id="rId3" Type="http://schemas.openxmlformats.org/officeDocument/2006/relationships/hyperlink" Target="https://www.ndis.gov.au/media/2213/download" TargetMode="External"/><Relationship Id="rId21" Type="http://schemas.openxmlformats.org/officeDocument/2006/relationships/hyperlink" Target="https://www.fwc.gov.au/documents/sites/remuneration/decisions/pr525485.htm" TargetMode="External"/><Relationship Id="rId34" Type="http://schemas.openxmlformats.org/officeDocument/2006/relationships/hyperlink" Target="https://www.ndis.gov.au/media/1661/download" TargetMode="External"/><Relationship Id="rId42" Type="http://schemas.openxmlformats.org/officeDocument/2006/relationships/hyperlink" Target="https://www.worksafe.vic.gov.au/attendant-care-services-policy" TargetMode="External"/><Relationship Id="rId7" Type="http://schemas.openxmlformats.org/officeDocument/2006/relationships/hyperlink" Target="https://www.dva.gov.au/sites/default/files/files/providers/cn/CNO/community-nursing-schedule-of-fees-effective-1-january-2020.pdf" TargetMode="External"/><Relationship Id="rId12" Type="http://schemas.openxmlformats.org/officeDocument/2006/relationships/hyperlink" Target="https://www.worksafe.qld.gov.au/service-providers/allied-health-fees" TargetMode="External"/><Relationship Id="rId17" Type="http://schemas.openxmlformats.org/officeDocument/2006/relationships/hyperlink" Target="https://www.workcover.wa.gov.au/resources/rates-fees-payments/" TargetMode="External"/><Relationship Id="rId25" Type="http://schemas.openxmlformats.org/officeDocument/2006/relationships/hyperlink" Target="https://www.safeworkaustralia.gov.au/workers-compensation/comparing-workers-compensation-scheme-performance" TargetMode="External"/><Relationship Id="rId33" Type="http://schemas.openxmlformats.org/officeDocument/2006/relationships/hyperlink" Target="https://www.health.gov.au/resources/apps-and-tools/health-workforce-locator/health-workforce-locator" TargetMode="External"/><Relationship Id="rId38" Type="http://schemas.openxmlformats.org/officeDocument/2006/relationships/hyperlink" Target="https://www.worksafe.qld.gov.au/__data/assets/pdf_file/0009/178083/2019-Occupational-Therapy-table-of-costs.pdf" TargetMode="External"/><Relationship Id="rId2" Type="http://schemas.openxmlformats.org/officeDocument/2006/relationships/hyperlink" Target="https://www.ndis.gov.au/media/1662/download" TargetMode="External"/><Relationship Id="rId16" Type="http://schemas.openxmlformats.org/officeDocument/2006/relationships/hyperlink" Target="https://lifetimesupport.sa.gov.au/wp-content/uploads/2019-20LSSAttendantCareRates.pdf" TargetMode="External"/><Relationship Id="rId20" Type="http://schemas.openxmlformats.org/officeDocument/2006/relationships/hyperlink" Target="https://www.fwc.gov.au/awards-agreements/minimum-wages-conditions/annual-wage-reviews/annual-wage-review-2019-20" TargetMode="External"/><Relationship Id="rId29" Type="http://schemas.openxmlformats.org/officeDocument/2006/relationships/hyperlink" Target="http://benchmarking.nfpstrategy.com.au/explore" TargetMode="External"/><Relationship Id="rId41" Type="http://schemas.openxmlformats.org/officeDocument/2006/relationships/hyperlink" Target="https://www.rtwsa.com/__data/assets/pdf_file/0009/99657/return-to-work-services-fee-schedule.pdf" TargetMode="External"/><Relationship Id="rId1" Type="http://schemas.openxmlformats.org/officeDocument/2006/relationships/hyperlink" Target="https://www.ndis.gov.au/media/1820/download" TargetMode="External"/><Relationship Id="rId6" Type="http://schemas.openxmlformats.org/officeDocument/2006/relationships/hyperlink" Target="https://www.dva.gov.au/providers/fees-and-payments/dental-and-allied-health-fee-schedules" TargetMode="External"/><Relationship Id="rId11" Type="http://schemas.openxmlformats.org/officeDocument/2006/relationships/hyperlink" Target="https://www.worksafe.vic.gov.au/providers" TargetMode="External"/><Relationship Id="rId24" Type="http://schemas.openxmlformats.org/officeDocument/2006/relationships/hyperlink" Target="https://www.ndis.gov.au/media/1821/download" TargetMode="External"/><Relationship Id="rId32" Type="http://schemas.openxmlformats.org/officeDocument/2006/relationships/hyperlink" Target="https://www.worksafe.qld.gov.au/__data/assets/excel_doc/0008/178091/AlliedHealth-TOC-Item-Numbers-1-Jul-2019.xls" TargetMode="External"/><Relationship Id="rId37" Type="http://schemas.openxmlformats.org/officeDocument/2006/relationships/hyperlink" Target="http://www.drd.wa.gov.au/Publications/Documents/Regional%20Price%20Index%202017.pdf" TargetMode="External"/><Relationship Id="rId40" Type="http://schemas.openxmlformats.org/officeDocument/2006/relationships/hyperlink" Target="https://www.checkup.org.au/page/Initiatives/Outreach_Services/Outreach_Provider_Information/" TargetMode="External"/><Relationship Id="rId5" Type="http://schemas.openxmlformats.org/officeDocument/2006/relationships/hyperlink" Target="https://www.ndis.gov.au/media/2029/download" TargetMode="External"/><Relationship Id="rId15" Type="http://schemas.openxmlformats.org/officeDocument/2006/relationships/hyperlink" Target="https://www.rtwsa.com/service-providers/provider-registration-and-payments/fee-schedules" TargetMode="External"/><Relationship Id="rId23" Type="http://schemas.openxmlformats.org/officeDocument/2006/relationships/hyperlink" Target="https://ahpa.com.au/wp-content/uploads/2018/07/180719-MBS-Review-Framework.pdf" TargetMode="External"/><Relationship Id="rId28" Type="http://schemas.openxmlformats.org/officeDocument/2006/relationships/hyperlink" Target="https://www.qleave.qld.gov.au/" TargetMode="External"/><Relationship Id="rId36" Type="http://schemas.openxmlformats.org/officeDocument/2006/relationships/hyperlink" Target="https://www.qgso.qld.gov.au/issues/2886/index-retail-prices-qld-regional-centres-2013.pdf" TargetMode="External"/><Relationship Id="rId10" Type="http://schemas.openxmlformats.org/officeDocument/2006/relationships/hyperlink" Target="https://www.tac.vic.gov.au/providers/invoicing-and-fees/fee-schedules" TargetMode="External"/><Relationship Id="rId19" Type="http://schemas.openxmlformats.org/officeDocument/2006/relationships/hyperlink" Target="https://www.abs.gov.au/ausstats/abs@.nsf/mf/6345.0" TargetMode="External"/><Relationship Id="rId31" Type="http://schemas.openxmlformats.org/officeDocument/2006/relationships/hyperlink" Target="https://www.worksafe.vic.gov.au/equipment-and-related-services-policy" TargetMode="External"/><Relationship Id="rId4" Type="http://schemas.openxmlformats.org/officeDocument/2006/relationships/hyperlink" Target="https://www.ndis.gov.au/media/2214/download" TargetMode="External"/><Relationship Id="rId9" Type="http://schemas.openxmlformats.org/officeDocument/2006/relationships/hyperlink" Target="https://www.sira.nsw.gov.au/resources-library/list-of-sira-publications/accordion/workers-compensation-publications/fees-orders/fees-and-rates-orders-2020" TargetMode="External"/><Relationship Id="rId14" Type="http://schemas.openxmlformats.org/officeDocument/2006/relationships/hyperlink" Target="http://www.mbsonline.gov.au/internet/mbsonline/publishing.nsf/Content/Home" TargetMode="External"/><Relationship Id="rId22" Type="http://schemas.openxmlformats.org/officeDocument/2006/relationships/hyperlink" Target="https://www.fwc.gov.au/documents/decisionssigned/html/2019fwcfb7096.htm" TargetMode="External"/><Relationship Id="rId27" Type="http://schemas.openxmlformats.org/officeDocument/2006/relationships/hyperlink" Target="https://actleave.act.gov.au/" TargetMode="External"/><Relationship Id="rId30" Type="http://schemas.openxmlformats.org/officeDocument/2006/relationships/hyperlink" Target="http://www.industrydevelopmentfund.org.au/images/ProductivityTool_Report2012-13.pdf" TargetMode="External"/><Relationship Id="rId35" Type="http://schemas.openxmlformats.org/officeDocument/2006/relationships/hyperlink" Target="https://docs.education.gov.au/system/files/doc/other/regional_loading_final_report.pdf" TargetMode="External"/><Relationship Id="rId43" Type="http://schemas.openxmlformats.org/officeDocument/2006/relationships/hyperlink" Target="https://www.worksafe.vic.gov.au/attendant-care-services-fee-schedule" TargetMode="External"/></Relationships>
</file>

<file path=word/theme/theme1.xml><?xml version="1.0" encoding="utf-8"?>
<a:theme xmlns:a="http://schemas.openxmlformats.org/drawingml/2006/main" name="Theme1">
  <a:themeElements>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9525">
          <a:solidFill>
            <a:schemeClr val="accent6"/>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6"/>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raClrScheme>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Theme1" id="{2B383E43-B34B-4646-9216-D46D71579D90}" vid="{7FAE4507-3334-4D0E-A861-D7F382B384E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3379-AD97-4649-B78C-236D4E6F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115</Pages>
  <Words>40780</Words>
  <Characters>232451</Characters>
  <Application>Microsoft Office Word</Application>
  <DocSecurity>0</DocSecurity>
  <Lines>1937</Lines>
  <Paragraphs>545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Willis</dc:creator>
  <cp:keywords/>
  <dc:description/>
  <cp:lastModifiedBy>Rundle, Vincent</cp:lastModifiedBy>
  <cp:revision>7</cp:revision>
  <cp:lastPrinted>2019-11-11T04:04:00Z</cp:lastPrinted>
  <dcterms:created xsi:type="dcterms:W3CDTF">2020-06-10T01:55:00Z</dcterms:created>
  <dcterms:modified xsi:type="dcterms:W3CDTF">2020-06-10T06:12:00Z</dcterms:modified>
</cp:coreProperties>
</file>