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FE20" w14:textId="77777777" w:rsidR="00EC73BF" w:rsidRPr="00000C96" w:rsidRDefault="00995132" w:rsidP="001A3E36">
      <w:pPr>
        <w:sectPr w:rsidR="00EC73BF" w:rsidRPr="00000C96" w:rsidSect="00A54E47">
          <w:headerReference w:type="default" r:id="rId11"/>
          <w:footerReference w:type="default" r:id="rId12"/>
          <w:footerReference w:type="first" r:id="rId13"/>
          <w:type w:val="oddPage"/>
          <w:pgSz w:w="11906" w:h="16838" w:code="9"/>
          <w:pgMar w:top="1440" w:right="1440" w:bottom="1440" w:left="1440" w:header="709" w:footer="709" w:gutter="0"/>
          <w:cols w:space="708"/>
          <w:titlePg/>
          <w:docGrid w:linePitch="360"/>
        </w:sectPr>
      </w:pPr>
      <w:r w:rsidRPr="00000C96">
        <w:rPr>
          <w:noProof/>
          <w:sz w:val="44"/>
          <w:lang w:eastAsia="en-AU"/>
        </w:rPr>
        <mc:AlternateContent>
          <mc:Choice Requires="wps">
            <w:drawing>
              <wp:inline distT="0" distB="0" distL="0" distR="0" wp14:anchorId="341FE266" wp14:editId="463D303B">
                <wp:extent cx="5760000" cy="7683592"/>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683592"/>
                        </a:xfrm>
                        <a:prstGeom prst="rect">
                          <a:avLst/>
                        </a:prstGeom>
                        <a:solidFill>
                          <a:schemeClr val="accent4"/>
                        </a:solidFill>
                        <a:ln w="9525" cap="rnd">
                          <a:solidFill>
                            <a:srgbClr val="000000"/>
                          </a:solidFill>
                          <a:round/>
                          <a:headEnd/>
                          <a:tailEnd/>
                        </a:ln>
                        <a:effectLst>
                          <a:softEdge rad="31750"/>
                        </a:effectLst>
                      </wps:spPr>
                      <wps:txbx>
                        <w:txbxContent>
                          <w:p w14:paraId="7E7CDDE4" w14:textId="77777777" w:rsidR="00BC06F1" w:rsidRPr="00EC73BF" w:rsidRDefault="00BC06F1" w:rsidP="00EC73BF">
                            <w:pPr>
                              <w:pStyle w:val="Headingcover"/>
                            </w:pPr>
                          </w:p>
                          <w:p w14:paraId="17597E4C" w14:textId="77777777" w:rsidR="00BC06F1" w:rsidRDefault="00BC06F1" w:rsidP="00EC73BF">
                            <w:pPr>
                              <w:pStyle w:val="Headingcover"/>
                            </w:pPr>
                          </w:p>
                          <w:p w14:paraId="5F4EF6DC" w14:textId="77777777" w:rsidR="00BC06F1" w:rsidRDefault="00BC06F1" w:rsidP="00EC73BF">
                            <w:pPr>
                              <w:pStyle w:val="Headingcover"/>
                            </w:pPr>
                          </w:p>
                          <w:p w14:paraId="73613A2C" w14:textId="77777777" w:rsidR="00BC06F1" w:rsidRDefault="00BC06F1" w:rsidP="00797DB3">
                            <w:pPr>
                              <w:pStyle w:val="Headingcover"/>
                            </w:pPr>
                            <w:r w:rsidRPr="001C3502">
                              <w:t>National Disability Insurance Scheme</w:t>
                            </w:r>
                          </w:p>
                          <w:p w14:paraId="7401AB88" w14:textId="77777777" w:rsidR="00BC06F1" w:rsidRPr="001C3502" w:rsidRDefault="00BC06F1" w:rsidP="00EC73BF">
                            <w:pPr>
                              <w:pStyle w:val="Headingcover"/>
                            </w:pPr>
                          </w:p>
                          <w:p w14:paraId="7F1E82DA" w14:textId="77777777" w:rsidR="00BC06F1" w:rsidRDefault="00BC06F1" w:rsidP="00797DB3">
                            <w:pPr>
                              <w:pStyle w:val="Headingcover"/>
                              <w:rPr>
                                <w:sz w:val="40"/>
                                <w:szCs w:val="56"/>
                              </w:rPr>
                            </w:pPr>
                            <w:r>
                              <w:rPr>
                                <w:sz w:val="40"/>
                                <w:szCs w:val="56"/>
                              </w:rPr>
                              <w:t>Review of Supported Independent Living Price Controls</w:t>
                            </w:r>
                          </w:p>
                          <w:p w14:paraId="508EEE8A" w14:textId="77777777" w:rsidR="00BC06F1" w:rsidRDefault="00BC06F1" w:rsidP="00797DB3">
                            <w:pPr>
                              <w:pStyle w:val="Headingcover"/>
                              <w:rPr>
                                <w:sz w:val="40"/>
                                <w:szCs w:val="56"/>
                              </w:rPr>
                            </w:pPr>
                          </w:p>
                          <w:p w14:paraId="1661FC07" w14:textId="77777777" w:rsidR="00BC06F1" w:rsidRPr="00797DB3" w:rsidRDefault="00BC06F1" w:rsidP="00797DB3">
                            <w:pPr>
                              <w:pStyle w:val="Headingcover"/>
                              <w:rPr>
                                <w:sz w:val="40"/>
                                <w:szCs w:val="56"/>
                              </w:rPr>
                            </w:pPr>
                          </w:p>
                          <w:p w14:paraId="480E4E7E" w14:textId="77777777" w:rsidR="00BC06F1" w:rsidRDefault="00BC06F1" w:rsidP="00EC73BF">
                            <w:pPr>
                              <w:pStyle w:val="Headingcover"/>
                              <w:rPr>
                                <w:sz w:val="36"/>
                                <w:szCs w:val="36"/>
                              </w:rPr>
                            </w:pPr>
                            <w:r>
                              <w:rPr>
                                <w:sz w:val="36"/>
                                <w:szCs w:val="36"/>
                              </w:rPr>
                              <w:t>Issues Paper</w:t>
                            </w:r>
                          </w:p>
                          <w:p w14:paraId="67E60938" w14:textId="77777777" w:rsidR="00BC06F1" w:rsidRDefault="00BC06F1" w:rsidP="00EC73BF">
                            <w:pPr>
                              <w:pStyle w:val="Headingcover"/>
                              <w:rPr>
                                <w:sz w:val="36"/>
                                <w:szCs w:val="36"/>
                              </w:rPr>
                            </w:pPr>
                          </w:p>
                          <w:p w14:paraId="7EFC9430" w14:textId="77777777" w:rsidR="00BC06F1" w:rsidRDefault="00BC06F1" w:rsidP="00EC73BF">
                            <w:pPr>
                              <w:pStyle w:val="Headingcover"/>
                              <w:rPr>
                                <w:sz w:val="36"/>
                                <w:szCs w:val="36"/>
                              </w:rPr>
                            </w:pPr>
                          </w:p>
                          <w:p w14:paraId="3ACDF664" w14:textId="77777777" w:rsidR="00BC06F1" w:rsidRDefault="00BC06F1" w:rsidP="00EC73BF">
                            <w:pPr>
                              <w:pStyle w:val="Headingcover"/>
                              <w:rPr>
                                <w:sz w:val="36"/>
                                <w:szCs w:val="36"/>
                              </w:rPr>
                            </w:pPr>
                          </w:p>
                          <w:p w14:paraId="0A722509" w14:textId="77777777" w:rsidR="00BC06F1" w:rsidRDefault="00BC06F1" w:rsidP="00EC73BF">
                            <w:pPr>
                              <w:pStyle w:val="Headingcover"/>
                              <w:rPr>
                                <w:sz w:val="36"/>
                                <w:szCs w:val="36"/>
                              </w:rPr>
                            </w:pPr>
                          </w:p>
                          <w:p w14:paraId="5803816A" w14:textId="77777777" w:rsidR="00BC06F1" w:rsidRDefault="00BC06F1" w:rsidP="00EC73BF">
                            <w:pPr>
                              <w:pStyle w:val="Headingcover"/>
                              <w:rPr>
                                <w:sz w:val="36"/>
                                <w:szCs w:val="36"/>
                              </w:rPr>
                            </w:pPr>
                          </w:p>
                          <w:p w14:paraId="1988B3B9" w14:textId="77777777" w:rsidR="00BC06F1" w:rsidRDefault="00BC06F1" w:rsidP="00EC73BF">
                            <w:pPr>
                              <w:pStyle w:val="Headingcover"/>
                              <w:rPr>
                                <w:sz w:val="36"/>
                                <w:szCs w:val="36"/>
                              </w:rPr>
                            </w:pPr>
                          </w:p>
                          <w:p w14:paraId="2C638F7C" w14:textId="77777777" w:rsidR="00BC06F1" w:rsidRDefault="00BC06F1" w:rsidP="00EC73BF">
                            <w:pPr>
                              <w:pStyle w:val="Headingcover"/>
                              <w:rPr>
                                <w:sz w:val="36"/>
                                <w:szCs w:val="36"/>
                              </w:rPr>
                            </w:pPr>
                          </w:p>
                          <w:p w14:paraId="02844245" w14:textId="77777777" w:rsidR="00BC06F1" w:rsidRPr="00773F6C" w:rsidRDefault="00BC06F1" w:rsidP="00EC73BF">
                            <w:pPr>
                              <w:pStyle w:val="Headingcover"/>
                              <w:rPr>
                                <w:sz w:val="28"/>
                                <w:szCs w:val="28"/>
                              </w:rPr>
                            </w:pPr>
                            <w:r>
                              <w:rPr>
                                <w:sz w:val="36"/>
                                <w:szCs w:val="36"/>
                              </w:rPr>
                              <w:t>August 2020</w:t>
                            </w:r>
                          </w:p>
                        </w:txbxContent>
                      </wps:txbx>
                      <wps:bodyPr rot="0" vert="horz" wrap="square" lIns="91440" tIns="45720" rIns="91440" bIns="45720" anchor="t" anchorCtr="0">
                        <a:noAutofit/>
                      </wps:bodyPr>
                    </wps:wsp>
                  </a:graphicData>
                </a:graphic>
              </wp:inline>
            </w:drawing>
          </mc:Choice>
          <mc:Fallback>
            <w:pict>
              <v:shapetype w14:anchorId="341FE266" id="_x0000_t202" coordsize="21600,21600" o:spt="202" path="m,l,21600r21600,l21600,xe">
                <v:stroke joinstyle="miter"/>
                <v:path gradientshapeok="t" o:connecttype="rect"/>
              </v:shapetype>
              <v:shape id="Text Box 2" o:spid="_x0000_s1026" type="#_x0000_t202" style="width:453.5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" fillcolor="#6b2976 [3207]">
                <v:stroke joinstyle="round" endcap="round"/>
                <v:textbox>
                  <w:txbxContent>
                    <w:p w14:paraId="7E7CDDE4" w14:textId="77777777" w:rsidR="00BC06F1" w:rsidRPr="00EC73BF" w:rsidRDefault="00BC06F1" w:rsidP="00EC73BF">
                      <w:pPr>
                        <w:pStyle w:val="Headingcover"/>
                      </w:pPr>
                    </w:p>
                    <w:p w14:paraId="17597E4C" w14:textId="77777777" w:rsidR="00BC06F1" w:rsidRDefault="00BC06F1" w:rsidP="00EC73BF">
                      <w:pPr>
                        <w:pStyle w:val="Headingcover"/>
                      </w:pPr>
                    </w:p>
                    <w:p w14:paraId="5F4EF6DC" w14:textId="77777777" w:rsidR="00BC06F1" w:rsidRDefault="00BC06F1" w:rsidP="00EC73BF">
                      <w:pPr>
                        <w:pStyle w:val="Headingcover"/>
                      </w:pPr>
                    </w:p>
                    <w:p w14:paraId="73613A2C" w14:textId="77777777" w:rsidR="00BC06F1" w:rsidRDefault="00BC06F1" w:rsidP="00797DB3">
                      <w:pPr>
                        <w:pStyle w:val="Headingcover"/>
                      </w:pPr>
                      <w:r w:rsidRPr="001C3502">
                        <w:t>National Disability Insurance Scheme</w:t>
                      </w:r>
                    </w:p>
                    <w:p w14:paraId="7401AB88" w14:textId="77777777" w:rsidR="00BC06F1" w:rsidRPr="001C3502" w:rsidRDefault="00BC06F1" w:rsidP="00EC73BF">
                      <w:pPr>
                        <w:pStyle w:val="Headingcover"/>
                      </w:pPr>
                    </w:p>
                    <w:p w14:paraId="7F1E82DA" w14:textId="77777777" w:rsidR="00BC06F1" w:rsidRDefault="00BC06F1" w:rsidP="00797DB3">
                      <w:pPr>
                        <w:pStyle w:val="Headingcover"/>
                        <w:rPr>
                          <w:sz w:val="40"/>
                          <w:szCs w:val="56"/>
                        </w:rPr>
                      </w:pPr>
                      <w:r>
                        <w:rPr>
                          <w:sz w:val="40"/>
                          <w:szCs w:val="56"/>
                        </w:rPr>
                        <w:t>Review of Supported Independent Living Price Controls</w:t>
                      </w:r>
                    </w:p>
                    <w:p w14:paraId="508EEE8A" w14:textId="77777777" w:rsidR="00BC06F1" w:rsidRDefault="00BC06F1" w:rsidP="00797DB3">
                      <w:pPr>
                        <w:pStyle w:val="Headingcover"/>
                        <w:rPr>
                          <w:sz w:val="40"/>
                          <w:szCs w:val="56"/>
                        </w:rPr>
                      </w:pPr>
                    </w:p>
                    <w:p w14:paraId="1661FC07" w14:textId="77777777" w:rsidR="00BC06F1" w:rsidRPr="00797DB3" w:rsidRDefault="00BC06F1" w:rsidP="00797DB3">
                      <w:pPr>
                        <w:pStyle w:val="Headingcover"/>
                        <w:rPr>
                          <w:sz w:val="40"/>
                          <w:szCs w:val="56"/>
                        </w:rPr>
                      </w:pPr>
                    </w:p>
                    <w:p w14:paraId="480E4E7E" w14:textId="77777777" w:rsidR="00BC06F1" w:rsidRDefault="00BC06F1" w:rsidP="00EC73BF">
                      <w:pPr>
                        <w:pStyle w:val="Headingcover"/>
                        <w:rPr>
                          <w:sz w:val="36"/>
                          <w:szCs w:val="36"/>
                        </w:rPr>
                      </w:pPr>
                      <w:r>
                        <w:rPr>
                          <w:sz w:val="36"/>
                          <w:szCs w:val="36"/>
                        </w:rPr>
                        <w:t>Issues Paper</w:t>
                      </w:r>
                    </w:p>
                    <w:p w14:paraId="67E60938" w14:textId="77777777" w:rsidR="00BC06F1" w:rsidRDefault="00BC06F1" w:rsidP="00EC73BF">
                      <w:pPr>
                        <w:pStyle w:val="Headingcover"/>
                        <w:rPr>
                          <w:sz w:val="36"/>
                          <w:szCs w:val="36"/>
                        </w:rPr>
                      </w:pPr>
                    </w:p>
                    <w:p w14:paraId="7EFC9430" w14:textId="77777777" w:rsidR="00BC06F1" w:rsidRDefault="00BC06F1" w:rsidP="00EC73BF">
                      <w:pPr>
                        <w:pStyle w:val="Headingcover"/>
                        <w:rPr>
                          <w:sz w:val="36"/>
                          <w:szCs w:val="36"/>
                        </w:rPr>
                      </w:pPr>
                    </w:p>
                    <w:p w14:paraId="3ACDF664" w14:textId="77777777" w:rsidR="00BC06F1" w:rsidRDefault="00BC06F1" w:rsidP="00EC73BF">
                      <w:pPr>
                        <w:pStyle w:val="Headingcover"/>
                        <w:rPr>
                          <w:sz w:val="36"/>
                          <w:szCs w:val="36"/>
                        </w:rPr>
                      </w:pPr>
                    </w:p>
                    <w:p w14:paraId="0A722509" w14:textId="77777777" w:rsidR="00BC06F1" w:rsidRDefault="00BC06F1" w:rsidP="00EC73BF">
                      <w:pPr>
                        <w:pStyle w:val="Headingcover"/>
                        <w:rPr>
                          <w:sz w:val="36"/>
                          <w:szCs w:val="36"/>
                        </w:rPr>
                      </w:pPr>
                    </w:p>
                    <w:p w14:paraId="5803816A" w14:textId="77777777" w:rsidR="00BC06F1" w:rsidRDefault="00BC06F1" w:rsidP="00EC73BF">
                      <w:pPr>
                        <w:pStyle w:val="Headingcover"/>
                        <w:rPr>
                          <w:sz w:val="36"/>
                          <w:szCs w:val="36"/>
                        </w:rPr>
                      </w:pPr>
                    </w:p>
                    <w:p w14:paraId="1988B3B9" w14:textId="77777777" w:rsidR="00BC06F1" w:rsidRDefault="00BC06F1" w:rsidP="00EC73BF">
                      <w:pPr>
                        <w:pStyle w:val="Headingcover"/>
                        <w:rPr>
                          <w:sz w:val="36"/>
                          <w:szCs w:val="36"/>
                        </w:rPr>
                      </w:pPr>
                    </w:p>
                    <w:p w14:paraId="2C638F7C" w14:textId="77777777" w:rsidR="00BC06F1" w:rsidRDefault="00BC06F1" w:rsidP="00EC73BF">
                      <w:pPr>
                        <w:pStyle w:val="Headingcover"/>
                        <w:rPr>
                          <w:sz w:val="36"/>
                          <w:szCs w:val="36"/>
                        </w:rPr>
                      </w:pPr>
                    </w:p>
                    <w:p w14:paraId="02844245" w14:textId="77777777" w:rsidR="00BC06F1" w:rsidRPr="00773F6C" w:rsidRDefault="00BC06F1" w:rsidP="00EC73BF">
                      <w:pPr>
                        <w:pStyle w:val="Headingcover"/>
                        <w:rPr>
                          <w:sz w:val="28"/>
                          <w:szCs w:val="28"/>
                        </w:rPr>
                      </w:pPr>
                      <w:r>
                        <w:rPr>
                          <w:sz w:val="36"/>
                          <w:szCs w:val="36"/>
                        </w:rPr>
                        <w:t>August 2020</w:t>
                      </w:r>
                    </w:p>
                  </w:txbxContent>
                </v:textbox>
                <w10:anchorlock/>
              </v:shape>
            </w:pict>
          </mc:Fallback>
        </mc:AlternateContent>
      </w:r>
      <w:r w:rsidR="00BF276E" w:rsidRPr="00000C96">
        <w:br w:type="page"/>
      </w:r>
    </w:p>
    <w:p w14:paraId="5D90D176" w14:textId="77777777" w:rsidR="005F1C33" w:rsidRPr="00000C96" w:rsidRDefault="00CD599B" w:rsidP="001A3E36">
      <w:pPr>
        <w:rPr>
          <w:b/>
        </w:rPr>
      </w:pPr>
      <w:r w:rsidRPr="00000C96">
        <w:rPr>
          <w:b/>
        </w:rPr>
        <w:lastRenderedPageBreak/>
        <w:t>C</w:t>
      </w:r>
      <w:r w:rsidR="005F1C33" w:rsidRPr="00000C96">
        <w:rPr>
          <w:b/>
        </w:rPr>
        <w:t>opyright</w:t>
      </w:r>
    </w:p>
    <w:p w14:paraId="17C092C8" w14:textId="77777777" w:rsidR="005F1C33" w:rsidRPr="00000C96" w:rsidRDefault="005F1C33" w:rsidP="001A3E36">
      <w:r w:rsidRPr="00000C96">
        <w:t xml:space="preserve">Copyright in the information contained </w:t>
      </w:r>
      <w:r w:rsidR="00775FAB" w:rsidRPr="00000C96">
        <w:t>i</w:t>
      </w:r>
      <w:r w:rsidRPr="00000C96">
        <w:t xml:space="preserve">n this </w:t>
      </w:r>
      <w:r w:rsidR="00E27A53" w:rsidRPr="00000C96">
        <w:t>document</w:t>
      </w:r>
      <w:r w:rsidR="00EC4C95" w:rsidRPr="00000C96">
        <w:t xml:space="preserve"> </w:t>
      </w:r>
      <w:r w:rsidRPr="00000C96">
        <w:t>is owned and protected by the National Disability Insurance Scheme Launch Transition Agency (National Disability Insurance Agency).</w:t>
      </w:r>
    </w:p>
    <w:p w14:paraId="51CBC03F" w14:textId="77777777" w:rsidR="00416335" w:rsidRPr="00000C96" w:rsidRDefault="00416335" w:rsidP="001A3E36"/>
    <w:p w14:paraId="109B1691" w14:textId="77777777" w:rsidR="00416335" w:rsidRPr="00000C96" w:rsidRDefault="00416335" w:rsidP="00416335">
      <w:pPr>
        <w:shd w:val="clear" w:color="auto" w:fill="F2F2F2" w:themeFill="background1" w:themeFillShade="F2"/>
        <w:rPr>
          <w:b/>
        </w:rPr>
      </w:pPr>
      <w:r w:rsidRPr="00000C96">
        <w:rPr>
          <w:b/>
        </w:rPr>
        <w:t>Issues Paper</w:t>
      </w:r>
    </w:p>
    <w:p w14:paraId="28BD7ECF" w14:textId="55C71A20" w:rsidR="00416335" w:rsidRPr="00000C96" w:rsidRDefault="00416335" w:rsidP="00416335">
      <w:pPr>
        <w:shd w:val="clear" w:color="auto" w:fill="F2F2F2" w:themeFill="background1" w:themeFillShade="F2"/>
      </w:pPr>
      <w:r w:rsidRPr="00000C96">
        <w:t xml:space="preserve">The National Disability Insurance Agency (NDIA) has released this Issues Paper seeking inputs to inform the cost parameters required to estimate the fully loaded cost of the delivering an hour of personal care in a </w:t>
      </w:r>
      <w:r w:rsidR="00481620" w:rsidRPr="00000C96">
        <w:t xml:space="preserve">shared </w:t>
      </w:r>
      <w:r w:rsidRPr="00000C96">
        <w:t xml:space="preserve">living arrangement. </w:t>
      </w:r>
    </w:p>
    <w:p w14:paraId="08B6A5A4" w14:textId="77777777" w:rsidR="00416335" w:rsidRPr="00000C96" w:rsidRDefault="00416335" w:rsidP="00416335">
      <w:pPr>
        <w:shd w:val="clear" w:color="auto" w:fill="F2F2F2" w:themeFill="background1" w:themeFillShade="F2"/>
      </w:pPr>
      <w:r w:rsidRPr="00000C96">
        <w:t xml:space="preserve">This issues paper invites submissions from providers of SIL services and impacted stakeholders on a range of issues which will be considered in developing price limits for SIL services. Individuals and organisations should not feel that they are restricted to comment only on matters raised in the Issues Paper. </w:t>
      </w:r>
    </w:p>
    <w:p w14:paraId="61FD4145" w14:textId="77777777" w:rsidR="00416335" w:rsidRPr="00000C96" w:rsidRDefault="00416335" w:rsidP="00416335">
      <w:pPr>
        <w:shd w:val="clear" w:color="auto" w:fill="F2F2F2" w:themeFill="background1" w:themeFillShade="F2"/>
      </w:pPr>
    </w:p>
    <w:p w14:paraId="4BBDD2DA" w14:textId="77777777" w:rsidR="00416335" w:rsidRPr="00000C96" w:rsidRDefault="00416335" w:rsidP="00416335">
      <w:pPr>
        <w:shd w:val="clear" w:color="auto" w:fill="F2F2F2" w:themeFill="background1" w:themeFillShade="F2"/>
        <w:rPr>
          <w:b/>
        </w:rPr>
      </w:pPr>
      <w:r w:rsidRPr="00000C96">
        <w:rPr>
          <w:b/>
        </w:rPr>
        <w:t>Key date</w:t>
      </w:r>
    </w:p>
    <w:p w14:paraId="4C4EC66B" w14:textId="4740D173" w:rsidR="00416335" w:rsidRPr="00000C96" w:rsidRDefault="00416335" w:rsidP="00416335">
      <w:pPr>
        <w:shd w:val="clear" w:color="auto" w:fill="F2F2F2" w:themeFill="background1" w:themeFillShade="F2"/>
        <w:rPr>
          <w:b/>
        </w:rPr>
      </w:pPr>
      <w:r w:rsidRPr="00000C96">
        <w:t xml:space="preserve">Due date for submissions: </w:t>
      </w:r>
      <w:r w:rsidRPr="00000C96">
        <w:rPr>
          <w:b/>
        </w:rPr>
        <w:t xml:space="preserve">Sunday </w:t>
      </w:r>
      <w:r w:rsidR="00632270" w:rsidRPr="00000C96">
        <w:rPr>
          <w:b/>
        </w:rPr>
        <w:t xml:space="preserve">25 October </w:t>
      </w:r>
      <w:r w:rsidRPr="00000C96">
        <w:rPr>
          <w:b/>
        </w:rPr>
        <w:t>2020, 11:59pm AWST</w:t>
      </w:r>
    </w:p>
    <w:p w14:paraId="051ECCD1" w14:textId="77777777" w:rsidR="00416335" w:rsidRPr="00000C96" w:rsidRDefault="00416335" w:rsidP="00416335">
      <w:pPr>
        <w:shd w:val="clear" w:color="auto" w:fill="F2F2F2" w:themeFill="background1" w:themeFillShade="F2"/>
      </w:pPr>
      <w:r w:rsidRPr="00000C96">
        <w:t xml:space="preserve">Submissions can be lodged by email to: </w:t>
      </w:r>
      <w:hyperlink r:id="rId14" w:history="1">
        <w:r w:rsidRPr="00000C96">
          <w:rPr>
            <w:rStyle w:val="Hyperlink"/>
          </w:rPr>
          <w:t>Pricing@ndis.gov.au</w:t>
        </w:r>
      </w:hyperlink>
      <w:r w:rsidRPr="00000C96">
        <w:cr/>
      </w:r>
    </w:p>
    <w:p w14:paraId="09A42E85" w14:textId="77777777" w:rsidR="00416335" w:rsidRPr="00000C96" w:rsidRDefault="00416335" w:rsidP="00416335">
      <w:pPr>
        <w:shd w:val="clear" w:color="auto" w:fill="F2F2F2" w:themeFill="background1" w:themeFillShade="F2"/>
        <w:rPr>
          <w:b/>
        </w:rPr>
      </w:pPr>
      <w:r w:rsidRPr="00000C96">
        <w:rPr>
          <w:b/>
        </w:rPr>
        <w:t>Contact details for administrative and other matters:</w:t>
      </w:r>
    </w:p>
    <w:p w14:paraId="7A994774" w14:textId="77777777" w:rsidR="00416335" w:rsidRPr="00000C96" w:rsidRDefault="00416335" w:rsidP="00416335">
      <w:pPr>
        <w:shd w:val="clear" w:color="auto" w:fill="F2F2F2" w:themeFill="background1" w:themeFillShade="F2"/>
      </w:pPr>
      <w:r w:rsidRPr="00000C96">
        <w:t>NDIS Contact Centre</w:t>
      </w:r>
    </w:p>
    <w:p w14:paraId="6557349C" w14:textId="77777777" w:rsidR="00416335" w:rsidRPr="00000C96" w:rsidRDefault="00416335" w:rsidP="00416335">
      <w:pPr>
        <w:shd w:val="clear" w:color="auto" w:fill="F2F2F2" w:themeFill="background1" w:themeFillShade="F2"/>
      </w:pPr>
      <w:r w:rsidRPr="00000C96">
        <w:t>Monday to Friday, 8am – 8pm (local time)</w:t>
      </w:r>
    </w:p>
    <w:p w14:paraId="5D8A2E18" w14:textId="77777777" w:rsidR="00416335" w:rsidRPr="00000C96" w:rsidRDefault="00416335" w:rsidP="00416335">
      <w:pPr>
        <w:shd w:val="clear" w:color="auto" w:fill="F2F2F2" w:themeFill="background1" w:themeFillShade="F2"/>
      </w:pPr>
      <w:r w:rsidRPr="00000C96">
        <w:t xml:space="preserve">Phone: 1800 800 110 </w:t>
      </w:r>
      <w:r w:rsidRPr="00000C96">
        <w:tab/>
      </w:r>
    </w:p>
    <w:p w14:paraId="19173E5D" w14:textId="77777777" w:rsidR="00416335" w:rsidRPr="00000C96" w:rsidRDefault="00416335" w:rsidP="00416335">
      <w:pPr>
        <w:shd w:val="clear" w:color="auto" w:fill="F2F2F2" w:themeFill="background1" w:themeFillShade="F2"/>
      </w:pPr>
      <w:r w:rsidRPr="00000C96">
        <w:t xml:space="preserve">Email: </w:t>
      </w:r>
      <w:hyperlink r:id="rId15" w:history="1">
        <w:r w:rsidRPr="00000C96">
          <w:rPr>
            <w:rStyle w:val="Hyperlink"/>
          </w:rPr>
          <w:t>enquiries@ndis.gov.au</w:t>
        </w:r>
      </w:hyperlink>
    </w:p>
    <w:p w14:paraId="2BC041FD" w14:textId="77777777" w:rsidR="00416335" w:rsidRPr="00000C96" w:rsidRDefault="00416335" w:rsidP="00416335">
      <w:pPr>
        <w:shd w:val="clear" w:color="auto" w:fill="F2F2F2" w:themeFill="background1" w:themeFillShade="F2"/>
      </w:pPr>
    </w:p>
    <w:p w14:paraId="09B05656" w14:textId="77777777" w:rsidR="00416335" w:rsidRPr="00000C96" w:rsidRDefault="00416335" w:rsidP="00416335">
      <w:pPr>
        <w:shd w:val="clear" w:color="auto" w:fill="F2F2F2" w:themeFill="background1" w:themeFillShade="F2"/>
      </w:pPr>
      <w:r w:rsidRPr="00000C96">
        <w:t xml:space="preserve">Website: </w:t>
      </w:r>
      <w:hyperlink r:id="rId16" w:history="1">
        <w:r w:rsidRPr="00000C96">
          <w:rPr>
            <w:rStyle w:val="Hyperlink"/>
          </w:rPr>
          <w:t>Have your say on the NDIS website</w:t>
        </w:r>
      </w:hyperlink>
    </w:p>
    <w:p w14:paraId="4CECE966" w14:textId="77777777" w:rsidR="00416335" w:rsidRPr="00000C96" w:rsidRDefault="00416335" w:rsidP="00416335"/>
    <w:p w14:paraId="37C2C4D3" w14:textId="77777777" w:rsidR="00416335" w:rsidRPr="00000C96" w:rsidRDefault="00416335" w:rsidP="00416335">
      <w:pPr>
        <w:rPr>
          <w:b/>
        </w:rPr>
      </w:pPr>
      <w:r w:rsidRPr="00000C96">
        <w:rPr>
          <w:b/>
        </w:rPr>
        <w:t>Further information</w:t>
      </w:r>
    </w:p>
    <w:p w14:paraId="4605932A" w14:textId="77777777" w:rsidR="002D7A96" w:rsidRPr="00000C96" w:rsidRDefault="00416335" w:rsidP="001A3E36">
      <w:r w:rsidRPr="00000C96">
        <w:t xml:space="preserve">Further information on pricing in the National Disability Insurance Scheme can be found at the </w:t>
      </w:r>
      <w:hyperlink r:id="rId17" w:history="1">
        <w:r w:rsidRPr="00000C96">
          <w:rPr>
            <w:rStyle w:val="Hyperlink"/>
          </w:rPr>
          <w:t>NDIS website</w:t>
        </w:r>
      </w:hyperlink>
      <w:r w:rsidRPr="00000C96">
        <w:rPr>
          <w:rStyle w:val="Hyperlink"/>
        </w:rPr>
        <w:t>.</w:t>
      </w:r>
    </w:p>
    <w:p w14:paraId="5EEB9B28" w14:textId="77777777" w:rsidR="002D7A96" w:rsidRPr="00000C96" w:rsidRDefault="002D7A96"/>
    <w:p w14:paraId="0FAC32C3" w14:textId="77777777" w:rsidR="008B4DE2" w:rsidRPr="00000C96" w:rsidRDefault="008B4DE2" w:rsidP="001A3E36">
      <w:pPr>
        <w:rPr>
          <w:b/>
        </w:rPr>
      </w:pPr>
      <w:r w:rsidRPr="00000C96">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AC is an acronym for Attendant Care, DSW is an acronum for Disability Support Worker, NDIA is the acronym for National Disability Insurance Agency, NDIS is the acronym for National Disability Insurance Scheme, SIL is an acronym for Supported Independent Living."/>
      </w:tblPr>
      <w:tblGrid>
        <w:gridCol w:w="2122"/>
        <w:gridCol w:w="6894"/>
      </w:tblGrid>
      <w:tr w:rsidR="008B4DE2" w:rsidRPr="00000C96" w14:paraId="7FE8D746" w14:textId="77777777" w:rsidTr="009418DE">
        <w:trPr>
          <w:tblHeader/>
        </w:trPr>
        <w:tc>
          <w:tcPr>
            <w:tcW w:w="2122" w:type="dxa"/>
          </w:tcPr>
          <w:p w14:paraId="5C242586" w14:textId="77777777" w:rsidR="008B4DE2" w:rsidRPr="00000C96" w:rsidRDefault="008B4DE2" w:rsidP="001A3E36">
            <w:r w:rsidRPr="00000C96">
              <w:t>NDIA</w:t>
            </w:r>
          </w:p>
        </w:tc>
        <w:tc>
          <w:tcPr>
            <w:tcW w:w="6894" w:type="dxa"/>
          </w:tcPr>
          <w:p w14:paraId="71C078D7" w14:textId="77777777" w:rsidR="008B4DE2" w:rsidRPr="00000C96" w:rsidRDefault="008B4DE2" w:rsidP="001A3E36">
            <w:r w:rsidRPr="00000C96">
              <w:t>National Disability Insurance Agency</w:t>
            </w:r>
          </w:p>
        </w:tc>
      </w:tr>
      <w:tr w:rsidR="008B4DE2" w:rsidRPr="00000C96" w14:paraId="505007DF" w14:textId="77777777" w:rsidTr="008B4DE2">
        <w:tc>
          <w:tcPr>
            <w:tcW w:w="2122" w:type="dxa"/>
          </w:tcPr>
          <w:p w14:paraId="22978C59" w14:textId="77777777" w:rsidR="008B4DE2" w:rsidRPr="00000C96" w:rsidRDefault="008B4DE2" w:rsidP="001A3E36">
            <w:r w:rsidRPr="00000C96">
              <w:t>NDIS</w:t>
            </w:r>
          </w:p>
        </w:tc>
        <w:tc>
          <w:tcPr>
            <w:tcW w:w="6894" w:type="dxa"/>
          </w:tcPr>
          <w:p w14:paraId="2AEFE5CF" w14:textId="77777777" w:rsidR="008B4DE2" w:rsidRPr="00000C96" w:rsidRDefault="008B4DE2" w:rsidP="001A3E36">
            <w:r w:rsidRPr="00000C96">
              <w:t>National Disability Insurance Scheme</w:t>
            </w:r>
          </w:p>
        </w:tc>
      </w:tr>
      <w:tr w:rsidR="008B4DE2" w:rsidRPr="00000C96" w14:paraId="3D0535B2" w14:textId="77777777" w:rsidTr="007D0E86">
        <w:trPr>
          <w:trHeight w:val="490"/>
        </w:trPr>
        <w:tc>
          <w:tcPr>
            <w:tcW w:w="2122" w:type="dxa"/>
          </w:tcPr>
          <w:p w14:paraId="294ACF67" w14:textId="77777777" w:rsidR="008B4DE2" w:rsidRPr="00000C96" w:rsidRDefault="00A81BE4" w:rsidP="001A3E36">
            <w:r w:rsidRPr="00000C96">
              <w:t>SIL</w:t>
            </w:r>
          </w:p>
        </w:tc>
        <w:tc>
          <w:tcPr>
            <w:tcW w:w="6894" w:type="dxa"/>
          </w:tcPr>
          <w:p w14:paraId="360370A5" w14:textId="77777777" w:rsidR="008B4DE2" w:rsidRPr="00000C96" w:rsidRDefault="00A81BE4" w:rsidP="001A3E36">
            <w:r w:rsidRPr="00000C96">
              <w:t>Supported Independent Living</w:t>
            </w:r>
          </w:p>
        </w:tc>
      </w:tr>
    </w:tbl>
    <w:p w14:paraId="0BE9B9A5" w14:textId="77777777" w:rsidR="00C1690B" w:rsidRPr="00000C96" w:rsidRDefault="00C1690B" w:rsidP="001A3E36">
      <w:pPr>
        <w:rPr>
          <w:rStyle w:val="Hyperlink"/>
        </w:rPr>
      </w:pPr>
    </w:p>
    <w:p w14:paraId="2083A976" w14:textId="77777777" w:rsidR="00CD53B0" w:rsidRPr="00000C96" w:rsidRDefault="00CD53B0" w:rsidP="00CD53B0"/>
    <w:p w14:paraId="7608E862" w14:textId="77777777" w:rsidR="00B9773D" w:rsidRPr="00000C96" w:rsidRDefault="00B9773D" w:rsidP="00773F6C">
      <w:pPr>
        <w:rPr>
          <w:b/>
        </w:rPr>
        <w:sectPr w:rsidR="00B9773D" w:rsidRPr="00000C96" w:rsidSect="00A54E47">
          <w:footerReference w:type="first" r:id="rId18"/>
          <w:pgSz w:w="11906" w:h="16838" w:code="9"/>
          <w:pgMar w:top="1440" w:right="1440" w:bottom="1440" w:left="1440" w:header="709" w:footer="709" w:gutter="0"/>
          <w:cols w:space="708"/>
          <w:titlePg/>
          <w:docGrid w:linePitch="360"/>
        </w:sectPr>
      </w:pPr>
    </w:p>
    <w:p w14:paraId="4EC7F39B" w14:textId="77777777" w:rsidR="007219F1" w:rsidRPr="00000C96" w:rsidRDefault="007219F1" w:rsidP="00742765">
      <w:pPr>
        <w:pStyle w:val="TOCHeading"/>
      </w:pPr>
      <w:r w:rsidRPr="00000C96">
        <w:lastRenderedPageBreak/>
        <w:t>Contents</w:t>
      </w:r>
    </w:p>
    <w:p w14:paraId="62ABC6AE" w14:textId="54F1B9FD" w:rsidR="00B43988" w:rsidRPr="00000C96" w:rsidRDefault="0040062A">
      <w:pPr>
        <w:pStyle w:val="TOC1"/>
        <w:rPr>
          <w:rFonts w:eastAsiaTheme="minorEastAsia"/>
          <w:b w:val="0"/>
          <w:noProof/>
          <w:lang w:eastAsia="en-AU"/>
        </w:rPr>
      </w:pPr>
      <w:r w:rsidRPr="00000C96">
        <w:fldChar w:fldCharType="begin"/>
      </w:r>
      <w:r w:rsidR="005B15E3" w:rsidRPr="00000C96">
        <w:instrText xml:space="preserve"> TOC \o "1-2</w:instrText>
      </w:r>
      <w:r w:rsidRPr="00000C96">
        <w:instrText xml:space="preserve">" \h \z \u </w:instrText>
      </w:r>
      <w:r w:rsidRPr="00000C96">
        <w:fldChar w:fldCharType="separate"/>
      </w:r>
      <w:hyperlink w:anchor="_Toc49768865" w:history="1">
        <w:r w:rsidR="00B43988" w:rsidRPr="00000C96">
          <w:rPr>
            <w:rStyle w:val="Hyperlink"/>
            <w:noProof/>
          </w:rPr>
          <w:t>Introduction</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_Toc49768865 \h </w:instrText>
        </w:r>
        <w:r w:rsidR="00B43988" w:rsidRPr="00000C96">
          <w:rPr>
            <w:noProof/>
            <w:webHidden/>
          </w:rPr>
        </w:r>
        <w:r w:rsidR="00B43988" w:rsidRPr="00000C96">
          <w:rPr>
            <w:noProof/>
            <w:webHidden/>
          </w:rPr>
          <w:fldChar w:fldCharType="separate"/>
        </w:r>
        <w:r w:rsidR="00B43988" w:rsidRPr="00000C96">
          <w:rPr>
            <w:noProof/>
            <w:webHidden/>
          </w:rPr>
          <w:t>4</w:t>
        </w:r>
        <w:r w:rsidR="00B43988" w:rsidRPr="00000C96">
          <w:rPr>
            <w:noProof/>
            <w:webHidden/>
          </w:rPr>
          <w:fldChar w:fldCharType="end"/>
        </w:r>
      </w:hyperlink>
    </w:p>
    <w:p w14:paraId="72F1E756" w14:textId="5079E97B" w:rsidR="00B43988" w:rsidRPr="00000C96" w:rsidRDefault="00356C9D">
      <w:pPr>
        <w:pStyle w:val="TOC2"/>
        <w:tabs>
          <w:tab w:val="right" w:leader="dot" w:pos="9016"/>
        </w:tabs>
        <w:rPr>
          <w:rFonts w:eastAsiaTheme="minorEastAsia"/>
          <w:noProof/>
          <w:lang w:eastAsia="en-AU"/>
        </w:rPr>
      </w:pPr>
      <w:hyperlink w:anchor="_Toc49768866" w:history="1">
        <w:r w:rsidR="00B43988" w:rsidRPr="00000C96">
          <w:rPr>
            <w:rStyle w:val="Hyperlink"/>
            <w:noProof/>
          </w:rPr>
          <w:t>Definitions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_Toc49768866 \h </w:instrText>
        </w:r>
        <w:r w:rsidR="00B43988" w:rsidRPr="00000C96">
          <w:rPr>
            <w:noProof/>
            <w:webHidden/>
          </w:rPr>
        </w:r>
        <w:r w:rsidR="00B43988" w:rsidRPr="00000C96">
          <w:rPr>
            <w:noProof/>
            <w:webHidden/>
          </w:rPr>
          <w:fldChar w:fldCharType="separate"/>
        </w:r>
        <w:r w:rsidR="00B43988" w:rsidRPr="00000C96">
          <w:rPr>
            <w:noProof/>
            <w:webHidden/>
          </w:rPr>
          <w:t>5</w:t>
        </w:r>
        <w:r w:rsidR="00B43988" w:rsidRPr="00000C96">
          <w:rPr>
            <w:noProof/>
            <w:webHidden/>
          </w:rPr>
          <w:fldChar w:fldCharType="end"/>
        </w:r>
      </w:hyperlink>
    </w:p>
    <w:p w14:paraId="4544BE2F" w14:textId="50E71851" w:rsidR="00B43988" w:rsidRPr="00000C96" w:rsidRDefault="00356C9D">
      <w:pPr>
        <w:pStyle w:val="TOC2"/>
        <w:tabs>
          <w:tab w:val="right" w:leader="dot" w:pos="9016"/>
        </w:tabs>
        <w:rPr>
          <w:rFonts w:eastAsiaTheme="minorEastAsia"/>
          <w:noProof/>
          <w:lang w:eastAsia="en-AU"/>
        </w:rPr>
      </w:pPr>
      <w:hyperlink w:anchor="_Toc49768867" w:history="1">
        <w:r w:rsidR="00B43988" w:rsidRPr="00000C96">
          <w:rPr>
            <w:rStyle w:val="Hyperlink"/>
            <w:noProof/>
          </w:rPr>
          <w:t>Responding to the Review</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_Toc49768867 \h </w:instrText>
        </w:r>
        <w:r w:rsidR="00B43988" w:rsidRPr="00000C96">
          <w:rPr>
            <w:noProof/>
            <w:webHidden/>
          </w:rPr>
        </w:r>
        <w:r w:rsidR="00B43988" w:rsidRPr="00000C96">
          <w:rPr>
            <w:noProof/>
            <w:webHidden/>
          </w:rPr>
          <w:fldChar w:fldCharType="separate"/>
        </w:r>
        <w:r w:rsidR="00B43988" w:rsidRPr="00000C96">
          <w:rPr>
            <w:noProof/>
            <w:webHidden/>
          </w:rPr>
          <w:t>5</w:t>
        </w:r>
        <w:r w:rsidR="00B43988" w:rsidRPr="00000C96">
          <w:rPr>
            <w:noProof/>
            <w:webHidden/>
          </w:rPr>
          <w:fldChar w:fldCharType="end"/>
        </w:r>
      </w:hyperlink>
    </w:p>
    <w:p w14:paraId="7940F94C" w14:textId="16A95E2E" w:rsidR="00B43988" w:rsidRPr="00000C96" w:rsidRDefault="00356C9D">
      <w:pPr>
        <w:pStyle w:val="TOC1"/>
        <w:rPr>
          <w:rFonts w:eastAsiaTheme="minorEastAsia"/>
          <w:b w:val="0"/>
          <w:noProof/>
          <w:lang w:eastAsia="en-AU"/>
        </w:rPr>
      </w:pPr>
      <w:hyperlink w:anchor="_Toc49768868" w:history="1">
        <w:r w:rsidR="00B43988" w:rsidRPr="00000C96">
          <w:rPr>
            <w:rStyle w:val="Hyperlink"/>
            <w:noProof/>
          </w:rPr>
          <w:t>Issues for Participants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_Toc49768868 \h </w:instrText>
        </w:r>
        <w:r w:rsidR="00B43988" w:rsidRPr="00000C96">
          <w:rPr>
            <w:noProof/>
            <w:webHidden/>
          </w:rPr>
        </w:r>
        <w:r w:rsidR="00B43988" w:rsidRPr="00000C96">
          <w:rPr>
            <w:noProof/>
            <w:webHidden/>
          </w:rPr>
          <w:fldChar w:fldCharType="separate"/>
        </w:r>
        <w:r w:rsidR="00B43988" w:rsidRPr="00000C96">
          <w:rPr>
            <w:noProof/>
            <w:webHidden/>
          </w:rPr>
          <w:t>7</w:t>
        </w:r>
        <w:r w:rsidR="00B43988" w:rsidRPr="00000C96">
          <w:rPr>
            <w:noProof/>
            <w:webHidden/>
          </w:rPr>
          <w:fldChar w:fldCharType="end"/>
        </w:r>
      </w:hyperlink>
    </w:p>
    <w:p w14:paraId="4CA8CBD9" w14:textId="4B5DC7DD" w:rsidR="00B43988" w:rsidRPr="00000C96" w:rsidRDefault="00356C9D">
      <w:pPr>
        <w:pStyle w:val="TOC1"/>
        <w:rPr>
          <w:rFonts w:eastAsiaTheme="minorEastAsia"/>
          <w:b w:val="0"/>
          <w:noProof/>
          <w:lang w:eastAsia="en-AU"/>
        </w:rPr>
      </w:pPr>
      <w:hyperlink w:anchor="_Toc49768869" w:history="1">
        <w:r w:rsidR="00B43988" w:rsidRPr="00000C96">
          <w:rPr>
            <w:rStyle w:val="Hyperlink"/>
            <w:noProof/>
          </w:rPr>
          <w:t>Issues for Providers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_Toc49768869 \h </w:instrText>
        </w:r>
        <w:r w:rsidR="00B43988" w:rsidRPr="00000C96">
          <w:rPr>
            <w:noProof/>
            <w:webHidden/>
          </w:rPr>
        </w:r>
        <w:r w:rsidR="00B43988" w:rsidRPr="00000C96">
          <w:rPr>
            <w:noProof/>
            <w:webHidden/>
          </w:rPr>
          <w:fldChar w:fldCharType="separate"/>
        </w:r>
        <w:r w:rsidR="00B43988" w:rsidRPr="00000C96">
          <w:rPr>
            <w:noProof/>
            <w:webHidden/>
          </w:rPr>
          <w:t>8</w:t>
        </w:r>
        <w:r w:rsidR="00B43988" w:rsidRPr="00000C96">
          <w:rPr>
            <w:noProof/>
            <w:webHidden/>
          </w:rPr>
          <w:fldChar w:fldCharType="end"/>
        </w:r>
      </w:hyperlink>
    </w:p>
    <w:p w14:paraId="02A12BC3" w14:textId="25B42135" w:rsidR="00B43988" w:rsidRPr="00000C96" w:rsidRDefault="00356C9D">
      <w:pPr>
        <w:pStyle w:val="TOC2"/>
        <w:tabs>
          <w:tab w:val="right" w:leader="dot" w:pos="9016"/>
        </w:tabs>
        <w:rPr>
          <w:rFonts w:eastAsiaTheme="minorEastAsia"/>
          <w:noProof/>
          <w:lang w:eastAsia="en-AU"/>
        </w:rPr>
      </w:pPr>
      <w:hyperlink w:anchor="_Toc49768870" w:history="1">
        <w:r w:rsidR="00B43988" w:rsidRPr="00000C96">
          <w:rPr>
            <w:rStyle w:val="Hyperlink"/>
            <w:noProof/>
          </w:rPr>
          <w:t>Wages and on-costs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_Toc49768870 \h </w:instrText>
        </w:r>
        <w:r w:rsidR="00B43988" w:rsidRPr="00000C96">
          <w:rPr>
            <w:noProof/>
            <w:webHidden/>
          </w:rPr>
        </w:r>
        <w:r w:rsidR="00B43988" w:rsidRPr="00000C96">
          <w:rPr>
            <w:noProof/>
            <w:webHidden/>
          </w:rPr>
          <w:fldChar w:fldCharType="separate"/>
        </w:r>
        <w:r w:rsidR="00B43988" w:rsidRPr="00000C96">
          <w:rPr>
            <w:noProof/>
            <w:webHidden/>
          </w:rPr>
          <w:t>8</w:t>
        </w:r>
        <w:r w:rsidR="00B43988" w:rsidRPr="00000C96">
          <w:rPr>
            <w:noProof/>
            <w:webHidden/>
          </w:rPr>
          <w:fldChar w:fldCharType="end"/>
        </w:r>
      </w:hyperlink>
    </w:p>
    <w:p w14:paraId="7C1888D7" w14:textId="345971B6" w:rsidR="00B43988" w:rsidRPr="00000C96" w:rsidRDefault="00356C9D">
      <w:pPr>
        <w:pStyle w:val="TOC2"/>
        <w:tabs>
          <w:tab w:val="right" w:leader="dot" w:pos="9016"/>
        </w:tabs>
        <w:rPr>
          <w:rFonts w:eastAsiaTheme="minorEastAsia"/>
          <w:noProof/>
          <w:lang w:eastAsia="en-AU"/>
        </w:rPr>
      </w:pPr>
      <w:hyperlink w:anchor="_Toc49768871" w:history="1">
        <w:r w:rsidR="00B43988" w:rsidRPr="00000C96">
          <w:rPr>
            <w:rStyle w:val="Hyperlink"/>
            <w:noProof/>
          </w:rPr>
          <w:t>Workforce mix</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_Toc49768871 \h </w:instrText>
        </w:r>
        <w:r w:rsidR="00B43988" w:rsidRPr="00000C96">
          <w:rPr>
            <w:noProof/>
            <w:webHidden/>
          </w:rPr>
        </w:r>
        <w:r w:rsidR="00B43988" w:rsidRPr="00000C96">
          <w:rPr>
            <w:noProof/>
            <w:webHidden/>
          </w:rPr>
          <w:fldChar w:fldCharType="separate"/>
        </w:r>
        <w:r w:rsidR="00B43988" w:rsidRPr="00000C96">
          <w:rPr>
            <w:noProof/>
            <w:webHidden/>
          </w:rPr>
          <w:t>9</w:t>
        </w:r>
        <w:r w:rsidR="00B43988" w:rsidRPr="00000C96">
          <w:rPr>
            <w:noProof/>
            <w:webHidden/>
          </w:rPr>
          <w:fldChar w:fldCharType="end"/>
        </w:r>
      </w:hyperlink>
    </w:p>
    <w:p w14:paraId="5446985E" w14:textId="440913C0" w:rsidR="00B43988" w:rsidRPr="00000C96" w:rsidRDefault="00356C9D">
      <w:pPr>
        <w:pStyle w:val="TOC2"/>
        <w:tabs>
          <w:tab w:val="right" w:leader="dot" w:pos="9016"/>
        </w:tabs>
        <w:rPr>
          <w:rFonts w:eastAsiaTheme="minorEastAsia"/>
          <w:noProof/>
          <w:lang w:eastAsia="en-AU"/>
        </w:rPr>
      </w:pPr>
      <w:hyperlink w:anchor="_Toc49768872" w:history="1">
        <w:r w:rsidR="00B43988" w:rsidRPr="00000C96">
          <w:rPr>
            <w:rStyle w:val="Hyperlink"/>
            <w:noProof/>
          </w:rPr>
          <w:t>Utilisation</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_Toc49768872 \h </w:instrText>
        </w:r>
        <w:r w:rsidR="00B43988" w:rsidRPr="00000C96">
          <w:rPr>
            <w:noProof/>
            <w:webHidden/>
          </w:rPr>
        </w:r>
        <w:r w:rsidR="00B43988" w:rsidRPr="00000C96">
          <w:rPr>
            <w:noProof/>
            <w:webHidden/>
          </w:rPr>
          <w:fldChar w:fldCharType="separate"/>
        </w:r>
        <w:r w:rsidR="00B43988" w:rsidRPr="00000C96">
          <w:rPr>
            <w:noProof/>
            <w:webHidden/>
          </w:rPr>
          <w:t>10</w:t>
        </w:r>
        <w:r w:rsidR="00B43988" w:rsidRPr="00000C96">
          <w:rPr>
            <w:noProof/>
            <w:webHidden/>
          </w:rPr>
          <w:fldChar w:fldCharType="end"/>
        </w:r>
      </w:hyperlink>
    </w:p>
    <w:p w14:paraId="33502D15" w14:textId="1AD1B3BC" w:rsidR="00B43988" w:rsidRPr="00000C96" w:rsidRDefault="00356C9D">
      <w:pPr>
        <w:pStyle w:val="TOC2"/>
        <w:tabs>
          <w:tab w:val="right" w:leader="dot" w:pos="9016"/>
        </w:tabs>
        <w:rPr>
          <w:rFonts w:eastAsiaTheme="minorEastAsia"/>
          <w:noProof/>
          <w:lang w:eastAsia="en-AU"/>
        </w:rPr>
      </w:pPr>
      <w:hyperlink w:anchor="_Toc49768873" w:history="1">
        <w:r w:rsidR="00B43988" w:rsidRPr="00000C96">
          <w:rPr>
            <w:rStyle w:val="Hyperlink"/>
            <w:noProof/>
          </w:rPr>
          <w:t>Supervision cost</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_Toc49768873 \h </w:instrText>
        </w:r>
        <w:r w:rsidR="00B43988" w:rsidRPr="00000C96">
          <w:rPr>
            <w:noProof/>
            <w:webHidden/>
          </w:rPr>
        </w:r>
        <w:r w:rsidR="00B43988" w:rsidRPr="00000C96">
          <w:rPr>
            <w:noProof/>
            <w:webHidden/>
          </w:rPr>
          <w:fldChar w:fldCharType="separate"/>
        </w:r>
        <w:r w:rsidR="00B43988" w:rsidRPr="00000C96">
          <w:rPr>
            <w:noProof/>
            <w:webHidden/>
          </w:rPr>
          <w:t>10</w:t>
        </w:r>
        <w:r w:rsidR="00B43988" w:rsidRPr="00000C96">
          <w:rPr>
            <w:noProof/>
            <w:webHidden/>
          </w:rPr>
          <w:fldChar w:fldCharType="end"/>
        </w:r>
      </w:hyperlink>
    </w:p>
    <w:p w14:paraId="25DE5DCA" w14:textId="5087F8DC" w:rsidR="00B43988" w:rsidRPr="00000C96" w:rsidRDefault="00356C9D">
      <w:pPr>
        <w:pStyle w:val="TOC2"/>
        <w:tabs>
          <w:tab w:val="right" w:leader="dot" w:pos="9016"/>
        </w:tabs>
        <w:rPr>
          <w:rFonts w:eastAsiaTheme="minorEastAsia"/>
          <w:noProof/>
          <w:lang w:eastAsia="en-AU"/>
        </w:rPr>
      </w:pPr>
      <w:hyperlink w:anchor="_Toc49768874" w:history="1">
        <w:r w:rsidR="00B43988" w:rsidRPr="00000C96">
          <w:rPr>
            <w:rStyle w:val="Hyperlink"/>
            <w:noProof/>
          </w:rPr>
          <w:t>Overheads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_Toc49768874 \h </w:instrText>
        </w:r>
        <w:r w:rsidR="00B43988" w:rsidRPr="00000C96">
          <w:rPr>
            <w:noProof/>
            <w:webHidden/>
          </w:rPr>
        </w:r>
        <w:r w:rsidR="00B43988" w:rsidRPr="00000C96">
          <w:rPr>
            <w:noProof/>
            <w:webHidden/>
          </w:rPr>
          <w:fldChar w:fldCharType="separate"/>
        </w:r>
        <w:r w:rsidR="00B43988" w:rsidRPr="00000C96">
          <w:rPr>
            <w:noProof/>
            <w:webHidden/>
          </w:rPr>
          <w:t>11</w:t>
        </w:r>
        <w:r w:rsidR="00B43988" w:rsidRPr="00000C96">
          <w:rPr>
            <w:noProof/>
            <w:webHidden/>
          </w:rPr>
          <w:fldChar w:fldCharType="end"/>
        </w:r>
      </w:hyperlink>
    </w:p>
    <w:p w14:paraId="5EC0DC15" w14:textId="2D2A602B" w:rsidR="00B43988" w:rsidRPr="00000C96" w:rsidRDefault="00356C9D">
      <w:pPr>
        <w:pStyle w:val="TOC2"/>
        <w:tabs>
          <w:tab w:val="right" w:leader="dot" w:pos="9016"/>
        </w:tabs>
        <w:rPr>
          <w:rFonts w:eastAsiaTheme="minorEastAsia"/>
          <w:noProof/>
          <w:lang w:eastAsia="en-AU"/>
        </w:rPr>
      </w:pPr>
      <w:hyperlink w:anchor="_Toc49768875" w:history="1">
        <w:r w:rsidR="00B43988" w:rsidRPr="00000C96">
          <w:rPr>
            <w:rStyle w:val="Hyperlink"/>
            <w:noProof/>
          </w:rPr>
          <w:t>Supply costs specific to SIL services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_Toc49768875 \h </w:instrText>
        </w:r>
        <w:r w:rsidR="00B43988" w:rsidRPr="00000C96">
          <w:rPr>
            <w:noProof/>
            <w:webHidden/>
          </w:rPr>
        </w:r>
        <w:r w:rsidR="00B43988" w:rsidRPr="00000C96">
          <w:rPr>
            <w:noProof/>
            <w:webHidden/>
          </w:rPr>
          <w:fldChar w:fldCharType="separate"/>
        </w:r>
        <w:r w:rsidR="00B43988" w:rsidRPr="00000C96">
          <w:rPr>
            <w:noProof/>
            <w:webHidden/>
          </w:rPr>
          <w:t>11</w:t>
        </w:r>
        <w:r w:rsidR="00B43988" w:rsidRPr="00000C96">
          <w:rPr>
            <w:noProof/>
            <w:webHidden/>
          </w:rPr>
          <w:fldChar w:fldCharType="end"/>
        </w:r>
      </w:hyperlink>
    </w:p>
    <w:p w14:paraId="27C7F955" w14:textId="789AD134" w:rsidR="00B43988" w:rsidRPr="00000C96" w:rsidRDefault="00356C9D">
      <w:pPr>
        <w:pStyle w:val="TOC2"/>
        <w:tabs>
          <w:tab w:val="right" w:leader="dot" w:pos="9016"/>
        </w:tabs>
        <w:rPr>
          <w:rFonts w:eastAsiaTheme="minorEastAsia"/>
          <w:noProof/>
          <w:lang w:eastAsia="en-AU"/>
        </w:rPr>
      </w:pPr>
      <w:hyperlink w:anchor="_Toc49768876" w:history="1">
        <w:r w:rsidR="00B43988" w:rsidRPr="00000C96">
          <w:rPr>
            <w:rStyle w:val="Hyperlink"/>
            <w:noProof/>
          </w:rPr>
          <w:t>Other costs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_Toc49768876 \h </w:instrText>
        </w:r>
        <w:r w:rsidR="00B43988" w:rsidRPr="00000C96">
          <w:rPr>
            <w:noProof/>
            <w:webHidden/>
          </w:rPr>
        </w:r>
        <w:r w:rsidR="00B43988" w:rsidRPr="00000C96">
          <w:rPr>
            <w:noProof/>
            <w:webHidden/>
          </w:rPr>
          <w:fldChar w:fldCharType="separate"/>
        </w:r>
        <w:r w:rsidR="00B43988" w:rsidRPr="00000C96">
          <w:rPr>
            <w:noProof/>
            <w:webHidden/>
          </w:rPr>
          <w:t>13</w:t>
        </w:r>
        <w:r w:rsidR="00B43988" w:rsidRPr="00000C96">
          <w:rPr>
            <w:noProof/>
            <w:webHidden/>
          </w:rPr>
          <w:fldChar w:fldCharType="end"/>
        </w:r>
      </w:hyperlink>
    </w:p>
    <w:p w14:paraId="3DB4F457" w14:textId="4C6D637F" w:rsidR="00B43988" w:rsidRPr="00000C96" w:rsidRDefault="00356C9D">
      <w:pPr>
        <w:pStyle w:val="TOC1"/>
        <w:rPr>
          <w:rFonts w:eastAsiaTheme="minorEastAsia"/>
          <w:b w:val="0"/>
          <w:noProof/>
          <w:lang w:eastAsia="en-AU"/>
        </w:rPr>
      </w:pPr>
      <w:hyperlink w:anchor="_Toc49768877" w:history="1">
        <w:r w:rsidR="00B43988" w:rsidRPr="00000C96">
          <w:rPr>
            <w:rStyle w:val="Hyperlink"/>
            <w:noProof/>
          </w:rPr>
          <w:t>Appendix A: Schematic overview – NDIS Disability Support Worker Cost Model</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_Toc49768877 \h </w:instrText>
        </w:r>
        <w:r w:rsidR="00B43988" w:rsidRPr="00000C96">
          <w:rPr>
            <w:noProof/>
            <w:webHidden/>
          </w:rPr>
        </w:r>
        <w:r w:rsidR="00B43988" w:rsidRPr="00000C96">
          <w:rPr>
            <w:noProof/>
            <w:webHidden/>
          </w:rPr>
          <w:fldChar w:fldCharType="separate"/>
        </w:r>
        <w:r w:rsidR="00B43988" w:rsidRPr="00000C96">
          <w:rPr>
            <w:noProof/>
            <w:webHidden/>
          </w:rPr>
          <w:t>14</w:t>
        </w:r>
        <w:r w:rsidR="00B43988" w:rsidRPr="00000C96">
          <w:rPr>
            <w:noProof/>
            <w:webHidden/>
          </w:rPr>
          <w:fldChar w:fldCharType="end"/>
        </w:r>
      </w:hyperlink>
    </w:p>
    <w:p w14:paraId="620E8BDD" w14:textId="040EFD94" w:rsidR="00B43988" w:rsidRPr="00000C96" w:rsidRDefault="00356C9D">
      <w:pPr>
        <w:pStyle w:val="TOC1"/>
        <w:rPr>
          <w:rFonts w:eastAsiaTheme="minorEastAsia"/>
          <w:b w:val="0"/>
          <w:noProof/>
          <w:lang w:eastAsia="en-AU"/>
        </w:rPr>
      </w:pPr>
      <w:hyperlink w:anchor="_Toc49768878" w:history="1">
        <w:r w:rsidR="00B43988" w:rsidRPr="00000C96">
          <w:rPr>
            <w:rStyle w:val="Hyperlink"/>
            <w:noProof/>
          </w:rPr>
          <w:t>Appendix B: Current arrangements</w:t>
        </w:r>
        <w:r w:rsidR="00B43988" w:rsidRPr="00000C96">
          <w:rPr>
            <w:noProof/>
            <w:webHidden/>
          </w:rPr>
          <w:tab/>
        </w:r>
        <w:r w:rsidR="00B43988" w:rsidRPr="00000C96">
          <w:rPr>
            <w:noProof/>
            <w:webHidden/>
          </w:rPr>
          <w:fldChar w:fldCharType="begin"/>
        </w:r>
        <w:r w:rsidR="00B43988" w:rsidRPr="00000C96">
          <w:rPr>
            <w:noProof/>
            <w:webHidden/>
          </w:rPr>
          <w:instrText xml:space="preserve"> PAGEREF _Toc49768878 \h </w:instrText>
        </w:r>
        <w:r w:rsidR="00B43988" w:rsidRPr="00000C96">
          <w:rPr>
            <w:noProof/>
            <w:webHidden/>
          </w:rPr>
        </w:r>
        <w:r w:rsidR="00B43988" w:rsidRPr="00000C96">
          <w:rPr>
            <w:noProof/>
            <w:webHidden/>
          </w:rPr>
          <w:fldChar w:fldCharType="separate"/>
        </w:r>
        <w:r w:rsidR="00B43988" w:rsidRPr="00000C96">
          <w:rPr>
            <w:noProof/>
            <w:webHidden/>
          </w:rPr>
          <w:t>15</w:t>
        </w:r>
        <w:r w:rsidR="00B43988" w:rsidRPr="00000C96">
          <w:rPr>
            <w:noProof/>
            <w:webHidden/>
          </w:rPr>
          <w:fldChar w:fldCharType="end"/>
        </w:r>
      </w:hyperlink>
    </w:p>
    <w:p w14:paraId="00F8116F" w14:textId="1B3F339D" w:rsidR="00EE5246" w:rsidRPr="00000C96" w:rsidRDefault="0040062A" w:rsidP="001A3E36">
      <w:r w:rsidRPr="00000C96">
        <w:fldChar w:fldCharType="end"/>
      </w:r>
    </w:p>
    <w:p w14:paraId="47C19023" w14:textId="77777777" w:rsidR="00CD7CF3" w:rsidRPr="00000C96" w:rsidRDefault="00CD7CF3" w:rsidP="00742765">
      <w:pPr>
        <w:pStyle w:val="Heading1"/>
        <w:sectPr w:rsidR="00CD7CF3" w:rsidRPr="00000C96" w:rsidSect="00A54E47">
          <w:pgSz w:w="11906" w:h="16838" w:code="9"/>
          <w:pgMar w:top="1440" w:right="1440" w:bottom="1440" w:left="1440" w:header="709" w:footer="709" w:gutter="0"/>
          <w:cols w:space="708"/>
          <w:titlePg/>
          <w:docGrid w:linePitch="360"/>
        </w:sectPr>
      </w:pPr>
      <w:bookmarkStart w:id="0" w:name="_Toc2341423"/>
    </w:p>
    <w:p w14:paraId="67C36D20" w14:textId="77777777" w:rsidR="004D32B5" w:rsidRPr="00000C96" w:rsidRDefault="003F4435" w:rsidP="00742765">
      <w:pPr>
        <w:pStyle w:val="Heading1"/>
      </w:pPr>
      <w:bookmarkStart w:id="1" w:name="_Toc49768865"/>
      <w:r w:rsidRPr="00000C96">
        <w:lastRenderedPageBreak/>
        <w:t>Introduction</w:t>
      </w:r>
      <w:bookmarkEnd w:id="0"/>
      <w:bookmarkEnd w:id="1"/>
    </w:p>
    <w:p w14:paraId="4F3E44D5" w14:textId="77777777" w:rsidR="00F11E45" w:rsidRPr="00000C96" w:rsidRDefault="00F11E45" w:rsidP="00F11E45">
      <w:r w:rsidRPr="00000C96">
        <w:t xml:space="preserve">One of the principal objectives of the National Disability Insurance Scheme (NDIS) is for people with disability to exercise choice and control over how, and with which providers, they spend their available budgets. The role of pricing in the NDIS is therefore very important. Prices, or more precisely participants’ choices in response to the prices they face in the market, reflect the preferences and relative values that different participants place on different types of supports. The aggregation of these individual responses in turn signals to providers the quantity and mix of supports to supply. Prices also affect the purchasing power of participants. Higher prices reduce the supports participants can purchase within a given support budget. Prices also affect the total costs of the NDIS and therefore its financial sustainability, and the allocation of resources to the NDIS (and therefore possible production), relative to other sectors. Pricing can also affect providers’ choices, including by providing incentives: for entering the market; for upskilling and right-skilling; for innovation; and for improvements in service quality and outcomes. </w:t>
      </w:r>
    </w:p>
    <w:p w14:paraId="22E381E9" w14:textId="77777777" w:rsidR="00F11E45" w:rsidRPr="00000C96" w:rsidRDefault="00F11E45" w:rsidP="00F11E45">
      <w:r w:rsidRPr="00000C96">
        <w:t xml:space="preserve">As the markets for disability goods and services develop and operate more effectively, the National Disability Insurance Agency (NDIA), as market steward for the NDIS, will be </w:t>
      </w:r>
      <w:r w:rsidR="00D93866" w:rsidRPr="00000C96">
        <w:t xml:space="preserve">able to be </w:t>
      </w:r>
      <w:r w:rsidRPr="00000C96">
        <w:t>less interventional. Howe</w:t>
      </w:r>
      <w:bookmarkStart w:id="2" w:name="_GoBack"/>
      <w:bookmarkEnd w:id="2"/>
      <w:r w:rsidRPr="00000C96">
        <w:t>ver, deregulation will necessarily occur at different points in time for different markets and may not be feasible in some cases. Currently, the NDIA varies its approach to the regulation of prices between:</w:t>
      </w:r>
    </w:p>
    <w:p w14:paraId="0CFB9C04" w14:textId="77777777" w:rsidR="00F11E45" w:rsidRPr="00000C96" w:rsidRDefault="00F11E45" w:rsidP="00F11E45">
      <w:pPr>
        <w:pStyle w:val="DotPoint"/>
      </w:pPr>
      <w:r w:rsidRPr="00000C96">
        <w:t xml:space="preserve">No regulation (deregulated markets): this </w:t>
      </w:r>
      <w:r w:rsidR="00D93866" w:rsidRPr="00000C96">
        <w:t>applies</w:t>
      </w:r>
      <w:r w:rsidRPr="00000C96">
        <w:t xml:space="preserve"> in cases where markets are highly competitive – for example, transport.</w:t>
      </w:r>
    </w:p>
    <w:p w14:paraId="2B9D0D29" w14:textId="77777777" w:rsidR="00F11E45" w:rsidRPr="00000C96" w:rsidRDefault="00F11E45" w:rsidP="00F11E45">
      <w:pPr>
        <w:pStyle w:val="DotPoint"/>
      </w:pPr>
      <w:r w:rsidRPr="00000C96">
        <w:t xml:space="preserve">The imposition of price limits: these represent a maximum allowable price payable by participants for types of supports. This approach </w:t>
      </w:r>
      <w:r w:rsidR="00D93866" w:rsidRPr="00000C96">
        <w:t xml:space="preserve">applies </w:t>
      </w:r>
      <w:r w:rsidRPr="00000C96">
        <w:t>in a significant number of markets, which are still developing and growing, such as those for attendant care.</w:t>
      </w:r>
    </w:p>
    <w:p w14:paraId="430EB137" w14:textId="77777777" w:rsidR="00F11E45" w:rsidRPr="00000C96" w:rsidRDefault="00F11E45" w:rsidP="00F11E45">
      <w:pPr>
        <w:pStyle w:val="DotPoint"/>
      </w:pPr>
      <w:r w:rsidRPr="00000C96">
        <w:t xml:space="preserve">Quotable supports: in which participants are expected to obtain quotations from suppliers to provide to the NDIA as part of verifying that prices are fair and reasonable. This approach typically </w:t>
      </w:r>
      <w:r w:rsidR="00D93866" w:rsidRPr="00000C96">
        <w:t>applies</w:t>
      </w:r>
      <w:r w:rsidRPr="00000C96">
        <w:t xml:space="preserve"> in the case of highly specialised, differentiated supports that may not have a high level of competition – for example, assistive technology.</w:t>
      </w:r>
    </w:p>
    <w:p w14:paraId="25B16439" w14:textId="4C480076" w:rsidR="00D93866" w:rsidRPr="00000C96" w:rsidRDefault="00D93866" w:rsidP="00D93866">
      <w:r w:rsidRPr="00000C96">
        <w:t xml:space="preserve">The NDIS Disability Support Worker </w:t>
      </w:r>
      <w:r w:rsidR="00F658E4" w:rsidRPr="00000C96">
        <w:t xml:space="preserve">(DSW) </w:t>
      </w:r>
      <w:r w:rsidRPr="00000C96">
        <w:t>Cost Model is one methodology that the NDIA uses to inform its pricing decisions for those supports delivered by Disability Support Workers on which it imposes price limits. A copy of the NDI</w:t>
      </w:r>
      <w:r w:rsidR="00481620" w:rsidRPr="00000C96">
        <w:t>S DSW</w:t>
      </w:r>
      <w:r w:rsidRPr="00000C96">
        <w:t xml:space="preserve"> Cost Model is </w:t>
      </w:r>
      <w:hyperlink r:id="rId19" w:history="1">
        <w:r w:rsidR="00262406" w:rsidRPr="00000C96">
          <w:rPr>
            <w:rStyle w:val="Hyperlink"/>
          </w:rPr>
          <w:t>on the NDIS website</w:t>
        </w:r>
      </w:hyperlink>
      <w:r w:rsidR="00F12763" w:rsidRPr="00000C96">
        <w:t>. A schematic overview of the Model is at Appendix A.</w:t>
      </w:r>
    </w:p>
    <w:p w14:paraId="215E9EFF" w14:textId="0F3879F6" w:rsidR="007C5802" w:rsidRPr="00000C96" w:rsidRDefault="007C5802" w:rsidP="00F11E45">
      <w:r w:rsidRPr="00000C96">
        <w:t xml:space="preserve">On 1 July 2020, the NDIA replaced </w:t>
      </w:r>
      <w:r w:rsidR="00D93866" w:rsidRPr="00000C96">
        <w:t>the previous quotation</w:t>
      </w:r>
      <w:r w:rsidRPr="00000C96">
        <w:t xml:space="preserve"> </w:t>
      </w:r>
      <w:r w:rsidR="00D93866" w:rsidRPr="00000C96">
        <w:t xml:space="preserve">pricing arrangements for Supported Independent Living with </w:t>
      </w:r>
      <w:r w:rsidR="00481620" w:rsidRPr="00000C96">
        <w:t xml:space="preserve">price </w:t>
      </w:r>
      <w:r w:rsidR="0046780A" w:rsidRPr="00000C96">
        <w:t xml:space="preserve">limits </w:t>
      </w:r>
      <w:r w:rsidR="00481620" w:rsidRPr="00000C96">
        <w:t>based on ‘assistance with self-care’ supports</w:t>
      </w:r>
      <w:r w:rsidR="009960A3" w:rsidRPr="00000C96">
        <w:t xml:space="preserve">. These changes made for Supported Independent Living were designed to increase transparency and equity of how SIL supports are funded, as well as to simplify previously administratively complex processes. </w:t>
      </w:r>
    </w:p>
    <w:p w14:paraId="460670A2" w14:textId="071414A3" w:rsidR="00D93866" w:rsidRPr="00000C96" w:rsidRDefault="00D93866" w:rsidP="00F11E45">
      <w:r w:rsidRPr="00000C96">
        <w:t xml:space="preserve">The NDIA is committed to improving transparency and fairness in its processes and decision </w:t>
      </w:r>
      <w:r w:rsidR="00F12763" w:rsidRPr="00000C96">
        <w:t>-</w:t>
      </w:r>
      <w:r w:rsidRPr="00000C96">
        <w:t xml:space="preserve">making, and is conducting a review of the price controls for Supported Independent Living with the outcomes to come into effect </w:t>
      </w:r>
      <w:r w:rsidR="00000C96">
        <w:t>in a future NDIS Price Guide</w:t>
      </w:r>
      <w:r w:rsidRPr="00000C96">
        <w:t xml:space="preserve">. The Review is tasked with suggesting improvements to the structure of the NDIS Disability Support </w:t>
      </w:r>
      <w:r w:rsidR="00481620" w:rsidRPr="00000C96">
        <w:t xml:space="preserve">Worker </w:t>
      </w:r>
      <w:r w:rsidRPr="00000C96">
        <w:t>Cost Model, including:</w:t>
      </w:r>
    </w:p>
    <w:p w14:paraId="001BC215" w14:textId="1C4A295B" w:rsidR="00F12763" w:rsidRPr="00000C96" w:rsidRDefault="00D93866" w:rsidP="00D93866">
      <w:pPr>
        <w:pStyle w:val="ListParagraph"/>
        <w:numPr>
          <w:ilvl w:val="0"/>
          <w:numId w:val="23"/>
        </w:numPr>
      </w:pPr>
      <w:r w:rsidRPr="00000C96">
        <w:lastRenderedPageBreak/>
        <w:t xml:space="preserve">identifying </w:t>
      </w:r>
      <w:r w:rsidR="00F12763" w:rsidRPr="00000C96">
        <w:t>whether there are</w:t>
      </w:r>
      <w:r w:rsidRPr="00000C96">
        <w:t xml:space="preserve"> </w:t>
      </w:r>
      <w:r w:rsidR="00481620" w:rsidRPr="00000C96">
        <w:t xml:space="preserve">different </w:t>
      </w:r>
      <w:r w:rsidRPr="00000C96">
        <w:t xml:space="preserve">costs </w:t>
      </w:r>
      <w:r w:rsidR="00F12763" w:rsidRPr="00000C96">
        <w:t>that</w:t>
      </w:r>
      <w:r w:rsidRPr="00000C96">
        <w:t xml:space="preserve"> arise in </w:t>
      </w:r>
      <w:r w:rsidR="00F12763" w:rsidRPr="00000C96">
        <w:t xml:space="preserve">the delivery of </w:t>
      </w:r>
      <w:r w:rsidR="00FE166E" w:rsidRPr="00000C96">
        <w:t xml:space="preserve">attendant care </w:t>
      </w:r>
      <w:r w:rsidR="00F12763" w:rsidRPr="00000C96">
        <w:t>support</w:t>
      </w:r>
      <w:r w:rsidR="00481620" w:rsidRPr="00000C96">
        <w:t>s</w:t>
      </w:r>
      <w:r w:rsidR="00F12763" w:rsidRPr="00000C96">
        <w:t xml:space="preserve"> in </w:t>
      </w:r>
      <w:r w:rsidR="00481620" w:rsidRPr="00000C96">
        <w:t>a shared living arrangement</w:t>
      </w:r>
      <w:r w:rsidRPr="00000C96">
        <w:t xml:space="preserve"> that do not arise in other settings</w:t>
      </w:r>
      <w:r w:rsidR="00F12763" w:rsidRPr="00000C96">
        <w:t>;</w:t>
      </w:r>
      <w:r w:rsidRPr="00000C96">
        <w:t xml:space="preserve"> and</w:t>
      </w:r>
    </w:p>
    <w:p w14:paraId="43F16131" w14:textId="59502F0A" w:rsidR="007C5802" w:rsidRPr="00000C96" w:rsidRDefault="00D93866" w:rsidP="00D93866">
      <w:pPr>
        <w:pStyle w:val="ListParagraph"/>
        <w:numPr>
          <w:ilvl w:val="0"/>
          <w:numId w:val="23"/>
        </w:numPr>
      </w:pPr>
      <w:proofErr w:type="gramStart"/>
      <w:r w:rsidRPr="00000C96">
        <w:t>quantifying</w:t>
      </w:r>
      <w:proofErr w:type="gramEnd"/>
      <w:r w:rsidRPr="00000C96">
        <w:t xml:space="preserve"> any differences that may be required in the key parameters of the NDIS Disability Support </w:t>
      </w:r>
      <w:r w:rsidR="00481620" w:rsidRPr="00000C96">
        <w:t xml:space="preserve">Worker </w:t>
      </w:r>
      <w:r w:rsidRPr="00000C96">
        <w:t xml:space="preserve">Cost Model for </w:t>
      </w:r>
      <w:r w:rsidR="00481620" w:rsidRPr="00000C96">
        <w:t xml:space="preserve">attendant care </w:t>
      </w:r>
      <w:r w:rsidR="00FE166E" w:rsidRPr="00000C96">
        <w:t xml:space="preserve">supports </w:t>
      </w:r>
      <w:r w:rsidR="00481620" w:rsidRPr="00000C96">
        <w:t>in sharing living arrangements</w:t>
      </w:r>
      <w:r w:rsidR="00F12763" w:rsidRPr="00000C96">
        <w:t xml:space="preserve">, given the different cost structures </w:t>
      </w:r>
      <w:r w:rsidRPr="00000C96">
        <w:t>of deliver</w:t>
      </w:r>
      <w:r w:rsidR="00F12763" w:rsidRPr="00000C96">
        <w:t>ing</w:t>
      </w:r>
      <w:r w:rsidRPr="00000C96">
        <w:t xml:space="preserve"> supports </w:t>
      </w:r>
      <w:r w:rsidR="00481620" w:rsidRPr="00000C96">
        <w:t xml:space="preserve">in shared living arrangements compared to other </w:t>
      </w:r>
      <w:r w:rsidR="00000C96" w:rsidRPr="00000C96">
        <w:t>settings</w:t>
      </w:r>
      <w:r w:rsidR="00000C96" w:rsidRPr="00000C96" w:rsidDel="00481620">
        <w:t>.</w:t>
      </w:r>
    </w:p>
    <w:p w14:paraId="1E2A6C2C" w14:textId="54B515F9" w:rsidR="00DB7443" w:rsidRPr="00000C96" w:rsidRDefault="00F12763" w:rsidP="00DB7443">
      <w:r w:rsidRPr="00000C96">
        <w:t xml:space="preserve">The </w:t>
      </w:r>
      <w:r w:rsidR="00DB7443" w:rsidRPr="00000C96">
        <w:t xml:space="preserve">NDIA is seeking </w:t>
      </w:r>
      <w:r w:rsidRPr="00000C96">
        <w:t>input</w:t>
      </w:r>
      <w:r w:rsidR="00827028" w:rsidRPr="00000C96">
        <w:t xml:space="preserve"> from the sector and interested parties</w:t>
      </w:r>
      <w:r w:rsidR="0097189F" w:rsidRPr="00000C96">
        <w:t xml:space="preserve"> to </w:t>
      </w:r>
      <w:r w:rsidRPr="00000C96">
        <w:t xml:space="preserve">this Review to </w:t>
      </w:r>
      <w:r w:rsidR="0097189F" w:rsidRPr="00000C96">
        <w:t xml:space="preserve">inform </w:t>
      </w:r>
      <w:r w:rsidR="00DB00D5" w:rsidRPr="00000C96">
        <w:t>the cost parameters required to e</w:t>
      </w:r>
      <w:r w:rsidR="00E72E0F" w:rsidRPr="00000C96">
        <w:t xml:space="preserve">stimate the fully loaded cost </w:t>
      </w:r>
      <w:r w:rsidR="00DB7443" w:rsidRPr="00000C96">
        <w:t xml:space="preserve">of </w:t>
      </w:r>
      <w:r w:rsidR="00827028" w:rsidRPr="00000C96">
        <w:t xml:space="preserve">delivering </w:t>
      </w:r>
      <w:r w:rsidR="00DB7443" w:rsidRPr="00000C96">
        <w:t xml:space="preserve">an hour of </w:t>
      </w:r>
      <w:r w:rsidR="00827028" w:rsidRPr="00000C96">
        <w:t>SIL supports</w:t>
      </w:r>
      <w:r w:rsidR="00DB7443" w:rsidRPr="00000C96">
        <w:t xml:space="preserve"> in a</w:t>
      </w:r>
      <w:r w:rsidR="00481620" w:rsidRPr="00000C96">
        <w:t xml:space="preserve"> shared</w:t>
      </w:r>
      <w:r w:rsidR="00DB7443" w:rsidRPr="00000C96">
        <w:t xml:space="preserve"> living arrangement. </w:t>
      </w:r>
    </w:p>
    <w:p w14:paraId="5C848DE7" w14:textId="0DDC5460" w:rsidR="00C637C6" w:rsidRPr="00000C96" w:rsidRDefault="00C637C6" w:rsidP="00DB7443">
      <w:r w:rsidRPr="00000C96">
        <w:t xml:space="preserve">This review of prices for SIL supports </w:t>
      </w:r>
      <w:r w:rsidRPr="00000C96">
        <w:rPr>
          <w:b/>
        </w:rPr>
        <w:t>is not about reducing funding for reasonable and necessary SIL supports</w:t>
      </w:r>
      <w:r w:rsidR="00D81998" w:rsidRPr="00000C96">
        <w:t xml:space="preserve">. Neither is it about the volume of supports that participants </w:t>
      </w:r>
      <w:r w:rsidR="003C6FA3" w:rsidRPr="00000C96">
        <w:t>receive</w:t>
      </w:r>
      <w:r w:rsidR="00D81998" w:rsidRPr="00000C96">
        <w:t xml:space="preserve">. </w:t>
      </w:r>
      <w:r w:rsidR="003C6FA3" w:rsidRPr="00000C96">
        <w:t>The purpose of this review</w:t>
      </w:r>
      <w:r w:rsidRPr="00000C96">
        <w:t xml:space="preserve"> is simply to seek your feedback on whether </w:t>
      </w:r>
      <w:r w:rsidR="00D81998" w:rsidRPr="00000C96">
        <w:t xml:space="preserve">the </w:t>
      </w:r>
      <w:r w:rsidRPr="00000C96">
        <w:t xml:space="preserve">current </w:t>
      </w:r>
      <w:r w:rsidR="00FE166E" w:rsidRPr="00000C96">
        <w:t xml:space="preserve">price limits </w:t>
      </w:r>
      <w:r w:rsidR="003C6FA3" w:rsidRPr="00000C96">
        <w:t xml:space="preserve">per hour of SIL </w:t>
      </w:r>
      <w:r w:rsidR="00D81998" w:rsidRPr="00000C96">
        <w:t xml:space="preserve">support </w:t>
      </w:r>
      <w:r w:rsidR="003C6FA3" w:rsidRPr="00000C96">
        <w:t xml:space="preserve">delivered </w:t>
      </w:r>
      <w:r w:rsidRPr="00000C96">
        <w:t xml:space="preserve">are appropriate.  </w:t>
      </w:r>
    </w:p>
    <w:p w14:paraId="1D2A153C" w14:textId="5527571C" w:rsidR="00C637C6" w:rsidRPr="00000C96" w:rsidRDefault="00C637C6">
      <w:r w:rsidRPr="00000C96">
        <w:t>This review is also only a small component of a</w:t>
      </w:r>
      <w:r w:rsidR="003C6FA3" w:rsidRPr="00000C96">
        <w:t xml:space="preserve"> much</w:t>
      </w:r>
      <w:r w:rsidRPr="00000C96">
        <w:t xml:space="preserve"> larger</w:t>
      </w:r>
      <w:r w:rsidR="00D81998" w:rsidRPr="00000C96">
        <w:t xml:space="preserve"> ongoing</w:t>
      </w:r>
      <w:r w:rsidRPr="00000C96">
        <w:t xml:space="preserve"> </w:t>
      </w:r>
      <w:r w:rsidR="006237D7" w:rsidRPr="00000C96">
        <w:t xml:space="preserve">program to make improvements to the way participants </w:t>
      </w:r>
      <w:r w:rsidR="00FE166E" w:rsidRPr="00000C96">
        <w:t xml:space="preserve">receiving supports </w:t>
      </w:r>
      <w:r w:rsidR="006237D7" w:rsidRPr="00000C96">
        <w:t xml:space="preserve">in </w:t>
      </w:r>
      <w:r w:rsidR="00FE166E" w:rsidRPr="00000C96">
        <w:t>shared living arrangements</w:t>
      </w:r>
      <w:r w:rsidR="006237D7" w:rsidRPr="00000C96">
        <w:t xml:space="preserve"> are supported. The wider improvements to SIL will seek to improve participant choice and control, simplify NDIA processes, and address pressures to Scheme sustainability. Improvements will be made through a series of changes, and will undertake a series of consultations with participants, providers and the wider sector as these changes are considered.</w:t>
      </w:r>
    </w:p>
    <w:p w14:paraId="727D7257" w14:textId="77777777" w:rsidR="008035D9" w:rsidRPr="00000C96" w:rsidRDefault="008035D9" w:rsidP="008035D9">
      <w:pPr>
        <w:pStyle w:val="Heading2"/>
      </w:pPr>
      <w:bookmarkStart w:id="3" w:name="_Toc49768866"/>
      <w:r w:rsidRPr="00000C96">
        <w:t>Definitions</w:t>
      </w:r>
      <w:bookmarkEnd w:id="3"/>
    </w:p>
    <w:p w14:paraId="519861C0" w14:textId="3552E89D" w:rsidR="008035D9" w:rsidRPr="00000C96" w:rsidRDefault="008035D9" w:rsidP="00DB7443">
      <w:r w:rsidRPr="00000C96">
        <w:t xml:space="preserve">The Price Guide defines SIL as follows: </w:t>
      </w:r>
    </w:p>
    <w:p w14:paraId="5DEADD30" w14:textId="77777777" w:rsidR="008035D9" w:rsidRPr="00000C96" w:rsidRDefault="008035D9" w:rsidP="00517471">
      <w:pPr>
        <w:pStyle w:val="Quote"/>
      </w:pPr>
      <w:r w:rsidRPr="00000C96">
        <w:t>“These support items provide assistance with, or supervision of, tasks of daily life in a shared living environment, with a focus on developing the skills of each individual to live as autonomously as possible. The support is provided to each person living in the shared arrangement in accordance with their need. Support Independent Living does not include rent, board and lodging or other day-to-day usual living expenses such as food and activities. It also does not include the capital costs associated with a participant’s accommodation.”</w:t>
      </w:r>
    </w:p>
    <w:p w14:paraId="42DF3290" w14:textId="5276A68D" w:rsidR="00FE166E" w:rsidRPr="00000C96" w:rsidRDefault="008035D9">
      <w:r w:rsidRPr="00000C96">
        <w:t xml:space="preserve">SIL is similar to attendant care in many ways, the </w:t>
      </w:r>
      <w:r w:rsidR="00C637C6" w:rsidRPr="00000C96">
        <w:t>main differences being that SIL is intended for participants who requi</w:t>
      </w:r>
      <w:r w:rsidR="00D81998" w:rsidRPr="00000C96">
        <w:t>re 24/7 care and</w:t>
      </w:r>
      <w:r w:rsidR="00C637C6" w:rsidRPr="00000C96">
        <w:t xml:space="preserve"> live in shared living arrangements</w:t>
      </w:r>
      <w:r w:rsidR="00A51E15" w:rsidRPr="00000C96">
        <w:t xml:space="preserve"> with other NDIS participants</w:t>
      </w:r>
      <w:r w:rsidR="00C637C6" w:rsidRPr="00000C96">
        <w:t xml:space="preserve">.  </w:t>
      </w:r>
      <w:r w:rsidR="00A913B0" w:rsidRPr="00000C96">
        <w:t>(There is a small amount of SIL provided outside of group houses, as a legacy of previous state schemes.)</w:t>
      </w:r>
    </w:p>
    <w:p w14:paraId="16345D7F" w14:textId="5583F873" w:rsidR="008035D9" w:rsidRPr="00000C96" w:rsidRDefault="00C637C6">
      <w:r w:rsidRPr="00000C96">
        <w:t xml:space="preserve">Before July 2020, a SIL quote would cover a whole year, whereas attendant care is charged by the hour when it was delivered. </w:t>
      </w:r>
    </w:p>
    <w:p w14:paraId="52AA5421" w14:textId="6A5F01FF" w:rsidR="00FE166E" w:rsidRPr="00000C96" w:rsidRDefault="00FE166E">
      <w:r w:rsidRPr="00000C96">
        <w:t xml:space="preserve">The NDIS Price Guide can be found at: </w:t>
      </w:r>
      <w:hyperlink r:id="rId20" w:anchor="ndis-price-guide-2020-21-effective-1-july-2020" w:history="1">
        <w:r w:rsidR="00262406" w:rsidRPr="00000C96">
          <w:rPr>
            <w:rStyle w:val="Hyperlink"/>
          </w:rPr>
          <w:t>on the NDIS Price Guides and Pricing webpage.</w:t>
        </w:r>
      </w:hyperlink>
    </w:p>
    <w:p w14:paraId="71F3898E" w14:textId="77777777" w:rsidR="00F12763" w:rsidRPr="00000C96" w:rsidRDefault="00F12763" w:rsidP="00F12763">
      <w:pPr>
        <w:pStyle w:val="Heading2"/>
      </w:pPr>
      <w:bookmarkStart w:id="4" w:name="_Toc49768867"/>
      <w:r w:rsidRPr="00000C96">
        <w:t>Responding to the Review</w:t>
      </w:r>
      <w:bookmarkEnd w:id="4"/>
    </w:p>
    <w:p w14:paraId="26F1042C" w14:textId="77777777" w:rsidR="00D41D4B" w:rsidRPr="00000C96" w:rsidRDefault="00C03FBA" w:rsidP="00C03FBA">
      <w:r w:rsidRPr="00000C96">
        <w:t xml:space="preserve">The </w:t>
      </w:r>
      <w:r w:rsidR="00827028" w:rsidRPr="00000C96">
        <w:t xml:space="preserve">NDIS </w:t>
      </w:r>
      <w:r w:rsidR="00A0008A" w:rsidRPr="00000C96">
        <w:t>Disability Support Worker</w:t>
      </w:r>
      <w:r w:rsidR="00827028" w:rsidRPr="00000C96">
        <w:t xml:space="preserve"> </w:t>
      </w:r>
      <w:r w:rsidRPr="00000C96">
        <w:t xml:space="preserve">Cost Model estimates the </w:t>
      </w:r>
      <w:r w:rsidR="00A0008A" w:rsidRPr="00000C96">
        <w:t xml:space="preserve">efficient </w:t>
      </w:r>
      <w:r w:rsidRPr="00000C96">
        <w:t xml:space="preserve">cost of delivering a billable hour of support taking into account all of the costs associated with every billable hour, including: base pay; shift loadings; </w:t>
      </w:r>
      <w:r w:rsidR="00827028" w:rsidRPr="00000C96">
        <w:t>leave</w:t>
      </w:r>
      <w:r w:rsidRPr="00000C96">
        <w:t xml:space="preserve"> pay; salary on costs; supervision costs; </w:t>
      </w:r>
      <w:r w:rsidRPr="00000C96">
        <w:lastRenderedPageBreak/>
        <w:t xml:space="preserve">utilisation (non-billable activities); employee allowances; corporate overheads and margin. These estimates are the basis of the price limits set by the NDIA for supports delivered by </w:t>
      </w:r>
      <w:r w:rsidR="00A0008A" w:rsidRPr="00000C96">
        <w:t>Disability Support Worker</w:t>
      </w:r>
      <w:r w:rsidRPr="00000C96">
        <w:t xml:space="preserve">s. </w:t>
      </w:r>
    </w:p>
    <w:p w14:paraId="0739E1EE" w14:textId="77777777" w:rsidR="00D41D4B" w:rsidRPr="00000C96" w:rsidRDefault="00D41D4B" w:rsidP="00C03FBA">
      <w:r w:rsidRPr="00000C96">
        <w:t>I</w:t>
      </w:r>
      <w:r w:rsidR="00C03FBA" w:rsidRPr="00000C96">
        <w:t xml:space="preserve">n adapting the </w:t>
      </w:r>
      <w:r w:rsidR="00742765" w:rsidRPr="00000C96">
        <w:t xml:space="preserve">NDIS Disability Support Worker </w:t>
      </w:r>
      <w:r w:rsidR="00C03FBA" w:rsidRPr="00000C96">
        <w:t xml:space="preserve">Cost Model to set price limits for SIL services, there are a number of aspects of the Cost Model </w:t>
      </w:r>
      <w:r w:rsidR="00A0008A" w:rsidRPr="00000C96">
        <w:t>that</w:t>
      </w:r>
      <w:r w:rsidR="00C03FBA" w:rsidRPr="00000C96">
        <w:t xml:space="preserve"> may need to be adapted or refine</w:t>
      </w:r>
      <w:r w:rsidRPr="00000C96">
        <w:t>d</w:t>
      </w:r>
      <w:r w:rsidR="00C03FBA" w:rsidRPr="00000C96">
        <w:t xml:space="preserve">. The following sections </w:t>
      </w:r>
      <w:r w:rsidR="00547923" w:rsidRPr="00000C96">
        <w:t>outline the</w:t>
      </w:r>
      <w:r w:rsidR="000B1785" w:rsidRPr="00000C96">
        <w:t xml:space="preserve"> key</w:t>
      </w:r>
      <w:r w:rsidR="00C03FBA" w:rsidRPr="00000C96">
        <w:t xml:space="preserve"> </w:t>
      </w:r>
      <w:r w:rsidR="000010BA" w:rsidRPr="00000C96">
        <w:t>areas and</w:t>
      </w:r>
      <w:r w:rsidR="00C03FBA" w:rsidRPr="00000C96">
        <w:t xml:space="preserve"> invite feedback from providers </w:t>
      </w:r>
      <w:r w:rsidRPr="00000C96">
        <w:t>on a range of targeted questions</w:t>
      </w:r>
      <w:r w:rsidR="00C03FBA" w:rsidRPr="00000C96">
        <w:t xml:space="preserve">. </w:t>
      </w:r>
      <w:r w:rsidRPr="00000C96">
        <w:t xml:space="preserve">Some of these areas relate to differential supply costs for delivering </w:t>
      </w:r>
      <w:r w:rsidR="00DE5528" w:rsidRPr="00000C96">
        <w:t>non-SIL</w:t>
      </w:r>
      <w:r w:rsidRPr="00000C96">
        <w:t xml:space="preserve"> compared to SIL services, while other areas relate to cost drivers </w:t>
      </w:r>
      <w:r w:rsidR="00A0008A" w:rsidRPr="00000C96">
        <w:t>that</w:t>
      </w:r>
      <w:r w:rsidRPr="00000C96">
        <w:t xml:space="preserve"> are unique to providing SIL service</w:t>
      </w:r>
      <w:r w:rsidR="00742765" w:rsidRPr="00000C96">
        <w:t>s.</w:t>
      </w:r>
    </w:p>
    <w:p w14:paraId="529D280C" w14:textId="77777777" w:rsidR="003558C7" w:rsidRPr="00000C96" w:rsidRDefault="00C03FBA" w:rsidP="003558C7">
      <w:r w:rsidRPr="00000C96">
        <w:t xml:space="preserve">Providers are </w:t>
      </w:r>
      <w:r w:rsidR="000B1785" w:rsidRPr="00000C96">
        <w:t xml:space="preserve">also </w:t>
      </w:r>
      <w:r w:rsidRPr="00000C96">
        <w:t xml:space="preserve">welcome to provide feedback on any other issues that </w:t>
      </w:r>
      <w:r w:rsidR="000B1785" w:rsidRPr="00000C96">
        <w:t xml:space="preserve">they consider </w:t>
      </w:r>
      <w:r w:rsidRPr="00000C96">
        <w:t>relevant to this review.</w:t>
      </w:r>
      <w:r w:rsidR="00A41562" w:rsidRPr="00000C96">
        <w:t xml:space="preserve"> </w:t>
      </w:r>
      <w:r w:rsidR="003558C7" w:rsidRPr="00000C96">
        <w:t>Providers are encouraged to refer to</w:t>
      </w:r>
      <w:r w:rsidR="00FF54D1" w:rsidRPr="00000C96">
        <w:t xml:space="preserve"> or send in</w:t>
      </w:r>
      <w:r w:rsidR="003558C7" w:rsidRPr="00000C96">
        <w:t xml:space="preserve"> data and/or evidence to support statements </w:t>
      </w:r>
      <w:r w:rsidR="00742765" w:rsidRPr="00000C96">
        <w:t>that</w:t>
      </w:r>
      <w:r w:rsidR="003558C7" w:rsidRPr="00000C96">
        <w:t xml:space="preserve"> are made in responding to each</w:t>
      </w:r>
      <w:r w:rsidR="00191C75" w:rsidRPr="00000C96">
        <w:t>/</w:t>
      </w:r>
      <w:r w:rsidR="00FF54D1" w:rsidRPr="00000C96">
        <w:t>any</w:t>
      </w:r>
      <w:r w:rsidR="003558C7" w:rsidRPr="00000C96">
        <w:t xml:space="preserve"> of the questions. </w:t>
      </w:r>
      <w:r w:rsidR="00FF54D1" w:rsidRPr="00000C96">
        <w:t xml:space="preserve">This includes any applicable cost models for relevant SIL services. </w:t>
      </w:r>
      <w:r w:rsidR="003558C7" w:rsidRPr="00000C96">
        <w:t>Information marked as commercial</w:t>
      </w:r>
      <w:r w:rsidR="003558C7" w:rsidRPr="00000C96">
        <w:noBreakHyphen/>
        <w:t>in</w:t>
      </w:r>
      <w:r w:rsidR="003558C7" w:rsidRPr="00000C96">
        <w:noBreakHyphen/>
        <w:t>confidence will not be published.</w:t>
      </w:r>
    </w:p>
    <w:p w14:paraId="72164439" w14:textId="6131AB16" w:rsidR="00F12763" w:rsidRPr="00000C96" w:rsidRDefault="00F12763" w:rsidP="00F12763">
      <w:r w:rsidRPr="00000C96">
        <w:t xml:space="preserve">Submissions can be lodged by email to: </w:t>
      </w:r>
      <w:hyperlink r:id="rId21" w:history="1">
        <w:r w:rsidRPr="00000C96">
          <w:rPr>
            <w:rStyle w:val="Hyperlink"/>
          </w:rPr>
          <w:t>Pricing@ndis.gov.au</w:t>
        </w:r>
      </w:hyperlink>
      <w:r w:rsidRPr="00000C96">
        <w:t xml:space="preserve"> . Submissions must be lodged by Sunday, </w:t>
      </w:r>
      <w:r w:rsidR="00632270" w:rsidRPr="00000C96">
        <w:t>25 October</w:t>
      </w:r>
      <w:r w:rsidRPr="00000C96">
        <w:t xml:space="preserve"> 2020, 11:59pm AWST.</w:t>
      </w:r>
    </w:p>
    <w:p w14:paraId="5B44462D" w14:textId="77777777" w:rsidR="00F12763" w:rsidRPr="00000C96" w:rsidRDefault="00F12763" w:rsidP="00F12763">
      <w:pPr>
        <w:pStyle w:val="Heading3"/>
      </w:pPr>
      <w:r w:rsidRPr="00000C96">
        <w:t>Confidential submissions</w:t>
      </w:r>
    </w:p>
    <w:p w14:paraId="654515C5" w14:textId="77777777" w:rsidR="00F12763" w:rsidRPr="00000C96" w:rsidRDefault="00F12763" w:rsidP="003558C7">
      <w:r w:rsidRPr="00000C96">
        <w:t>Submissions to the Agency that are marked as commercial</w:t>
      </w:r>
      <w:r w:rsidRPr="00000C96">
        <w:noBreakHyphen/>
        <w:t>in</w:t>
      </w:r>
      <w:r w:rsidRPr="00000C96">
        <w:noBreakHyphen/>
        <w:t>confidence will not be published.</w:t>
      </w:r>
    </w:p>
    <w:p w14:paraId="26611636" w14:textId="77777777" w:rsidR="003558C7" w:rsidRPr="00000C96" w:rsidRDefault="00191C75" w:rsidP="003558C7">
      <w:r w:rsidRPr="00000C96">
        <w:t xml:space="preserve">The </w:t>
      </w:r>
      <w:r w:rsidR="00F12763" w:rsidRPr="00000C96">
        <w:t xml:space="preserve">NDIA </w:t>
      </w:r>
      <w:r w:rsidRPr="00000C96">
        <w:t xml:space="preserve">has engaged </w:t>
      </w:r>
      <w:r w:rsidR="003558C7" w:rsidRPr="00000C96">
        <w:t xml:space="preserve">Deloitte Access Economics to assist </w:t>
      </w:r>
      <w:r w:rsidRPr="00000C96">
        <w:t xml:space="preserve">the Agency </w:t>
      </w:r>
      <w:r w:rsidR="003558C7" w:rsidRPr="00000C96">
        <w:t xml:space="preserve">in undertaking this review. If preferred, </w:t>
      </w:r>
      <w:r w:rsidRPr="00000C96">
        <w:t>respondents</w:t>
      </w:r>
      <w:r w:rsidR="003558C7" w:rsidRPr="00000C96">
        <w:t xml:space="preserve"> may give </w:t>
      </w:r>
      <w:r w:rsidRPr="00000C96">
        <w:t>confidential information</w:t>
      </w:r>
      <w:r w:rsidR="00ED4E08" w:rsidRPr="00000C96">
        <w:t>, including commercial-in-confidence data/information,</w:t>
      </w:r>
      <w:r w:rsidRPr="00000C96">
        <w:t xml:space="preserve"> directly to the team from Deloitte Access Economics </w:t>
      </w:r>
      <w:r w:rsidR="003558C7" w:rsidRPr="00000C96">
        <w:t xml:space="preserve">at </w:t>
      </w:r>
      <w:hyperlink r:id="rId22" w:history="1">
        <w:r w:rsidR="00EA5A63" w:rsidRPr="00000C96">
          <w:rPr>
            <w:rStyle w:val="Hyperlink"/>
          </w:rPr>
          <w:t>SILpricingreview@deloitte.com.au</w:t>
        </w:r>
      </w:hyperlink>
      <w:r w:rsidR="003558C7" w:rsidRPr="00000C96">
        <w:t>. This information will not be provided to the NDIA</w:t>
      </w:r>
      <w:r w:rsidR="00FF54D1" w:rsidRPr="00000C96">
        <w:t xml:space="preserve"> unless </w:t>
      </w:r>
      <w:r w:rsidR="001B65A2" w:rsidRPr="00000C96">
        <w:t>the submitter gives their consent</w:t>
      </w:r>
      <w:r w:rsidR="003558C7" w:rsidRPr="00000C96">
        <w:t xml:space="preserve">, and any reference to this information </w:t>
      </w:r>
      <w:r w:rsidR="001B65A2" w:rsidRPr="00000C96">
        <w:t>by Deloitte in their reports to the Agency will</w:t>
      </w:r>
      <w:r w:rsidR="00ED4E08" w:rsidRPr="00000C96">
        <w:t xml:space="preserve"> </w:t>
      </w:r>
      <w:r w:rsidR="003558C7" w:rsidRPr="00000C96">
        <w:t>maintain the anonymity of the source.</w:t>
      </w:r>
    </w:p>
    <w:p w14:paraId="759DE1D1" w14:textId="77777777" w:rsidR="00F11E45" w:rsidRPr="00000C96" w:rsidRDefault="00F11E45" w:rsidP="003558C7"/>
    <w:p w14:paraId="44ED04B7" w14:textId="77777777" w:rsidR="00F11E45" w:rsidRPr="00000C96" w:rsidRDefault="00F11E45" w:rsidP="003558C7">
      <w:pPr>
        <w:sectPr w:rsidR="00F11E45" w:rsidRPr="00000C96" w:rsidSect="00DC0A5C">
          <w:pgSz w:w="11906" w:h="16838" w:code="9"/>
          <w:pgMar w:top="1440" w:right="1440" w:bottom="1440" w:left="1440" w:header="709" w:footer="709" w:gutter="0"/>
          <w:cols w:space="708"/>
          <w:titlePg/>
          <w:docGrid w:linePitch="360"/>
        </w:sectPr>
      </w:pPr>
    </w:p>
    <w:p w14:paraId="53DAA8A3" w14:textId="77777777" w:rsidR="009213F2" w:rsidRPr="00000C96" w:rsidRDefault="009213F2" w:rsidP="00F11E45">
      <w:pPr>
        <w:pStyle w:val="Heading1"/>
      </w:pPr>
      <w:bookmarkStart w:id="5" w:name="_Toc49768868"/>
      <w:r w:rsidRPr="00000C96">
        <w:lastRenderedPageBreak/>
        <w:t>Issues for Participants</w:t>
      </w:r>
      <w:bookmarkEnd w:id="5"/>
    </w:p>
    <w:p w14:paraId="06844BFC" w14:textId="77777777" w:rsidR="008A6868" w:rsidRPr="00000C96" w:rsidRDefault="009213F2" w:rsidP="009213F2">
      <w:r w:rsidRPr="00000C96">
        <w:t>Under the quotable support arrangements for Supported Independent Living that were in place before</w:t>
      </w:r>
      <w:r w:rsidR="006237D7" w:rsidRPr="00000C96">
        <w:t xml:space="preserve"> </w:t>
      </w:r>
      <w:r w:rsidRPr="00000C96">
        <w:t xml:space="preserve">1 July 2020, participants did not </w:t>
      </w:r>
      <w:r w:rsidR="00927E69" w:rsidRPr="00000C96">
        <w:t xml:space="preserve">always </w:t>
      </w:r>
      <w:r w:rsidRPr="00000C96">
        <w:t>have a high degree</w:t>
      </w:r>
      <w:r w:rsidR="008A6868" w:rsidRPr="00000C96">
        <w:t xml:space="preserve"> of control over the services offered by the</w:t>
      </w:r>
      <w:r w:rsidRPr="00000C96">
        <w:t xml:space="preserve"> group house </w:t>
      </w:r>
      <w:r w:rsidR="008A6868" w:rsidRPr="00000C96">
        <w:t>in which they lived</w:t>
      </w:r>
      <w:r w:rsidRPr="00000C96">
        <w:t>.</w:t>
      </w:r>
    </w:p>
    <w:p w14:paraId="1C63C310" w14:textId="1F56E3A2" w:rsidR="009213F2" w:rsidRPr="00000C96" w:rsidRDefault="009213F2">
      <w:r w:rsidRPr="00000C96">
        <w:t>The Agency wants to empower participants to have more involvement in selecting their reasonable and necessary</w:t>
      </w:r>
      <w:r w:rsidR="00FE166E" w:rsidRPr="00000C96">
        <w:t xml:space="preserve"> supports and who supports them to undertake daily activities in their home</w:t>
      </w:r>
      <w:r w:rsidRPr="00000C96">
        <w:t xml:space="preserve">. We also want to simplify </w:t>
      </w:r>
      <w:r w:rsidR="008A6868" w:rsidRPr="00000C96">
        <w:t>the process for providers. The</w:t>
      </w:r>
      <w:r w:rsidRPr="00000C96">
        <w:t xml:space="preserve"> changes </w:t>
      </w:r>
      <w:r w:rsidR="008A6868" w:rsidRPr="00000C96">
        <w:t xml:space="preserve">that were made to the pricing arrangements on 1 July 2020 for Supported Independent Living </w:t>
      </w:r>
      <w:r w:rsidR="0021039B" w:rsidRPr="00000C96">
        <w:t>were designed to increase transparency and equity of how SIL supports are funded, as well as to simplify previously administratively complex processes. In addition to the implementation of price limits, operational changes and guidance were also released to increase participant involvement and understanding of their SIL supports.</w:t>
      </w:r>
    </w:p>
    <w:p w14:paraId="3A3EFF59" w14:textId="77777777" w:rsidR="009213F2" w:rsidRPr="00000C96" w:rsidRDefault="009213F2" w:rsidP="009213F2">
      <w:r w:rsidRPr="00000C96">
        <w:t xml:space="preserve">The aim of these consultations is </w:t>
      </w:r>
      <w:r w:rsidR="00927E69" w:rsidRPr="00000C96">
        <w:t xml:space="preserve">to </w:t>
      </w:r>
      <w:r w:rsidRPr="00000C96">
        <w:t xml:space="preserve">understand how the move from quotable supports to price limits may impact on participant experience of engaging service providers and receiving services within a </w:t>
      </w:r>
      <w:r w:rsidR="008A6868" w:rsidRPr="00000C96">
        <w:t xml:space="preserve">Supported Independent Living </w:t>
      </w:r>
      <w:r w:rsidRPr="00000C96">
        <w:t>environment, and the potential impact that price limits may have on improving participant choice and control.</w:t>
      </w:r>
    </w:p>
    <w:p w14:paraId="1DD6DE90" w14:textId="77777777" w:rsidR="009213F2" w:rsidRPr="00000C96" w:rsidRDefault="009213F2" w:rsidP="009213F2">
      <w:r w:rsidRPr="00000C96">
        <w:t>Your views will be considered in the review and reflected in report</w:t>
      </w:r>
      <w:r w:rsidR="008A6868" w:rsidRPr="00000C96">
        <w:t>s developed during the process.</w:t>
      </w:r>
    </w:p>
    <w:p w14:paraId="5724FCFF" w14:textId="77777777" w:rsidR="009213F2" w:rsidRPr="00000C96" w:rsidRDefault="009213F2" w:rsidP="009213F2">
      <w:pPr>
        <w:pStyle w:val="ListParagraph"/>
        <w:numPr>
          <w:ilvl w:val="0"/>
          <w:numId w:val="12"/>
        </w:numPr>
      </w:pPr>
      <w:r w:rsidRPr="00000C96">
        <w:t xml:space="preserve">What do you consider are the potential advantages or disadvantages for participants with regards to this new approach to </w:t>
      </w:r>
      <w:r w:rsidR="008A6868" w:rsidRPr="00000C96">
        <w:t>Supported Independent Living</w:t>
      </w:r>
      <w:r w:rsidRPr="00000C96">
        <w:t>?</w:t>
      </w:r>
    </w:p>
    <w:p w14:paraId="410AB5CD" w14:textId="77777777" w:rsidR="009213F2" w:rsidRPr="00000C96" w:rsidRDefault="009213F2" w:rsidP="009213F2">
      <w:pPr>
        <w:pStyle w:val="ListParagraph"/>
        <w:numPr>
          <w:ilvl w:val="0"/>
          <w:numId w:val="12"/>
        </w:numPr>
        <w:sectPr w:rsidR="009213F2" w:rsidRPr="00000C96" w:rsidSect="00DC0A5C">
          <w:pgSz w:w="11906" w:h="16838" w:code="9"/>
          <w:pgMar w:top="1440" w:right="1440" w:bottom="1440" w:left="1440" w:header="709" w:footer="709" w:gutter="0"/>
          <w:cols w:space="708"/>
          <w:titlePg/>
          <w:docGrid w:linePitch="360"/>
        </w:sectPr>
      </w:pPr>
      <w:r w:rsidRPr="00000C96">
        <w:t xml:space="preserve">Are there particular factors you think the Agency should be aware of regarding how </w:t>
      </w:r>
      <w:r w:rsidR="008A6868" w:rsidRPr="00000C96">
        <w:t xml:space="preserve">Supported Independent Living </w:t>
      </w:r>
      <w:r w:rsidRPr="00000C96">
        <w:t>and related supports are defined, cos</w:t>
      </w:r>
      <w:r w:rsidR="008A6868" w:rsidRPr="00000C96">
        <w:t>ted and charged to participants?</w:t>
      </w:r>
    </w:p>
    <w:p w14:paraId="52ED5A47" w14:textId="77777777" w:rsidR="00F11E45" w:rsidRPr="00000C96" w:rsidRDefault="00F11E45" w:rsidP="00F11E45">
      <w:pPr>
        <w:pStyle w:val="Heading1"/>
      </w:pPr>
      <w:bookmarkStart w:id="6" w:name="_Toc49768869"/>
      <w:r w:rsidRPr="00000C96">
        <w:lastRenderedPageBreak/>
        <w:t>Issues</w:t>
      </w:r>
      <w:r w:rsidR="009213F2" w:rsidRPr="00000C96">
        <w:t xml:space="preserve"> for Providers</w:t>
      </w:r>
      <w:bookmarkEnd w:id="6"/>
    </w:p>
    <w:p w14:paraId="76AD49B4" w14:textId="77777777" w:rsidR="00D15F2B" w:rsidRPr="00000C96" w:rsidRDefault="00DE5528" w:rsidP="00742765">
      <w:pPr>
        <w:pStyle w:val="Heading2"/>
      </w:pPr>
      <w:bookmarkStart w:id="7" w:name="_Toc49768870"/>
      <w:r w:rsidRPr="00000C96">
        <w:t>Wages and on-costs</w:t>
      </w:r>
      <w:bookmarkEnd w:id="7"/>
    </w:p>
    <w:p w14:paraId="70F17E84" w14:textId="77777777" w:rsidR="00552476" w:rsidRPr="00000C96" w:rsidRDefault="00D70C69" w:rsidP="00D15F2B">
      <w:r w:rsidRPr="00000C96">
        <w:t xml:space="preserve">The NDIS Disability Support Worker Cost Model recognises that </w:t>
      </w:r>
      <w:r w:rsidR="00DE5528" w:rsidRPr="00000C96">
        <w:t>wages and on-costs</w:t>
      </w:r>
      <w:r w:rsidRPr="00000C96">
        <w:t xml:space="preserve"> </w:t>
      </w:r>
      <w:r w:rsidR="005314EB" w:rsidRPr="00000C96">
        <w:t xml:space="preserve">are the largest cost driver for providing disability support services. </w:t>
      </w:r>
      <w:r w:rsidR="00A0008A" w:rsidRPr="00000C96">
        <w:t xml:space="preserve">The NDIA is therefore </w:t>
      </w:r>
      <w:r w:rsidR="00552476" w:rsidRPr="00000C96">
        <w:t>seeking detailed evidence on whether</w:t>
      </w:r>
      <w:r w:rsidR="00A0008A" w:rsidRPr="00000C96">
        <w:t xml:space="preserve"> there are material differences between the </w:t>
      </w:r>
      <w:r w:rsidR="00552476" w:rsidRPr="00000C96">
        <w:t xml:space="preserve">base hourly </w:t>
      </w:r>
      <w:r w:rsidR="00DE5528" w:rsidRPr="00000C96">
        <w:t>wages</w:t>
      </w:r>
      <w:r w:rsidR="00A0008A" w:rsidRPr="00000C96">
        <w:t xml:space="preserve"> paid to</w:t>
      </w:r>
      <w:r w:rsidR="00552476" w:rsidRPr="00000C96">
        <w:t>, and the on-costs associated with,</w:t>
      </w:r>
      <w:r w:rsidR="00A0008A" w:rsidRPr="00000C96">
        <w:t xml:space="preserve"> </w:t>
      </w:r>
      <w:r w:rsidR="00D15F2B" w:rsidRPr="00000C96">
        <w:t xml:space="preserve">SIL workers </w:t>
      </w:r>
      <w:r w:rsidR="00A0008A" w:rsidRPr="00000C96">
        <w:t>and non-SIL</w:t>
      </w:r>
      <w:r w:rsidR="00D15F2B" w:rsidRPr="00000C96">
        <w:t xml:space="preserve"> workers</w:t>
      </w:r>
      <w:r w:rsidR="00552476" w:rsidRPr="00000C96">
        <w:t xml:space="preserve">. </w:t>
      </w:r>
    </w:p>
    <w:p w14:paraId="7B8F7F2B" w14:textId="77777777" w:rsidR="00552476" w:rsidRPr="00000C96" w:rsidRDefault="00552476" w:rsidP="00D70C69">
      <w:pPr>
        <w:pStyle w:val="ListParagraph"/>
        <w:ind w:left="425" w:firstLine="0"/>
      </w:pPr>
      <w:r w:rsidRPr="00000C96">
        <w:t>Base hourly wage refers to the minimum hourly rate of pay received by a worker, not including any shift or leave loading, superannuation or allowances.</w:t>
      </w:r>
    </w:p>
    <w:p w14:paraId="4B0E8025" w14:textId="77777777" w:rsidR="00552476" w:rsidRPr="00000C96" w:rsidRDefault="00552476" w:rsidP="00D70C69">
      <w:pPr>
        <w:pStyle w:val="ListParagraph"/>
        <w:ind w:left="425" w:firstLine="0"/>
      </w:pPr>
      <w:r w:rsidRPr="00000C96">
        <w:t>Salary on-costs refers to costs such as superannuation, workers compensation premiums, payroll tax, and employee allowances.</w:t>
      </w:r>
    </w:p>
    <w:p w14:paraId="0656D819" w14:textId="77777777" w:rsidR="00DE5528" w:rsidRPr="00000C96" w:rsidRDefault="00DE5528" w:rsidP="00DE5528">
      <w:pPr>
        <w:pStyle w:val="Heading3"/>
      </w:pPr>
      <w:r w:rsidRPr="00000C96">
        <w:t>Base Wages</w:t>
      </w:r>
    </w:p>
    <w:p w14:paraId="4CACE397" w14:textId="77777777" w:rsidR="00DE5528" w:rsidRPr="00000C96" w:rsidRDefault="00D15F2B" w:rsidP="00D70C69">
      <w:pPr>
        <w:pStyle w:val="ListParagraph"/>
        <w:numPr>
          <w:ilvl w:val="0"/>
          <w:numId w:val="12"/>
        </w:numPr>
      </w:pPr>
      <w:r w:rsidRPr="00000C96">
        <w:t xml:space="preserve">Is there a material difference in the </w:t>
      </w:r>
      <w:r w:rsidR="005314EB" w:rsidRPr="00000C96">
        <w:t>base hourly wages</w:t>
      </w:r>
      <w:r w:rsidRPr="00000C96">
        <w:t xml:space="preserve"> paid to workers delivering SIL services compared to workers delivering </w:t>
      </w:r>
      <w:r w:rsidR="00DE5528" w:rsidRPr="00000C96">
        <w:t>non-SIL</w:t>
      </w:r>
      <w:r w:rsidRPr="00000C96">
        <w:t xml:space="preserve"> services</w:t>
      </w:r>
      <w:r w:rsidR="00552476" w:rsidRPr="00000C96">
        <w:t>?</w:t>
      </w:r>
    </w:p>
    <w:p w14:paraId="1FA3EDA7" w14:textId="77777777" w:rsidR="00DE5528" w:rsidRPr="00000C96" w:rsidRDefault="00D70C69" w:rsidP="00D70C69">
      <w:pPr>
        <w:pStyle w:val="ListParagraph"/>
        <w:ind w:left="425" w:firstLine="0"/>
      </w:pPr>
      <w:r w:rsidRPr="00000C96">
        <w:t xml:space="preserve">Does </w:t>
      </w:r>
      <w:r w:rsidR="001D2733" w:rsidRPr="00000C96">
        <w:t>this reflect different levels of required training, the nature of the work, or some other reason?</w:t>
      </w:r>
      <w:r w:rsidR="001B65A2" w:rsidRPr="00000C96">
        <w:t xml:space="preserve"> </w:t>
      </w:r>
      <w:r w:rsidRPr="00000C96">
        <w:t>How large is this difference</w:t>
      </w:r>
      <w:r w:rsidR="00DE5528" w:rsidRPr="00000C96">
        <w:t>?</w:t>
      </w:r>
    </w:p>
    <w:p w14:paraId="6EE0D251" w14:textId="77777777" w:rsidR="00DE5528" w:rsidRPr="00000C96" w:rsidRDefault="00DE5528" w:rsidP="00D70C69">
      <w:pPr>
        <w:pStyle w:val="Heading3"/>
      </w:pPr>
      <w:r w:rsidRPr="00000C96">
        <w:t>On</w:t>
      </w:r>
      <w:r w:rsidR="00552476" w:rsidRPr="00000C96">
        <w:t>-c</w:t>
      </w:r>
      <w:r w:rsidRPr="00000C96">
        <w:t>osts</w:t>
      </w:r>
    </w:p>
    <w:p w14:paraId="41F16589" w14:textId="77777777" w:rsidR="00DE5528" w:rsidRPr="00000C96" w:rsidRDefault="00AF150D" w:rsidP="00D70C69">
      <w:pPr>
        <w:pStyle w:val="ListParagraph"/>
        <w:numPr>
          <w:ilvl w:val="0"/>
          <w:numId w:val="12"/>
        </w:numPr>
      </w:pPr>
      <w:r w:rsidRPr="00000C96">
        <w:t xml:space="preserve">Are salary on-costs different for workers delivering SIL services compared to workers delivering </w:t>
      </w:r>
      <w:r w:rsidR="00DE5528" w:rsidRPr="00000C96">
        <w:t>non-SIL</w:t>
      </w:r>
      <w:r w:rsidRPr="00000C96">
        <w:t xml:space="preserve"> services?</w:t>
      </w:r>
      <w:r w:rsidR="001D2733" w:rsidRPr="00000C96">
        <w:t xml:space="preserve"> </w:t>
      </w:r>
    </w:p>
    <w:p w14:paraId="64D11933" w14:textId="77777777" w:rsidR="00D70C69" w:rsidRPr="00000C96" w:rsidRDefault="00D70C69" w:rsidP="00D70C69">
      <w:pPr>
        <w:pStyle w:val="ListParagraph"/>
        <w:ind w:left="425" w:firstLine="0"/>
      </w:pPr>
      <w:r w:rsidRPr="00000C96">
        <w:t>What</w:t>
      </w:r>
      <w:r w:rsidR="001D2733" w:rsidRPr="00000C96">
        <w:t xml:space="preserve"> aspects of each service type necessitate this difference?</w:t>
      </w:r>
      <w:r w:rsidR="001B65A2" w:rsidRPr="00000C96">
        <w:t xml:space="preserve"> </w:t>
      </w:r>
      <w:r w:rsidRPr="00000C96">
        <w:t>How large is this difference?</w:t>
      </w:r>
    </w:p>
    <w:p w14:paraId="44C0B0F7" w14:textId="77777777" w:rsidR="00DE5528" w:rsidRPr="00000C96" w:rsidRDefault="00552476" w:rsidP="00D70C69">
      <w:pPr>
        <w:pStyle w:val="Heading3"/>
      </w:pPr>
      <w:r w:rsidRPr="00000C96">
        <w:t>Overtime</w:t>
      </w:r>
    </w:p>
    <w:p w14:paraId="2F51BBBD" w14:textId="77777777" w:rsidR="00DE5528" w:rsidRPr="00000C96" w:rsidRDefault="004F3D0D" w:rsidP="00D70C69">
      <w:pPr>
        <w:pStyle w:val="ListParagraph"/>
        <w:numPr>
          <w:ilvl w:val="0"/>
          <w:numId w:val="12"/>
        </w:numPr>
      </w:pPr>
      <w:r w:rsidRPr="00000C96">
        <w:t xml:space="preserve">Do you observe significant differences in the rate of overtime costs between staff delivering SIL services compared to </w:t>
      </w:r>
      <w:r w:rsidR="00DE5528" w:rsidRPr="00000C96">
        <w:t>non-SIL</w:t>
      </w:r>
      <w:r w:rsidRPr="00000C96">
        <w:t xml:space="preserve"> services?</w:t>
      </w:r>
    </w:p>
    <w:p w14:paraId="6D9C0A7D" w14:textId="77777777" w:rsidR="00D70C69" w:rsidRPr="00000C96" w:rsidRDefault="00D70C69" w:rsidP="00D70C69">
      <w:pPr>
        <w:pStyle w:val="ListParagraph"/>
        <w:ind w:left="425" w:firstLine="0"/>
      </w:pPr>
      <w:r w:rsidRPr="00000C96">
        <w:t>What</w:t>
      </w:r>
      <w:r w:rsidR="00DE5528" w:rsidRPr="00000C96">
        <w:t xml:space="preserve"> aspects of each service type necessitate this difference?</w:t>
      </w:r>
      <w:r w:rsidR="001B65A2" w:rsidRPr="00000C96">
        <w:t xml:space="preserve"> </w:t>
      </w:r>
      <w:r w:rsidRPr="00000C96">
        <w:t>How large is this difference?</w:t>
      </w:r>
    </w:p>
    <w:p w14:paraId="164B4C88" w14:textId="77777777" w:rsidR="00552476" w:rsidRPr="00000C96" w:rsidRDefault="00552476" w:rsidP="00D70C69">
      <w:pPr>
        <w:pStyle w:val="Heading3"/>
      </w:pPr>
      <w:r w:rsidRPr="00000C96">
        <w:t>Leave costs</w:t>
      </w:r>
    </w:p>
    <w:p w14:paraId="61C3BF44" w14:textId="77777777" w:rsidR="00552476" w:rsidRPr="00000C96" w:rsidRDefault="00552476" w:rsidP="00D70C69">
      <w:pPr>
        <w:pStyle w:val="ListParagraph"/>
        <w:numPr>
          <w:ilvl w:val="0"/>
          <w:numId w:val="12"/>
        </w:numPr>
      </w:pPr>
      <w:r w:rsidRPr="00000C96">
        <w:t xml:space="preserve">Are leave costs different for workers delivering SIL services compared to workers delivering non-SIL services? </w:t>
      </w:r>
    </w:p>
    <w:p w14:paraId="2D8D86F2" w14:textId="77777777" w:rsidR="00D70C69" w:rsidRPr="00000C96" w:rsidRDefault="00D70C69" w:rsidP="00D70C69">
      <w:pPr>
        <w:pStyle w:val="ListParagraph"/>
        <w:ind w:left="425" w:firstLine="0"/>
      </w:pPr>
      <w:r w:rsidRPr="00000C96">
        <w:t>What</w:t>
      </w:r>
      <w:r w:rsidR="00552476" w:rsidRPr="00000C96">
        <w:t xml:space="preserve"> aspects of each service type necessitate this difference?</w:t>
      </w:r>
      <w:r w:rsidR="001B65A2" w:rsidRPr="00000C96">
        <w:t xml:space="preserve"> </w:t>
      </w:r>
      <w:r w:rsidRPr="00000C96">
        <w:t>How large is this difference?</w:t>
      </w:r>
    </w:p>
    <w:p w14:paraId="297EB354" w14:textId="77777777" w:rsidR="00DE5528" w:rsidRPr="00000C96" w:rsidRDefault="00552476" w:rsidP="00D70C69">
      <w:pPr>
        <w:pStyle w:val="Heading3"/>
      </w:pPr>
      <w:r w:rsidRPr="00000C96">
        <w:t>Enterprise Bargaining Agreements (EBAs)</w:t>
      </w:r>
    </w:p>
    <w:p w14:paraId="7CB266F1" w14:textId="77777777" w:rsidR="00552476" w:rsidRPr="00000C96" w:rsidRDefault="00552476" w:rsidP="00D70C69">
      <w:pPr>
        <w:pStyle w:val="ListParagraph"/>
        <w:numPr>
          <w:ilvl w:val="0"/>
          <w:numId w:val="12"/>
        </w:numPr>
      </w:pPr>
      <w:r w:rsidRPr="00000C96">
        <w:t>Does your</w:t>
      </w:r>
      <w:r w:rsidR="00DE5528" w:rsidRPr="00000C96">
        <w:t xml:space="preserve"> organisation currently operate an </w:t>
      </w:r>
      <w:r w:rsidRPr="00000C96">
        <w:t>W</w:t>
      </w:r>
      <w:r w:rsidR="00DE5528" w:rsidRPr="00000C96">
        <w:t>B</w:t>
      </w:r>
      <w:r w:rsidRPr="00000C96">
        <w:t>A</w:t>
      </w:r>
      <w:r w:rsidR="00DE5528" w:rsidRPr="00000C96">
        <w:t xml:space="preserve"> for some or all of its employees</w:t>
      </w:r>
      <w:r w:rsidRPr="00000C96">
        <w:t>:</w:t>
      </w:r>
    </w:p>
    <w:p w14:paraId="63242C0D" w14:textId="77777777" w:rsidR="00DE5528" w:rsidRPr="00000C96" w:rsidRDefault="00D70C69" w:rsidP="00D70C69">
      <w:pPr>
        <w:pStyle w:val="ListParagraph"/>
        <w:ind w:left="425" w:firstLine="0"/>
      </w:pPr>
      <w:r w:rsidRPr="00000C96">
        <w:t>Do</w:t>
      </w:r>
      <w:r w:rsidR="00DE5528" w:rsidRPr="00000C96">
        <w:t xml:space="preserve"> the EBA conditions differ for workers delivering SIL services compared to non-SIL services? </w:t>
      </w:r>
    </w:p>
    <w:p w14:paraId="7DBADC57" w14:textId="77777777" w:rsidR="00D70C69" w:rsidRPr="00000C96" w:rsidRDefault="00D70C69" w:rsidP="00D70C69">
      <w:pPr>
        <w:pStyle w:val="ListParagraph"/>
        <w:ind w:left="425" w:firstLine="0"/>
      </w:pPr>
      <w:r w:rsidRPr="00000C96">
        <w:t>W</w:t>
      </w:r>
      <w:r w:rsidR="00DE5528" w:rsidRPr="00000C96">
        <w:t>hich conditions are different, and why?</w:t>
      </w:r>
      <w:r w:rsidR="001B65A2" w:rsidRPr="00000C96">
        <w:t xml:space="preserve"> </w:t>
      </w:r>
      <w:r w:rsidRPr="00000C96">
        <w:t>How large is this difference?</w:t>
      </w:r>
    </w:p>
    <w:p w14:paraId="04A3EBD9" w14:textId="77777777" w:rsidR="00EC7477" w:rsidRPr="00000C96" w:rsidRDefault="00EC7477" w:rsidP="00742765">
      <w:pPr>
        <w:pStyle w:val="Heading2"/>
      </w:pPr>
      <w:bookmarkStart w:id="8" w:name="_Toc49768871"/>
      <w:r w:rsidRPr="00000C96">
        <w:lastRenderedPageBreak/>
        <w:t>Workforce mix</w:t>
      </w:r>
      <w:bookmarkEnd w:id="8"/>
    </w:p>
    <w:p w14:paraId="1F9B8939" w14:textId="77777777" w:rsidR="00552476" w:rsidRPr="00000C96" w:rsidRDefault="00D70C69" w:rsidP="00552476">
      <w:r w:rsidRPr="00000C96">
        <w:t xml:space="preserve">The NDIS Disability Support Worker Cost Model </w:t>
      </w:r>
      <w:r w:rsidR="00552476" w:rsidRPr="00000C96">
        <w:t>recognises that the costs of employing casual and permanent workers are different. The NDIA is therefore seeking detailed evidence on whether there are material differences in these arrangements between SIL workers and non-SIL workers.</w:t>
      </w:r>
    </w:p>
    <w:p w14:paraId="2CEC1BB0" w14:textId="77777777" w:rsidR="00EB3AF2" w:rsidRPr="00000C96" w:rsidRDefault="00EB3AF2" w:rsidP="00EB3AF2">
      <w:pPr>
        <w:pStyle w:val="Heading3"/>
      </w:pPr>
      <w:r w:rsidRPr="00000C96">
        <w:t>Casual staff</w:t>
      </w:r>
    </w:p>
    <w:p w14:paraId="78EEE974" w14:textId="77777777" w:rsidR="00D70C69" w:rsidRPr="00000C96" w:rsidRDefault="00573D54" w:rsidP="00D70C69">
      <w:pPr>
        <w:pStyle w:val="ListParagraph"/>
        <w:numPr>
          <w:ilvl w:val="0"/>
          <w:numId w:val="12"/>
        </w:numPr>
      </w:pPr>
      <w:r w:rsidRPr="00000C96">
        <w:t xml:space="preserve">Is there a </w:t>
      </w:r>
      <w:r w:rsidR="00552476" w:rsidRPr="00000C96">
        <w:t xml:space="preserve">material </w:t>
      </w:r>
      <w:r w:rsidRPr="00000C96">
        <w:t xml:space="preserve">difference in the proportion of employees employed on a </w:t>
      </w:r>
      <w:r w:rsidR="00EB3AF2" w:rsidRPr="00000C96">
        <w:t>casual</w:t>
      </w:r>
      <w:r w:rsidRPr="00000C96">
        <w:t xml:space="preserve"> basis between</w:t>
      </w:r>
      <w:r w:rsidR="00EB3AF2" w:rsidRPr="00000C96">
        <w:t xml:space="preserve"> employees providing </w:t>
      </w:r>
      <w:r w:rsidRPr="00000C96">
        <w:t xml:space="preserve">SIL and </w:t>
      </w:r>
      <w:r w:rsidR="00DE5528" w:rsidRPr="00000C96">
        <w:t>non-SIL</w:t>
      </w:r>
      <w:r w:rsidRPr="00000C96">
        <w:t xml:space="preserve"> </w:t>
      </w:r>
      <w:r w:rsidR="00EB3AF2" w:rsidRPr="00000C96">
        <w:t>services</w:t>
      </w:r>
      <w:r w:rsidRPr="00000C96">
        <w:t>?</w:t>
      </w:r>
      <w:r w:rsidR="001D2733" w:rsidRPr="00000C96">
        <w:t xml:space="preserve"> </w:t>
      </w:r>
    </w:p>
    <w:p w14:paraId="007F0207" w14:textId="77777777" w:rsidR="00D70C69" w:rsidRPr="00000C96" w:rsidRDefault="001D2733" w:rsidP="00D70C69">
      <w:pPr>
        <w:pStyle w:val="ListParagraph"/>
        <w:ind w:left="425" w:firstLine="0"/>
      </w:pPr>
      <w:r w:rsidRPr="00000C96">
        <w:t xml:space="preserve">If there is a difference, </w:t>
      </w:r>
      <w:r w:rsidR="003C5F87" w:rsidRPr="00000C96">
        <w:t>which aspects of SIL service delivery are suited to more (or fewer) permanent employees relative to casual employees?</w:t>
      </w:r>
      <w:r w:rsidR="001B65A2" w:rsidRPr="00000C96">
        <w:t xml:space="preserve"> </w:t>
      </w:r>
      <w:r w:rsidR="003871F3" w:rsidRPr="00000C96">
        <w:t>How large</w:t>
      </w:r>
      <w:r w:rsidR="00D70C69" w:rsidRPr="00000C96">
        <w:t xml:space="preserve"> is this difference?</w:t>
      </w:r>
    </w:p>
    <w:p w14:paraId="237D75D3" w14:textId="77777777" w:rsidR="00EB3AF2" w:rsidRPr="00000C96" w:rsidRDefault="00EB3AF2" w:rsidP="00EB3AF2">
      <w:pPr>
        <w:pStyle w:val="ListParagraph"/>
        <w:numPr>
          <w:ilvl w:val="0"/>
          <w:numId w:val="12"/>
        </w:numPr>
      </w:pPr>
      <w:r w:rsidRPr="00000C96">
        <w:t>What is the average number of hours per week that a casual staff member is employed in your organisation?</w:t>
      </w:r>
    </w:p>
    <w:p w14:paraId="1F1DEABC" w14:textId="77777777" w:rsidR="00EB3AF2" w:rsidRPr="00000C96" w:rsidRDefault="00EB3AF2" w:rsidP="00EB3AF2">
      <w:pPr>
        <w:pStyle w:val="ListParagraph"/>
        <w:numPr>
          <w:ilvl w:val="0"/>
          <w:numId w:val="12"/>
        </w:numPr>
      </w:pPr>
      <w:r w:rsidRPr="00000C96">
        <w:t>Is there a material difference in the average number of hours per week that a casual staff member is employed in your organisation between employees providing SIL and non-SIL services?</w:t>
      </w:r>
    </w:p>
    <w:p w14:paraId="59C2ED6C" w14:textId="77777777" w:rsidR="00EB3AF2" w:rsidRPr="00000C96" w:rsidRDefault="00EB3AF2" w:rsidP="00EB3AF2">
      <w:pPr>
        <w:pStyle w:val="ListParagraph"/>
        <w:ind w:left="425" w:firstLine="0"/>
      </w:pPr>
      <w:r w:rsidRPr="00000C96">
        <w:t>If there is a difference, how large is this difference?</w:t>
      </w:r>
    </w:p>
    <w:p w14:paraId="261B367E" w14:textId="77777777" w:rsidR="00EB3AF2" w:rsidRPr="00000C96" w:rsidRDefault="00EB3AF2" w:rsidP="00EB3AF2">
      <w:pPr>
        <w:pStyle w:val="Heading3"/>
      </w:pPr>
      <w:r w:rsidRPr="00000C96">
        <w:t>Part-time staff</w:t>
      </w:r>
    </w:p>
    <w:p w14:paraId="7D06514B" w14:textId="77777777" w:rsidR="00EB3AF2" w:rsidRPr="00000C96" w:rsidRDefault="00EB3AF2" w:rsidP="00EB3AF2">
      <w:pPr>
        <w:pStyle w:val="ListParagraph"/>
        <w:numPr>
          <w:ilvl w:val="0"/>
          <w:numId w:val="12"/>
        </w:numPr>
      </w:pPr>
      <w:r w:rsidRPr="00000C96">
        <w:t xml:space="preserve">Is there a material difference in the proportion of employees employed on a part-time basis between employees providing SIL and non-SIL services? </w:t>
      </w:r>
    </w:p>
    <w:p w14:paraId="76699C0F" w14:textId="77777777" w:rsidR="00EB3AF2" w:rsidRPr="00000C96" w:rsidRDefault="00EB3AF2" w:rsidP="00EB3AF2">
      <w:pPr>
        <w:pStyle w:val="ListParagraph"/>
        <w:ind w:left="425" w:firstLine="0"/>
      </w:pPr>
      <w:r w:rsidRPr="00000C96">
        <w:t>If there is a difference, which aspects of SIL service delivery are suited to more (or fewer) part-time permanent employees relative to full-time permanent employees? How large is this difference?</w:t>
      </w:r>
    </w:p>
    <w:p w14:paraId="4C94E85B" w14:textId="77777777" w:rsidR="00EB3AF2" w:rsidRPr="00000C96" w:rsidRDefault="00EB3AF2" w:rsidP="00EB3AF2">
      <w:pPr>
        <w:pStyle w:val="ListParagraph"/>
        <w:numPr>
          <w:ilvl w:val="0"/>
          <w:numId w:val="12"/>
        </w:numPr>
      </w:pPr>
      <w:r w:rsidRPr="00000C96">
        <w:t>What is the average number of hours per week that a part-time staff member is employed in your organisation?</w:t>
      </w:r>
    </w:p>
    <w:p w14:paraId="07A2BD1C" w14:textId="77777777" w:rsidR="00EB3AF2" w:rsidRPr="00000C96" w:rsidRDefault="00EB3AF2" w:rsidP="00EB3AF2">
      <w:pPr>
        <w:pStyle w:val="ListParagraph"/>
        <w:numPr>
          <w:ilvl w:val="0"/>
          <w:numId w:val="12"/>
        </w:numPr>
      </w:pPr>
      <w:r w:rsidRPr="00000C96">
        <w:t>Is there a material difference in the average number of hours per week that a part-time staff member is employed in your organisation between employees providing SIL and non-SIL services?</w:t>
      </w:r>
    </w:p>
    <w:p w14:paraId="093D8AAE" w14:textId="77777777" w:rsidR="00EB3AF2" w:rsidRPr="00000C96" w:rsidRDefault="00EB3AF2" w:rsidP="00EB3AF2">
      <w:pPr>
        <w:pStyle w:val="ListParagraph"/>
        <w:ind w:left="425" w:firstLine="0"/>
      </w:pPr>
      <w:r w:rsidRPr="00000C96">
        <w:t>If there is a difference, how large is this difference?</w:t>
      </w:r>
    </w:p>
    <w:p w14:paraId="18FDEED5" w14:textId="77777777" w:rsidR="00EB3AF2" w:rsidRPr="00000C96" w:rsidRDefault="00EB3AF2" w:rsidP="00EB3AF2">
      <w:pPr>
        <w:pStyle w:val="Heading3"/>
      </w:pPr>
      <w:r w:rsidRPr="00000C96">
        <w:t>Agency staff / temporary replacement staff</w:t>
      </w:r>
    </w:p>
    <w:p w14:paraId="60C02F01" w14:textId="77777777" w:rsidR="00D70C69" w:rsidRPr="00000C96" w:rsidRDefault="00C268D3" w:rsidP="00D70C69">
      <w:pPr>
        <w:pStyle w:val="ListParagraph"/>
        <w:numPr>
          <w:ilvl w:val="0"/>
          <w:numId w:val="12"/>
        </w:numPr>
      </w:pPr>
      <w:r w:rsidRPr="00000C96">
        <w:t>Are temporary replacement staff engaged more or less often for SIL services</w:t>
      </w:r>
      <w:r w:rsidR="00D70C69" w:rsidRPr="00000C96">
        <w:t>?</w:t>
      </w:r>
    </w:p>
    <w:p w14:paraId="47D81A18" w14:textId="77777777" w:rsidR="00D70C69" w:rsidRPr="00000C96" w:rsidRDefault="00D70C69" w:rsidP="00D70C69">
      <w:pPr>
        <w:pStyle w:val="ListParagraph"/>
        <w:ind w:left="425" w:firstLine="0"/>
      </w:pPr>
      <w:r w:rsidRPr="00000C96">
        <w:t>If there is a difference, what are the key drivers of this difference?</w:t>
      </w:r>
      <w:r w:rsidR="001B65A2" w:rsidRPr="00000C96">
        <w:t xml:space="preserve"> </w:t>
      </w:r>
      <w:r w:rsidRPr="00000C96">
        <w:t>How large is this difference?</w:t>
      </w:r>
    </w:p>
    <w:p w14:paraId="486DF7AA" w14:textId="77777777" w:rsidR="00C268D3" w:rsidRPr="00000C96" w:rsidRDefault="00D70C69" w:rsidP="00D70C69">
      <w:pPr>
        <w:pStyle w:val="ListParagraph"/>
        <w:numPr>
          <w:ilvl w:val="0"/>
          <w:numId w:val="12"/>
        </w:numPr>
      </w:pPr>
      <w:r w:rsidRPr="00000C96">
        <w:t>Is</w:t>
      </w:r>
      <w:r w:rsidR="00C268D3" w:rsidRPr="00000C96">
        <w:t xml:space="preserve"> the cost of the temporary replacement staff different between SIL services and </w:t>
      </w:r>
      <w:r w:rsidR="00DE5528" w:rsidRPr="00000C96">
        <w:t>non-SIL</w:t>
      </w:r>
      <w:r w:rsidR="00C268D3" w:rsidRPr="00000C96">
        <w:t xml:space="preserve"> services?</w:t>
      </w:r>
    </w:p>
    <w:p w14:paraId="3DC312A5" w14:textId="3513F5F1" w:rsidR="00D70C69" w:rsidRPr="00000C96" w:rsidRDefault="00D70C69" w:rsidP="00D70C69">
      <w:pPr>
        <w:pStyle w:val="ListParagraph"/>
        <w:ind w:left="425" w:firstLine="0"/>
      </w:pPr>
      <w:r w:rsidRPr="00000C96">
        <w:t>If there is a difference, what are the key drivers of this difference?</w:t>
      </w:r>
      <w:r w:rsidR="001B65A2" w:rsidRPr="00000C96">
        <w:t xml:space="preserve"> </w:t>
      </w:r>
      <w:r w:rsidRPr="00000C96">
        <w:t>How large is this difference?</w:t>
      </w:r>
    </w:p>
    <w:p w14:paraId="30E2655E" w14:textId="59A6DD01" w:rsidR="001100FB" w:rsidRPr="00000C96" w:rsidRDefault="001100FB" w:rsidP="00517471">
      <w:pPr>
        <w:pStyle w:val="Heading3"/>
      </w:pPr>
      <w:r w:rsidRPr="00000C96">
        <w:lastRenderedPageBreak/>
        <w:t>Level of staff</w:t>
      </w:r>
    </w:p>
    <w:p w14:paraId="7179424E" w14:textId="6C9E380C" w:rsidR="001100FB" w:rsidRPr="00000C96" w:rsidRDefault="001100FB" w:rsidP="00517471">
      <w:pPr>
        <w:pStyle w:val="ListParagraph"/>
        <w:numPr>
          <w:ilvl w:val="0"/>
          <w:numId w:val="12"/>
        </w:numPr>
      </w:pPr>
      <w:r w:rsidRPr="00000C96">
        <w:t>What level of worker do you use for standard vs higher requirements, and when do you decide if a participant requires higher-intensity support?</w:t>
      </w:r>
    </w:p>
    <w:p w14:paraId="7FAF0E44" w14:textId="77777777" w:rsidR="00EC7477" w:rsidRPr="00000C96" w:rsidRDefault="00EC7477" w:rsidP="00742765">
      <w:pPr>
        <w:pStyle w:val="Heading2"/>
      </w:pPr>
      <w:bookmarkStart w:id="9" w:name="_Toc49768872"/>
      <w:r w:rsidRPr="00000C96">
        <w:t>Utilisation</w:t>
      </w:r>
      <w:bookmarkEnd w:id="9"/>
    </w:p>
    <w:p w14:paraId="79C34E18" w14:textId="77777777" w:rsidR="00D70C69" w:rsidRPr="00000C96" w:rsidRDefault="00D70C69" w:rsidP="00D70C69">
      <w:r w:rsidRPr="00000C96">
        <w:t>The NDIS Disability Support Worker Cost Model recognises that staff need to spend some working time undertaking non-billable work, including breaks and training. The NDIA is therefore seeking detailed evidence on whether there are material differences in these arrangements between SIL workers and non-SIL workers.</w:t>
      </w:r>
    </w:p>
    <w:p w14:paraId="5497F79D" w14:textId="77777777" w:rsidR="00EE2D2C" w:rsidRPr="00000C96" w:rsidRDefault="00EE2D2C" w:rsidP="00EE2D2C">
      <w:pPr>
        <w:pStyle w:val="Heading3"/>
      </w:pPr>
      <w:r w:rsidRPr="00000C96">
        <w:t>Training requirements</w:t>
      </w:r>
    </w:p>
    <w:p w14:paraId="6503167A" w14:textId="77777777" w:rsidR="00D70C69" w:rsidRPr="00000C96" w:rsidRDefault="000C0D49" w:rsidP="00D70C69">
      <w:pPr>
        <w:pStyle w:val="ListParagraph"/>
        <w:numPr>
          <w:ilvl w:val="0"/>
          <w:numId w:val="12"/>
        </w:numPr>
      </w:pPr>
      <w:r w:rsidRPr="00000C96">
        <w:t xml:space="preserve">Do training requirements – and associated costs – for workers differ between SIL services </w:t>
      </w:r>
      <w:r w:rsidR="00AD62FF" w:rsidRPr="00000C96">
        <w:t>and</w:t>
      </w:r>
      <w:r w:rsidRPr="00000C96">
        <w:t xml:space="preserve"> </w:t>
      </w:r>
      <w:r w:rsidR="00DE5528" w:rsidRPr="00000C96">
        <w:t>non-SIL</w:t>
      </w:r>
      <w:r w:rsidRPr="00000C96">
        <w:t xml:space="preserve"> services?</w:t>
      </w:r>
      <w:r w:rsidR="003C5F87" w:rsidRPr="00000C96">
        <w:t xml:space="preserve"> </w:t>
      </w:r>
    </w:p>
    <w:p w14:paraId="42823B5C" w14:textId="77777777" w:rsidR="00D70C69" w:rsidRPr="00000C96" w:rsidRDefault="00D70C69" w:rsidP="00D70C69">
      <w:pPr>
        <w:pStyle w:val="ListParagraph"/>
        <w:ind w:left="425" w:firstLine="0"/>
      </w:pPr>
      <w:r w:rsidRPr="00000C96">
        <w:t>If there is a difference, what are the key drivers of this difference? What aspects of delivering SIL services require more (or less) staff training?</w:t>
      </w:r>
      <w:r w:rsidR="001B65A2" w:rsidRPr="00000C96">
        <w:t xml:space="preserve"> </w:t>
      </w:r>
      <w:r w:rsidRPr="00000C96">
        <w:t>How large is this difference?</w:t>
      </w:r>
    </w:p>
    <w:p w14:paraId="192C07A0" w14:textId="77777777" w:rsidR="003871F3" w:rsidRPr="00000C96" w:rsidRDefault="003C5F87" w:rsidP="003871F3">
      <w:pPr>
        <w:pStyle w:val="ListParagraph"/>
        <w:numPr>
          <w:ilvl w:val="0"/>
          <w:numId w:val="12"/>
        </w:numPr>
      </w:pPr>
      <w:r w:rsidRPr="00000C96">
        <w:t xml:space="preserve">Do initial training requirements </w:t>
      </w:r>
      <w:r w:rsidR="00D70C69" w:rsidRPr="00000C96">
        <w:t>–</w:t>
      </w:r>
      <w:r w:rsidR="00D70C69" w:rsidRPr="00000C96">
        <w:softHyphen/>
        <w:t xml:space="preserve"> and associated costs – </w:t>
      </w:r>
      <w:r w:rsidRPr="00000C96">
        <w:t xml:space="preserve">for new </w:t>
      </w:r>
      <w:r w:rsidR="003871F3" w:rsidRPr="00000C96">
        <w:t xml:space="preserve">workers differ between SIL services and non-SIL services? </w:t>
      </w:r>
    </w:p>
    <w:p w14:paraId="492D3860" w14:textId="77777777" w:rsidR="003871F3" w:rsidRPr="00000C96" w:rsidRDefault="003871F3" w:rsidP="003871F3">
      <w:pPr>
        <w:pStyle w:val="ListParagraph"/>
        <w:ind w:left="425" w:firstLine="0"/>
      </w:pPr>
      <w:r w:rsidRPr="00000C96">
        <w:t>If there is a difference, what are the key drivers of this difference? What aspects of delivering SIL services require more (or less) staff training?</w:t>
      </w:r>
      <w:r w:rsidR="001B65A2" w:rsidRPr="00000C96">
        <w:t xml:space="preserve"> </w:t>
      </w:r>
      <w:r w:rsidRPr="00000C96">
        <w:t>How large is this difference?</w:t>
      </w:r>
    </w:p>
    <w:p w14:paraId="66D89E01" w14:textId="77777777" w:rsidR="00EE2D2C" w:rsidRPr="00000C96" w:rsidRDefault="00EE2D2C" w:rsidP="00EE2D2C">
      <w:pPr>
        <w:pStyle w:val="Heading3"/>
      </w:pPr>
      <w:r w:rsidRPr="00000C96">
        <w:t>Other non-billable activities</w:t>
      </w:r>
    </w:p>
    <w:p w14:paraId="1F32721E" w14:textId="77777777" w:rsidR="003871F3" w:rsidRPr="00000C96" w:rsidRDefault="003871F3" w:rsidP="00D70C69">
      <w:pPr>
        <w:pStyle w:val="ListParagraph"/>
        <w:numPr>
          <w:ilvl w:val="0"/>
          <w:numId w:val="12"/>
        </w:numPr>
      </w:pPr>
      <w:r w:rsidRPr="00000C96">
        <w:t xml:space="preserve">Is there a material difference in the non-direct care </w:t>
      </w:r>
      <w:r w:rsidR="00C46E22" w:rsidRPr="00000C96">
        <w:t>activities</w:t>
      </w:r>
      <w:r w:rsidRPr="00000C96">
        <w:t xml:space="preserve"> that staff in SIL services, compared to staff in non-SIL services, </w:t>
      </w:r>
      <w:r w:rsidR="00C46E22" w:rsidRPr="00000C96">
        <w:t xml:space="preserve">are required to </w:t>
      </w:r>
      <w:r w:rsidRPr="00000C96">
        <w:t>undertake (for example: handover between shifts and/or note-taking specific to the individual).</w:t>
      </w:r>
    </w:p>
    <w:p w14:paraId="6D50B5FF" w14:textId="77777777" w:rsidR="003871F3" w:rsidRPr="00000C96" w:rsidRDefault="003871F3" w:rsidP="003871F3">
      <w:pPr>
        <w:pStyle w:val="ListParagraph"/>
        <w:ind w:left="425" w:firstLine="0"/>
      </w:pPr>
      <w:r w:rsidRPr="00000C96">
        <w:t>If there are differences, what are the key drivers of these differences? How large are these differences?</w:t>
      </w:r>
    </w:p>
    <w:p w14:paraId="4C62F451" w14:textId="77777777" w:rsidR="00A0008A" w:rsidRPr="00000C96" w:rsidRDefault="00A0008A" w:rsidP="00742765">
      <w:pPr>
        <w:pStyle w:val="Heading2"/>
      </w:pPr>
      <w:bookmarkStart w:id="10" w:name="_Toc49768873"/>
      <w:r w:rsidRPr="00000C96">
        <w:t>Supervision cost</w:t>
      </w:r>
      <w:bookmarkEnd w:id="10"/>
    </w:p>
    <w:p w14:paraId="0B43AADC" w14:textId="77777777" w:rsidR="003871F3" w:rsidRPr="00000C96" w:rsidRDefault="003871F3" w:rsidP="003871F3">
      <w:r w:rsidRPr="00000C96">
        <w:t xml:space="preserve">The NDIS Disability Support Worker Cost Model recognises that staff require direct supervision of the care that </w:t>
      </w:r>
      <w:r w:rsidR="00927E69" w:rsidRPr="00000C96">
        <w:t xml:space="preserve">they </w:t>
      </w:r>
      <w:r w:rsidRPr="00000C96">
        <w:t>provide, as well as management support. They key parameters in the Cost Model associated with supervision are the wages and conditions of the supervisor, and the supervision ratio</w:t>
      </w:r>
      <w:r w:rsidR="00927E69" w:rsidRPr="00000C96">
        <w:t xml:space="preserve">. </w:t>
      </w:r>
      <w:r w:rsidRPr="00000C96">
        <w:t>The NDIA is therefore seeking detailed evidence on whether there are material differences in these arrangements between SIL workers and non-SIL workers.</w:t>
      </w:r>
    </w:p>
    <w:p w14:paraId="3DFE6ED2" w14:textId="77777777" w:rsidR="00EE2D2C" w:rsidRPr="00000C96" w:rsidRDefault="00EE2D2C" w:rsidP="00EE2D2C">
      <w:pPr>
        <w:pStyle w:val="Heading3"/>
      </w:pPr>
      <w:r w:rsidRPr="00000C96">
        <w:t>Supervisor wages and on-costs</w:t>
      </w:r>
    </w:p>
    <w:p w14:paraId="64EE5144" w14:textId="77777777" w:rsidR="003871F3" w:rsidRPr="00000C96" w:rsidRDefault="003871F3" w:rsidP="003871F3">
      <w:pPr>
        <w:pStyle w:val="ListParagraph"/>
        <w:numPr>
          <w:ilvl w:val="0"/>
          <w:numId w:val="12"/>
        </w:numPr>
        <w:rPr>
          <w:b/>
          <w:bCs/>
        </w:rPr>
      </w:pPr>
      <w:r w:rsidRPr="00000C96">
        <w:t>Is there a material difference in the wages and on-costs of supervisor in SIL services compared to non-SIL services?</w:t>
      </w:r>
    </w:p>
    <w:p w14:paraId="25B09BE2" w14:textId="77777777" w:rsidR="00EE2D2C" w:rsidRPr="00000C96" w:rsidRDefault="003871F3" w:rsidP="00EE2D2C">
      <w:pPr>
        <w:pStyle w:val="ListParagraph"/>
        <w:ind w:left="425" w:firstLine="0"/>
      </w:pPr>
      <w:r w:rsidRPr="00000C96">
        <w:t xml:space="preserve">If there is a difference, </w:t>
      </w:r>
      <w:r w:rsidR="00742765" w:rsidRPr="00000C96">
        <w:t>what are the key drivers of these differences</w:t>
      </w:r>
      <w:r w:rsidRPr="00000C96">
        <w:t>?</w:t>
      </w:r>
      <w:r w:rsidR="00EE2D2C" w:rsidRPr="00000C96">
        <w:t xml:space="preserve"> </w:t>
      </w:r>
      <w:r w:rsidRPr="00000C96">
        <w:t>How large is the difference?</w:t>
      </w:r>
      <w:r w:rsidR="00EE2D2C" w:rsidRPr="00000C96">
        <w:t xml:space="preserve"> </w:t>
      </w:r>
    </w:p>
    <w:p w14:paraId="03590273" w14:textId="77777777" w:rsidR="00EE2D2C" w:rsidRPr="00000C96" w:rsidRDefault="00EE2D2C" w:rsidP="00EE2D2C">
      <w:pPr>
        <w:pStyle w:val="Heading3"/>
      </w:pPr>
      <w:r w:rsidRPr="00000C96">
        <w:lastRenderedPageBreak/>
        <w:t>Supervision ratio</w:t>
      </w:r>
    </w:p>
    <w:p w14:paraId="08BFA4FC" w14:textId="77777777" w:rsidR="003871F3" w:rsidRPr="00000C96" w:rsidRDefault="00A0008A" w:rsidP="003871F3">
      <w:pPr>
        <w:pStyle w:val="ListParagraph"/>
        <w:numPr>
          <w:ilvl w:val="0"/>
          <w:numId w:val="12"/>
        </w:numPr>
        <w:rPr>
          <w:b/>
          <w:bCs/>
        </w:rPr>
      </w:pPr>
      <w:r w:rsidRPr="00000C96">
        <w:t xml:space="preserve">Is there a difference in the number of workers per supervisor for SIL services compared to </w:t>
      </w:r>
      <w:r w:rsidR="00DE5528" w:rsidRPr="00000C96">
        <w:t>non-SIL</w:t>
      </w:r>
      <w:r w:rsidRPr="00000C96">
        <w:t xml:space="preserve"> services?</w:t>
      </w:r>
    </w:p>
    <w:p w14:paraId="3B291BA8" w14:textId="77777777" w:rsidR="003871F3" w:rsidRPr="00000C96" w:rsidRDefault="00A0008A" w:rsidP="003871F3">
      <w:pPr>
        <w:pStyle w:val="ListParagraph"/>
        <w:ind w:left="425" w:firstLine="0"/>
      </w:pPr>
      <w:r w:rsidRPr="00000C96">
        <w:t>If there is a difference, what aspects of service delivery mean that more or fewer supervisors are required?</w:t>
      </w:r>
      <w:r w:rsidR="00EE2D2C" w:rsidRPr="00000C96">
        <w:t xml:space="preserve"> </w:t>
      </w:r>
      <w:r w:rsidR="003871F3" w:rsidRPr="00000C96">
        <w:t>How large is the difference?</w:t>
      </w:r>
    </w:p>
    <w:p w14:paraId="3316DA24" w14:textId="77777777" w:rsidR="00B74F91" w:rsidRPr="00000C96" w:rsidRDefault="00B74F91" w:rsidP="00742765">
      <w:pPr>
        <w:pStyle w:val="Heading2"/>
      </w:pPr>
      <w:bookmarkStart w:id="11" w:name="_Toc49768874"/>
      <w:r w:rsidRPr="00000C96">
        <w:t>Overheads</w:t>
      </w:r>
      <w:bookmarkEnd w:id="11"/>
    </w:p>
    <w:p w14:paraId="0EBB7651" w14:textId="77777777" w:rsidR="00EE2D2C" w:rsidRPr="00000C96" w:rsidRDefault="00EE2D2C" w:rsidP="00EE2D2C">
      <w:r w:rsidRPr="00000C96">
        <w:t>The NDIS Disability Support Worker Cost Model that providers incur a number of costs (“overheads”) that not directly attributable to worker salaries and on-costs. The NDIA is therefore seeking detailed evidence on whether there are material differences in these costs between SIL workers and non-SIL workers.</w:t>
      </w:r>
    </w:p>
    <w:p w14:paraId="48B6AFBB" w14:textId="77777777" w:rsidR="00EE2D2C" w:rsidRPr="00000C96" w:rsidRDefault="00EE2D2C" w:rsidP="00EE2D2C">
      <w:pPr>
        <w:pStyle w:val="Heading3"/>
      </w:pPr>
      <w:r w:rsidRPr="00000C96">
        <w:t>Corporate overheads</w:t>
      </w:r>
    </w:p>
    <w:p w14:paraId="23807C84" w14:textId="77777777" w:rsidR="00EE2D2C" w:rsidRPr="00000C96" w:rsidRDefault="00573D54" w:rsidP="00EE2D2C">
      <w:pPr>
        <w:pStyle w:val="ListParagraph"/>
        <w:numPr>
          <w:ilvl w:val="0"/>
          <w:numId w:val="12"/>
        </w:numPr>
      </w:pPr>
      <w:r w:rsidRPr="00000C96">
        <w:t xml:space="preserve">Is there a difference in the level of </w:t>
      </w:r>
      <w:r w:rsidR="00AD62FF" w:rsidRPr="00000C96">
        <w:t xml:space="preserve">corporate </w:t>
      </w:r>
      <w:r w:rsidRPr="00000C96">
        <w:t xml:space="preserve">overheads that are incurred in delivering SIL services compared to </w:t>
      </w:r>
      <w:r w:rsidR="00DE5528" w:rsidRPr="00000C96">
        <w:t>non-SIL</w:t>
      </w:r>
      <w:r w:rsidRPr="00000C96">
        <w:t xml:space="preserve"> services?</w:t>
      </w:r>
      <w:r w:rsidR="003C5F87" w:rsidRPr="00000C96">
        <w:t xml:space="preserve"> </w:t>
      </w:r>
    </w:p>
    <w:p w14:paraId="133596CB" w14:textId="77777777" w:rsidR="00573D54" w:rsidRPr="00000C96" w:rsidRDefault="003C5F87" w:rsidP="00EE2D2C">
      <w:pPr>
        <w:pStyle w:val="ListParagraph"/>
        <w:ind w:left="425" w:firstLine="0"/>
      </w:pPr>
      <w:r w:rsidRPr="00000C96">
        <w:t>If so, what aspects of the SIL operating environment drive this difference?</w:t>
      </w:r>
      <w:r w:rsidR="00EE2D2C" w:rsidRPr="00000C96">
        <w:t xml:space="preserve"> How large is the difference?</w:t>
      </w:r>
    </w:p>
    <w:p w14:paraId="09E69E20" w14:textId="77777777" w:rsidR="00EE2D2C" w:rsidRPr="00000C96" w:rsidRDefault="00EE2D2C" w:rsidP="00EE2D2C">
      <w:pPr>
        <w:pStyle w:val="Heading3"/>
      </w:pPr>
      <w:r w:rsidRPr="00000C96">
        <w:t>Turnover rates</w:t>
      </w:r>
    </w:p>
    <w:p w14:paraId="6F4CE3D3" w14:textId="77777777" w:rsidR="00DE5528" w:rsidRPr="00000C96" w:rsidRDefault="00DE5528" w:rsidP="00EE2D2C">
      <w:pPr>
        <w:pStyle w:val="ListParagraph"/>
        <w:numPr>
          <w:ilvl w:val="0"/>
          <w:numId w:val="12"/>
        </w:numPr>
      </w:pPr>
      <w:r w:rsidRPr="00000C96">
        <w:t xml:space="preserve">Do staff turnover rates differ between staff who deliver SIL services compared to non-SIL services? </w:t>
      </w:r>
    </w:p>
    <w:p w14:paraId="73CD0A50" w14:textId="77777777" w:rsidR="00EE2D2C" w:rsidRPr="00000C96" w:rsidRDefault="00EE2D2C" w:rsidP="00EE2D2C">
      <w:pPr>
        <w:pStyle w:val="ListParagraph"/>
        <w:ind w:left="425" w:firstLine="0"/>
      </w:pPr>
      <w:r w:rsidRPr="00000C96">
        <w:t>If so, what aspects of the SIL operating environment drive this difference? How large is the difference?</w:t>
      </w:r>
    </w:p>
    <w:p w14:paraId="1C119839" w14:textId="77777777" w:rsidR="00DE5528" w:rsidRPr="00000C96" w:rsidRDefault="00DE5528" w:rsidP="00EE2D2C">
      <w:pPr>
        <w:pStyle w:val="ListParagraph"/>
        <w:numPr>
          <w:ilvl w:val="0"/>
          <w:numId w:val="12"/>
        </w:numPr>
      </w:pPr>
      <w:r w:rsidRPr="00000C96">
        <w:t>What costs are incurred when staff turnover?</w:t>
      </w:r>
      <w:r w:rsidR="00EE2D2C" w:rsidRPr="00000C96">
        <w:t xml:space="preserve"> Do these costs differ between staff who deliver SIL services compared to non-SIL services?</w:t>
      </w:r>
    </w:p>
    <w:p w14:paraId="6A09919B" w14:textId="77777777" w:rsidR="00EE2D2C" w:rsidRPr="00000C96" w:rsidRDefault="00EE2D2C" w:rsidP="00EE2D2C">
      <w:pPr>
        <w:pStyle w:val="ListParagraph"/>
        <w:ind w:left="425" w:firstLine="0"/>
      </w:pPr>
      <w:r w:rsidRPr="00000C96">
        <w:t>If so, what aspects of the SIL operating environment drive this difference? How large is the difference?</w:t>
      </w:r>
    </w:p>
    <w:p w14:paraId="0C23CB6B" w14:textId="77777777" w:rsidR="00AF150D" w:rsidRPr="00000C96" w:rsidRDefault="00573D54" w:rsidP="00742765">
      <w:pPr>
        <w:pStyle w:val="Heading2"/>
        <w:ind w:left="0" w:firstLine="0"/>
      </w:pPr>
      <w:bookmarkStart w:id="12" w:name="_Toc49768875"/>
      <w:r w:rsidRPr="00000C96">
        <w:t>Supply costs specific to SIL services</w:t>
      </w:r>
      <w:bookmarkEnd w:id="12"/>
    </w:p>
    <w:p w14:paraId="543F6EC2" w14:textId="77777777" w:rsidR="00573D54" w:rsidRPr="00000C96" w:rsidRDefault="00EE2D2C" w:rsidP="0020583E">
      <w:r w:rsidRPr="00000C96">
        <w:t xml:space="preserve">The NDIA </w:t>
      </w:r>
      <w:r w:rsidR="00720F8C" w:rsidRPr="00000C96">
        <w:t>recognises</w:t>
      </w:r>
      <w:r w:rsidRPr="00000C96">
        <w:t xml:space="preserve"> that there may be</w:t>
      </w:r>
      <w:r w:rsidR="00573D54" w:rsidRPr="00000C96">
        <w:t xml:space="preserve"> a number of supply cost considerations </w:t>
      </w:r>
      <w:r w:rsidRPr="00000C96">
        <w:t>that</w:t>
      </w:r>
      <w:r w:rsidR="00573D54" w:rsidRPr="00000C96">
        <w:t xml:space="preserve"> are specific to delivering SIL services</w:t>
      </w:r>
      <w:r w:rsidRPr="00000C96">
        <w:t>.</w:t>
      </w:r>
      <w:r w:rsidR="00720F8C" w:rsidRPr="00000C96">
        <w:t xml:space="preserve"> The NDIA is therefore seeking detailed evidence on these costs and their drivers.</w:t>
      </w:r>
    </w:p>
    <w:p w14:paraId="2088ECBC" w14:textId="77777777" w:rsidR="00B52834" w:rsidRPr="00000C96" w:rsidRDefault="005B15E3" w:rsidP="00B52834">
      <w:pPr>
        <w:pStyle w:val="Heading3"/>
      </w:pPr>
      <w:r w:rsidRPr="00000C96">
        <w:t>Vacancy m</w:t>
      </w:r>
      <w:r w:rsidR="00B52834" w:rsidRPr="00000C96">
        <w:t>anagement</w:t>
      </w:r>
    </w:p>
    <w:p w14:paraId="3FEE9D1F" w14:textId="77777777" w:rsidR="00BC06F1" w:rsidRPr="00000C96" w:rsidRDefault="003C5F87" w:rsidP="00EE2D2C">
      <w:pPr>
        <w:pStyle w:val="ListParagraph"/>
        <w:numPr>
          <w:ilvl w:val="0"/>
          <w:numId w:val="12"/>
        </w:numPr>
      </w:pPr>
      <w:r w:rsidRPr="00000C96">
        <w:t>What is the average vacancy rate across your properties</w:t>
      </w:r>
      <w:r w:rsidR="00BC06F1" w:rsidRPr="00000C96">
        <w:t>?</w:t>
      </w:r>
    </w:p>
    <w:p w14:paraId="400E8A46" w14:textId="77777777" w:rsidR="00843039" w:rsidRPr="00000C96" w:rsidRDefault="00BC06F1" w:rsidP="00EE2D2C">
      <w:pPr>
        <w:pStyle w:val="ListParagraph"/>
        <w:numPr>
          <w:ilvl w:val="0"/>
          <w:numId w:val="12"/>
        </w:numPr>
      </w:pPr>
      <w:r w:rsidRPr="00000C96">
        <w:t xml:space="preserve">Is the vacancy rate of a property </w:t>
      </w:r>
      <w:r w:rsidR="003C5F87" w:rsidRPr="00000C96">
        <w:t>influenced by factors such as the complexity of participants in each property, the rurality of the property, and the number of rooms in the property?</w:t>
      </w:r>
    </w:p>
    <w:p w14:paraId="08DB7B5F" w14:textId="77777777" w:rsidR="00A900E6" w:rsidRPr="00000C96" w:rsidRDefault="00A900E6" w:rsidP="00EE2D2C">
      <w:pPr>
        <w:pStyle w:val="ListParagraph"/>
        <w:numPr>
          <w:ilvl w:val="0"/>
          <w:numId w:val="12"/>
        </w:numPr>
      </w:pPr>
      <w:r w:rsidRPr="00000C96">
        <w:t>What factors are considered in optimising the number of participants per SIL property? What impact does this have on costs?</w:t>
      </w:r>
    </w:p>
    <w:p w14:paraId="67189A1D" w14:textId="77777777" w:rsidR="00B52834" w:rsidRPr="00000C96" w:rsidRDefault="00B52834" w:rsidP="00B52834">
      <w:pPr>
        <w:pStyle w:val="ListParagraph"/>
        <w:numPr>
          <w:ilvl w:val="0"/>
          <w:numId w:val="12"/>
        </w:numPr>
      </w:pPr>
      <w:r w:rsidRPr="00000C96">
        <w:t xml:space="preserve">What approach is used to optimise vacancy levels across your properties? </w:t>
      </w:r>
    </w:p>
    <w:p w14:paraId="35DD49FD" w14:textId="77777777" w:rsidR="00B52834" w:rsidRPr="00000C96" w:rsidRDefault="00B52834" w:rsidP="00B52834">
      <w:pPr>
        <w:pStyle w:val="Heading3"/>
      </w:pPr>
      <w:r w:rsidRPr="00000C96">
        <w:lastRenderedPageBreak/>
        <w:t xml:space="preserve">Vacancy </w:t>
      </w:r>
      <w:r w:rsidR="005B15E3" w:rsidRPr="00000C96">
        <w:t>c</w:t>
      </w:r>
      <w:r w:rsidRPr="00000C96">
        <w:t>osts</w:t>
      </w:r>
    </w:p>
    <w:p w14:paraId="056C47A1" w14:textId="77777777" w:rsidR="00B52834" w:rsidRPr="00000C96" w:rsidRDefault="00B52834" w:rsidP="00B52834">
      <w:pPr>
        <w:pStyle w:val="ListParagraph"/>
        <w:numPr>
          <w:ilvl w:val="0"/>
          <w:numId w:val="12"/>
        </w:numPr>
      </w:pPr>
      <w:r w:rsidRPr="00000C96">
        <w:t>How do vacancies impact the costs of delivering SIL services?</w:t>
      </w:r>
    </w:p>
    <w:p w14:paraId="2604A15D" w14:textId="77777777" w:rsidR="00B52834" w:rsidRPr="00000C96" w:rsidRDefault="00B52834" w:rsidP="00B52834">
      <w:pPr>
        <w:pStyle w:val="ListParagraph"/>
        <w:ind w:left="425" w:firstLine="0"/>
      </w:pPr>
      <w:r w:rsidRPr="00000C96">
        <w:t>Please quantify these costs for your organisation?</w:t>
      </w:r>
    </w:p>
    <w:p w14:paraId="1AAF3744" w14:textId="77777777" w:rsidR="00B52834" w:rsidRPr="00000C96" w:rsidRDefault="00B52834" w:rsidP="00B52834">
      <w:pPr>
        <w:pStyle w:val="ListParagraph"/>
        <w:numPr>
          <w:ilvl w:val="0"/>
          <w:numId w:val="12"/>
        </w:numPr>
      </w:pPr>
      <w:r w:rsidRPr="00000C96">
        <w:t>Some costs associated with vacancies can be</w:t>
      </w:r>
      <w:r w:rsidR="009213F2" w:rsidRPr="00000C96">
        <w:t xml:space="preserve"> considered to be</w:t>
      </w:r>
      <w:r w:rsidRPr="00000C96">
        <w:t xml:space="preserve"> “fixed” – for example, an inactive sleepover for a three bedroom house has the same cost whether there are two or three participants in the house. Other costs can be </w:t>
      </w:r>
      <w:r w:rsidR="009213F2" w:rsidRPr="00000C96">
        <w:t xml:space="preserve">considered to be </w:t>
      </w:r>
      <w:r w:rsidRPr="00000C96">
        <w:t xml:space="preserve">more “variable” </w:t>
      </w:r>
      <w:r w:rsidRPr="00000C96">
        <w:softHyphen/>
        <w:t xml:space="preserve">– for example, the vacancy costs of a three bedroom house with three residents each receiving 1:1 supports can, in general, be managed through change in rostering. </w:t>
      </w:r>
    </w:p>
    <w:p w14:paraId="4EE7F44F" w14:textId="77777777" w:rsidR="00B52834" w:rsidRPr="00000C96" w:rsidRDefault="00B52834" w:rsidP="00B52834">
      <w:pPr>
        <w:pStyle w:val="ListParagraph"/>
        <w:ind w:left="425" w:firstLine="0"/>
      </w:pPr>
      <w:r w:rsidRPr="00000C96">
        <w:t>What proposition of vacancy costs are fixed or variable in your organisation?</w:t>
      </w:r>
    </w:p>
    <w:p w14:paraId="339454EA" w14:textId="77777777" w:rsidR="00A900E6" w:rsidRPr="00000C96" w:rsidRDefault="00A900E6" w:rsidP="00F063DF">
      <w:pPr>
        <w:pStyle w:val="Heading3"/>
      </w:pPr>
      <w:r w:rsidRPr="00000C96">
        <w:t>Participant complexity</w:t>
      </w:r>
    </w:p>
    <w:p w14:paraId="5C8A6328" w14:textId="77777777" w:rsidR="009213F2" w:rsidRPr="00000C96" w:rsidRDefault="001714E3" w:rsidP="00EE2D2C">
      <w:pPr>
        <w:pStyle w:val="ListParagraph"/>
        <w:numPr>
          <w:ilvl w:val="0"/>
          <w:numId w:val="12"/>
        </w:numPr>
      </w:pPr>
      <w:r w:rsidRPr="00000C96">
        <w:t>What impact does participant complexity have on the costs of delivering</w:t>
      </w:r>
      <w:r w:rsidR="00547923" w:rsidRPr="00000C96">
        <w:t xml:space="preserve"> support</w:t>
      </w:r>
      <w:r w:rsidR="009213F2" w:rsidRPr="00000C96">
        <w:t>s in the SIL environment</w:t>
      </w:r>
      <w:r w:rsidRPr="00000C96">
        <w:t>?</w:t>
      </w:r>
      <w:r w:rsidR="00B64EAD" w:rsidRPr="00000C96">
        <w:t xml:space="preserve"> </w:t>
      </w:r>
    </w:p>
    <w:p w14:paraId="440AE0AE" w14:textId="77777777" w:rsidR="001714E3" w:rsidRPr="00000C96" w:rsidRDefault="00AD62FF" w:rsidP="00EE2D2C">
      <w:pPr>
        <w:pStyle w:val="ListParagraph"/>
        <w:numPr>
          <w:ilvl w:val="0"/>
          <w:numId w:val="12"/>
        </w:numPr>
      </w:pPr>
      <w:r w:rsidRPr="00000C96">
        <w:t xml:space="preserve">What approach </w:t>
      </w:r>
      <w:r w:rsidR="00EA5A63" w:rsidRPr="00000C96">
        <w:t>is used to optimise the allocation of</w:t>
      </w:r>
      <w:r w:rsidRPr="00000C96">
        <w:t xml:space="preserve"> participants with different</w:t>
      </w:r>
      <w:r w:rsidR="00547923" w:rsidRPr="00000C96">
        <w:t xml:space="preserve"> support</w:t>
      </w:r>
      <w:r w:rsidRPr="00000C96">
        <w:t xml:space="preserve"> needs across your properties?</w:t>
      </w:r>
    </w:p>
    <w:p w14:paraId="705A434F" w14:textId="77777777" w:rsidR="00F063DF" w:rsidRPr="00000C96" w:rsidRDefault="00F063DF" w:rsidP="00F063DF">
      <w:pPr>
        <w:pStyle w:val="Heading3"/>
      </w:pPr>
      <w:r w:rsidRPr="00000C96">
        <w:t>Shift cost</w:t>
      </w:r>
      <w:r w:rsidR="005B15E3" w:rsidRPr="00000C96">
        <w:t>s</w:t>
      </w:r>
    </w:p>
    <w:p w14:paraId="51D50E35" w14:textId="77777777" w:rsidR="000655F1" w:rsidRPr="00000C96" w:rsidRDefault="000655F1" w:rsidP="00EE2D2C">
      <w:pPr>
        <w:pStyle w:val="ListParagraph"/>
        <w:numPr>
          <w:ilvl w:val="0"/>
          <w:numId w:val="12"/>
        </w:numPr>
      </w:pPr>
      <w:r w:rsidRPr="00000C96">
        <w:t xml:space="preserve">How many shifts are provided in a 24-hour period? To what extent is the number of shifts driven by factors such as the number of participants in the property, the mix of support needs within the property, or other factors? </w:t>
      </w:r>
    </w:p>
    <w:p w14:paraId="758EDF4B" w14:textId="77777777" w:rsidR="000F35A3" w:rsidRPr="00000C96" w:rsidRDefault="001714E3" w:rsidP="00EE2D2C">
      <w:pPr>
        <w:pStyle w:val="ListParagraph"/>
        <w:numPr>
          <w:ilvl w:val="0"/>
          <w:numId w:val="12"/>
        </w:numPr>
      </w:pPr>
      <w:r w:rsidRPr="00000C96">
        <w:t>How do</w:t>
      </w:r>
      <w:r w:rsidR="000F35A3" w:rsidRPr="00000C96">
        <w:t xml:space="preserve"> sleepover and crossover shifts</w:t>
      </w:r>
      <w:r w:rsidRPr="00000C96">
        <w:t xml:space="preserve"> impact on supply costs</w:t>
      </w:r>
      <w:r w:rsidR="000F35A3" w:rsidRPr="00000C96">
        <w:t>?</w:t>
      </w:r>
    </w:p>
    <w:p w14:paraId="05192A80" w14:textId="77777777" w:rsidR="00F063DF" w:rsidRPr="00000C96" w:rsidRDefault="00F063DF" w:rsidP="00F063DF">
      <w:pPr>
        <w:pStyle w:val="Heading3"/>
      </w:pPr>
      <w:r w:rsidRPr="00000C96">
        <w:t>Establishment cost</w:t>
      </w:r>
      <w:r w:rsidR="005B15E3" w:rsidRPr="00000C96">
        <w:t>s</w:t>
      </w:r>
    </w:p>
    <w:p w14:paraId="3180137E" w14:textId="77777777" w:rsidR="009213F2" w:rsidRPr="00000C96" w:rsidRDefault="000631A6" w:rsidP="00EE2D2C">
      <w:pPr>
        <w:pStyle w:val="ListParagraph"/>
        <w:numPr>
          <w:ilvl w:val="0"/>
          <w:numId w:val="12"/>
        </w:numPr>
      </w:pPr>
      <w:r w:rsidRPr="00000C96">
        <w:t xml:space="preserve">On </w:t>
      </w:r>
      <w:r w:rsidR="00AD62FF" w:rsidRPr="00000C96">
        <w:t>an annual basis</w:t>
      </w:r>
      <w:r w:rsidRPr="00000C96">
        <w:t xml:space="preserve">, how often </w:t>
      </w:r>
      <w:r w:rsidR="00AD62FF" w:rsidRPr="00000C96">
        <w:t>is a new participant established in a property</w:t>
      </w:r>
      <w:r w:rsidRPr="00000C96">
        <w:t xml:space="preserve">? </w:t>
      </w:r>
    </w:p>
    <w:p w14:paraId="19789BF2" w14:textId="77777777" w:rsidR="00AA1E3A" w:rsidRPr="00000C96" w:rsidRDefault="009213F2" w:rsidP="00EE2D2C">
      <w:pPr>
        <w:pStyle w:val="ListParagraph"/>
        <w:numPr>
          <w:ilvl w:val="0"/>
          <w:numId w:val="12"/>
        </w:numPr>
      </w:pPr>
      <w:r w:rsidRPr="00000C96">
        <w:t>Is there a material difference in the costs of establishing a participant</w:t>
      </w:r>
      <w:r w:rsidR="00AA1E3A" w:rsidRPr="00000C96">
        <w:t xml:space="preserve"> between </w:t>
      </w:r>
      <w:r w:rsidR="00DE5528" w:rsidRPr="00000C96">
        <w:t>SIL</w:t>
      </w:r>
      <w:r w:rsidR="00AA1E3A" w:rsidRPr="00000C96">
        <w:t xml:space="preserve"> and </w:t>
      </w:r>
      <w:r w:rsidRPr="00000C96">
        <w:t>non-</w:t>
      </w:r>
      <w:r w:rsidR="00AA1E3A" w:rsidRPr="00000C96">
        <w:t>SIL services?</w:t>
      </w:r>
    </w:p>
    <w:p w14:paraId="43035E38" w14:textId="77777777" w:rsidR="009213F2" w:rsidRPr="00000C96" w:rsidRDefault="009213F2" w:rsidP="009213F2">
      <w:pPr>
        <w:pStyle w:val="ListParagraph"/>
        <w:ind w:left="425" w:firstLine="0"/>
      </w:pPr>
      <w:r w:rsidRPr="00000C96">
        <w:t>If so, what aspects of the SIL operating environment drive this difference? How large is the difference?</w:t>
      </w:r>
    </w:p>
    <w:p w14:paraId="734252DF" w14:textId="77777777" w:rsidR="009213F2" w:rsidRPr="00000C96" w:rsidRDefault="009213F2" w:rsidP="009213F2">
      <w:pPr>
        <w:pStyle w:val="ListParagraph"/>
        <w:ind w:left="425" w:firstLine="0"/>
      </w:pPr>
      <w:r w:rsidRPr="00000C96">
        <w:t>How is this influenced by factors such as the complexity of the participant’s needs, the existing number of participants and/or rooms within a property, or other factors?</w:t>
      </w:r>
    </w:p>
    <w:p w14:paraId="52722E9F" w14:textId="77777777" w:rsidR="00FE36E9" w:rsidRPr="00000C96" w:rsidRDefault="00FE36E9" w:rsidP="00FE36E9">
      <w:pPr>
        <w:pStyle w:val="Heading3"/>
      </w:pPr>
      <w:r w:rsidRPr="00000C96">
        <w:t>Location differences</w:t>
      </w:r>
    </w:p>
    <w:p w14:paraId="01735C1D" w14:textId="77777777" w:rsidR="00FE36E9" w:rsidRPr="00000C96" w:rsidRDefault="00FE36E9" w:rsidP="00EE2D2C">
      <w:pPr>
        <w:pStyle w:val="ListParagraph"/>
        <w:numPr>
          <w:ilvl w:val="0"/>
          <w:numId w:val="12"/>
        </w:numPr>
      </w:pPr>
      <w:r w:rsidRPr="00000C96">
        <w:t>Do costs for delivering SIL services differ significantly between metropolitan centres versus regional, rural and remote areas? If so, what is the average cost differential, and what elements of the cost drive this difference?</w:t>
      </w:r>
    </w:p>
    <w:p w14:paraId="41A1698D" w14:textId="77777777" w:rsidR="00C513C5" w:rsidRPr="00000C96" w:rsidRDefault="009E6A06" w:rsidP="009E6A06">
      <w:pPr>
        <w:pStyle w:val="Heading3"/>
      </w:pPr>
      <w:r w:rsidRPr="00000C96">
        <w:t>Other supply cost</w:t>
      </w:r>
      <w:r w:rsidR="005B15E3" w:rsidRPr="00000C96">
        <w:t>s</w:t>
      </w:r>
    </w:p>
    <w:p w14:paraId="685B15B8" w14:textId="77777777" w:rsidR="00920E96" w:rsidRPr="00000C96" w:rsidRDefault="00920E96" w:rsidP="00EE2D2C">
      <w:pPr>
        <w:pStyle w:val="ListParagraph"/>
        <w:numPr>
          <w:ilvl w:val="0"/>
          <w:numId w:val="12"/>
        </w:numPr>
      </w:pPr>
      <w:r w:rsidRPr="00000C96">
        <w:t xml:space="preserve">In delivering SIL services, what proportion of </w:t>
      </w:r>
      <w:r w:rsidR="00A0008A" w:rsidRPr="00000C96">
        <w:t>Disability Support Worker</w:t>
      </w:r>
      <w:r w:rsidRPr="00000C96">
        <w:t xml:space="preserve"> time is spent on providing support to participants? Note that this includes time directly interacting with participants, as well as tasks which do not involve direct interaction with participants such as preparing meals or sleepover shifts.</w:t>
      </w:r>
    </w:p>
    <w:p w14:paraId="095D34CD" w14:textId="77777777" w:rsidR="00A731BE" w:rsidRPr="00000C96" w:rsidRDefault="00A731BE" w:rsidP="00742765">
      <w:pPr>
        <w:pStyle w:val="Heading2"/>
        <w:ind w:left="0" w:firstLine="0"/>
      </w:pPr>
      <w:bookmarkStart w:id="13" w:name="_Toc49768876"/>
      <w:r w:rsidRPr="00000C96">
        <w:lastRenderedPageBreak/>
        <w:t>Other costs</w:t>
      </w:r>
      <w:bookmarkEnd w:id="13"/>
    </w:p>
    <w:p w14:paraId="57BF40BD" w14:textId="77777777" w:rsidR="009213F2" w:rsidRPr="00000C96" w:rsidRDefault="00A731BE" w:rsidP="00EE2D2C">
      <w:pPr>
        <w:pStyle w:val="ListParagraph"/>
        <w:numPr>
          <w:ilvl w:val="0"/>
          <w:numId w:val="12"/>
        </w:numPr>
      </w:pPr>
      <w:r w:rsidRPr="00000C96">
        <w:t xml:space="preserve">Are there any additional costs incurred in </w:t>
      </w:r>
      <w:r w:rsidR="00DE5528" w:rsidRPr="00000C96">
        <w:t>non-SIL</w:t>
      </w:r>
      <w:r w:rsidRPr="00000C96">
        <w:t xml:space="preserve"> or SIL services, which are not currently captured in the Cost Model? </w:t>
      </w:r>
    </w:p>
    <w:p w14:paraId="5F236933" w14:textId="77777777" w:rsidR="009213F2" w:rsidRPr="00000C96" w:rsidRDefault="009213F2" w:rsidP="009213F2">
      <w:pPr>
        <w:pStyle w:val="ListParagraph"/>
        <w:ind w:left="425" w:firstLine="0"/>
      </w:pPr>
      <w:r w:rsidRPr="00000C96">
        <w:t>Please provide details.</w:t>
      </w:r>
    </w:p>
    <w:p w14:paraId="6C87C1DC" w14:textId="77777777" w:rsidR="00B909BB" w:rsidRPr="00000C96" w:rsidRDefault="00A731BE" w:rsidP="00EE2D2C">
      <w:pPr>
        <w:pStyle w:val="ListParagraph"/>
        <w:numPr>
          <w:ilvl w:val="0"/>
          <w:numId w:val="12"/>
        </w:numPr>
      </w:pPr>
      <w:r w:rsidRPr="00000C96">
        <w:t>What additional costs are being incurred as a result of COVID-19?</w:t>
      </w:r>
    </w:p>
    <w:p w14:paraId="2F250A30" w14:textId="77777777" w:rsidR="00B909BB" w:rsidRPr="00000C96" w:rsidRDefault="009213F2" w:rsidP="009213F2">
      <w:pPr>
        <w:pStyle w:val="ListParagraph"/>
        <w:ind w:left="425" w:firstLine="0"/>
      </w:pPr>
      <w:r w:rsidRPr="00000C96">
        <w:t>Please provide details.</w:t>
      </w:r>
    </w:p>
    <w:p w14:paraId="3B049141" w14:textId="77777777" w:rsidR="00B909BB" w:rsidRPr="00000C96" w:rsidRDefault="00B909BB" w:rsidP="00B909BB">
      <w:pPr>
        <w:pStyle w:val="ListParagraph"/>
        <w:numPr>
          <w:ilvl w:val="1"/>
          <w:numId w:val="18"/>
        </w:numPr>
        <w:sectPr w:rsidR="00B909BB" w:rsidRPr="00000C96" w:rsidSect="00DC0A5C">
          <w:pgSz w:w="11906" w:h="16838" w:code="9"/>
          <w:pgMar w:top="1440" w:right="1440" w:bottom="1440" w:left="1440" w:header="709" w:footer="709" w:gutter="0"/>
          <w:cols w:space="708"/>
          <w:titlePg/>
          <w:docGrid w:linePitch="360"/>
        </w:sectPr>
      </w:pPr>
    </w:p>
    <w:p w14:paraId="39453ED5" w14:textId="77777777" w:rsidR="00A4471E" w:rsidRPr="00000C96" w:rsidRDefault="002B23AE" w:rsidP="00742765">
      <w:pPr>
        <w:pStyle w:val="Heading1"/>
      </w:pPr>
      <w:bookmarkStart w:id="14" w:name="_Toc49768877"/>
      <w:r w:rsidRPr="00000C96">
        <w:lastRenderedPageBreak/>
        <w:t xml:space="preserve">Appendix </w:t>
      </w:r>
      <w:r w:rsidR="009628CA" w:rsidRPr="00000C96">
        <w:t>A</w:t>
      </w:r>
      <w:r w:rsidR="005B15E3" w:rsidRPr="00000C96">
        <w:t>: Schematic overview – NDIS</w:t>
      </w:r>
      <w:r w:rsidR="009628CA" w:rsidRPr="00000C96">
        <w:t xml:space="preserve"> Disability Support Worker Cost Model</w:t>
      </w:r>
      <w:bookmarkEnd w:id="14"/>
    </w:p>
    <w:p w14:paraId="30885183" w14:textId="77777777" w:rsidR="00F12763" w:rsidRPr="00000C96" w:rsidRDefault="00290CB0" w:rsidP="00290CB0">
      <w:pPr>
        <w:sectPr w:rsidR="00F12763" w:rsidRPr="00000C96" w:rsidSect="002B23AE">
          <w:pgSz w:w="16838" w:h="11906" w:orient="landscape" w:code="9"/>
          <w:pgMar w:top="1440" w:right="1440" w:bottom="1440" w:left="1440" w:header="709" w:footer="709" w:gutter="0"/>
          <w:cols w:space="708"/>
          <w:titlePg/>
          <w:docGrid w:linePitch="360"/>
        </w:sectPr>
      </w:pPr>
      <w:r w:rsidRPr="00000C96">
        <w:rPr>
          <w:noProof/>
          <w:lang w:eastAsia="en-AU"/>
        </w:rPr>
        <w:drawing>
          <wp:inline distT="0" distB="0" distL="0" distR="0" wp14:anchorId="347024B8" wp14:editId="4D3D8627">
            <wp:extent cx="8325016" cy="5067401"/>
            <wp:effectExtent l="0" t="0" r="0" b="0"/>
            <wp:docPr id="2" name="Picture 2" descr="Appendix A: Schematic overview of the NDIA Disability Support Worker Cost Model&#10;Summarises the different parameters that the NDIS DSW Cost Model is comprised of which include: Salary and wages, shift loadings, leave allowance, on-costs, supervision costs, permanent workforce, utilisation, overheads, margins and indexation. &#10;&#10;The output for these parameters lead to the cost per hour of support by each DSW level and shift (without Temporary Transformation Payment)." title="Appendix A: Schematic overview of the NDIA Disability Support Worker Cos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351005" cy="5083220"/>
                    </a:xfrm>
                    <a:prstGeom prst="rect">
                      <a:avLst/>
                    </a:prstGeom>
                  </pic:spPr>
                </pic:pic>
              </a:graphicData>
            </a:graphic>
          </wp:inline>
        </w:drawing>
      </w:r>
    </w:p>
    <w:p w14:paraId="78ABEA26" w14:textId="77777777" w:rsidR="00F12763" w:rsidRPr="00000C96" w:rsidRDefault="005B15E3" w:rsidP="00F12763">
      <w:pPr>
        <w:pStyle w:val="Heading1"/>
      </w:pPr>
      <w:bookmarkStart w:id="15" w:name="_Toc49768878"/>
      <w:r w:rsidRPr="00000C96">
        <w:lastRenderedPageBreak/>
        <w:t>Appendix B:</w:t>
      </w:r>
      <w:r w:rsidR="00F12763" w:rsidRPr="00000C96">
        <w:t xml:space="preserve"> Current arrangements</w:t>
      </w:r>
      <w:bookmarkEnd w:id="15"/>
    </w:p>
    <w:p w14:paraId="7642B2A8" w14:textId="77777777" w:rsidR="00F12763" w:rsidRPr="00000C96" w:rsidRDefault="00F12763" w:rsidP="00F12763">
      <w:pPr>
        <w:rPr>
          <w:rFonts w:ascii="Arial" w:hAnsi="Arial" w:cs="Arial"/>
        </w:rPr>
      </w:pPr>
      <w:r w:rsidRPr="00000C96">
        <w:rPr>
          <w:rFonts w:ascii="Arial" w:hAnsi="Arial" w:cs="Arial"/>
        </w:rPr>
        <w:t xml:space="preserve">The Supported Independent Living support items in the NDIS Support Catalogue provide participants with assistance with, or supervision of, tasks of daily life in a shared living environment, with a focus on developing the skills of each individual to live as autonomously as possible. The support is provided to each person living in the shared arrangement in accordance with their need. </w:t>
      </w:r>
    </w:p>
    <w:p w14:paraId="77CCC4CC" w14:textId="77777777" w:rsidR="00F12763" w:rsidRPr="00000C96" w:rsidRDefault="00F12763" w:rsidP="00F12763">
      <w:pPr>
        <w:rPr>
          <w:rFonts w:ascii="Arial" w:hAnsi="Arial" w:cs="Arial"/>
        </w:rPr>
      </w:pPr>
      <w:r w:rsidRPr="00000C96">
        <w:rPr>
          <w:rFonts w:ascii="Arial" w:hAnsi="Arial" w:cs="Arial"/>
        </w:rPr>
        <w:t xml:space="preserve">These support items can be delivered to individual participants subject to the rules set out in the </w:t>
      </w:r>
      <w:r w:rsidRPr="00000C96">
        <w:rPr>
          <w:rFonts w:ascii="Arial" w:hAnsi="Arial" w:cs="Arial"/>
          <w:i/>
        </w:rPr>
        <w:t>NDIS</w:t>
      </w:r>
      <w:r w:rsidRPr="00000C96">
        <w:rPr>
          <w:rFonts w:ascii="Arial" w:hAnsi="Arial" w:cs="Arial"/>
        </w:rPr>
        <w:t xml:space="preserve"> </w:t>
      </w:r>
      <w:r w:rsidRPr="00000C96">
        <w:rPr>
          <w:rFonts w:ascii="Arial" w:hAnsi="Arial" w:cs="Arial"/>
          <w:i/>
        </w:rPr>
        <w:t>Price Guide</w:t>
      </w:r>
      <w:r w:rsidRPr="00000C96">
        <w:rPr>
          <w:rFonts w:ascii="Arial" w:hAnsi="Arial" w:cs="Arial"/>
        </w:rPr>
        <w:t xml:space="preserve">. </w:t>
      </w:r>
    </w:p>
    <w:p w14:paraId="05A6CA5D" w14:textId="77777777" w:rsidR="00F12763" w:rsidRPr="00000C96" w:rsidRDefault="00F12763" w:rsidP="005B15E3">
      <w:pPr>
        <w:rPr>
          <w:rFonts w:ascii="Arial" w:hAnsi="Arial" w:cs="Arial"/>
        </w:rPr>
      </w:pPr>
      <w:r w:rsidRPr="00000C96">
        <w:rPr>
          <w:rFonts w:ascii="Arial" w:hAnsi="Arial" w:cs="Arial"/>
        </w:rPr>
        <w:t>As well as direct service provision, these support items can be used to claim for</w:t>
      </w:r>
      <w:r w:rsidR="005B15E3" w:rsidRPr="00000C96">
        <w:rPr>
          <w:rFonts w:ascii="Arial" w:hAnsi="Arial" w:cs="Arial"/>
        </w:rPr>
        <w:t xml:space="preserve"> </w:t>
      </w:r>
      <w:r w:rsidRPr="00000C96">
        <w:t>Non-Face-to-Face Support Provision</w:t>
      </w:r>
      <w:r w:rsidR="005B15E3" w:rsidRPr="00000C96">
        <w:t xml:space="preserve">; </w:t>
      </w:r>
      <w:r w:rsidRPr="00000C96">
        <w:t>Provider Travel</w:t>
      </w:r>
      <w:r w:rsidR="005B15E3" w:rsidRPr="00000C96">
        <w:t xml:space="preserve"> and </w:t>
      </w:r>
      <w:r w:rsidRPr="00000C96">
        <w:t>Short Notice Cancellations.</w:t>
      </w:r>
      <w:r w:rsidR="005B15E3" w:rsidRPr="00000C96">
        <w:t xml:space="preserve"> </w:t>
      </w:r>
      <w:r w:rsidRPr="00000C96">
        <w:rPr>
          <w:rFonts w:ascii="Arial" w:hAnsi="Arial" w:cs="Arial"/>
        </w:rPr>
        <w:t xml:space="preserve">Providers of these supports can also claim for the </w:t>
      </w:r>
      <w:r w:rsidR="005B15E3" w:rsidRPr="00000C96">
        <w:rPr>
          <w:rFonts w:ascii="Arial" w:hAnsi="Arial" w:cs="Arial"/>
        </w:rPr>
        <w:t xml:space="preserve">non-labour costs </w:t>
      </w:r>
      <w:r w:rsidRPr="00000C96">
        <w:t>Provider</w:t>
      </w:r>
      <w:r w:rsidR="005B15E3" w:rsidRPr="00000C96">
        <w:rPr>
          <w:rFonts w:ascii="Arial" w:hAnsi="Arial" w:cs="Arial"/>
        </w:rPr>
        <w:t xml:space="preserve"> Travel.</w:t>
      </w:r>
    </w:p>
    <w:p w14:paraId="6AADF5D3" w14:textId="77777777" w:rsidR="00F12763" w:rsidRPr="00000C96" w:rsidRDefault="00F12763" w:rsidP="00F12763">
      <w:pPr>
        <w:rPr>
          <w:rFonts w:ascii="Arial" w:hAnsi="Arial" w:cs="Arial"/>
        </w:rPr>
      </w:pPr>
      <w:r w:rsidRPr="00000C96">
        <w:rPr>
          <w:rFonts w:ascii="Arial" w:hAnsi="Arial" w:cs="Arial"/>
          <w:lang w:eastAsia="en-AU"/>
        </w:rPr>
        <w:t xml:space="preserve">Different </w:t>
      </w:r>
      <w:r w:rsidRPr="00000C96">
        <w:rPr>
          <w:rFonts w:ascii="Arial" w:hAnsi="Arial" w:cs="Arial"/>
        </w:rPr>
        <w:t>price limits, as set out in the following Table, apply depending on the Time of Day and Day of Week on which the support is delivered, and whether the supports are High Intensity Supports.</w:t>
      </w:r>
    </w:p>
    <w:tbl>
      <w:tblPr>
        <w:tblStyle w:val="GridTable4-Accent1"/>
        <w:tblW w:w="5000" w:type="pct"/>
        <w:tblLook w:val="0420" w:firstRow="1" w:lastRow="0" w:firstColumn="0" w:lastColumn="0" w:noHBand="0" w:noVBand="1"/>
        <w:tblCaption w:val="Assistance in Supported independent Living "/>
      </w:tblPr>
      <w:tblGrid>
        <w:gridCol w:w="1802"/>
        <w:gridCol w:w="3606"/>
        <w:gridCol w:w="902"/>
        <w:gridCol w:w="902"/>
        <w:gridCol w:w="902"/>
        <w:gridCol w:w="902"/>
      </w:tblGrid>
      <w:tr w:rsidR="0079313F" w:rsidRPr="00000C96" w14:paraId="43B922BE" w14:textId="77777777" w:rsidTr="008035D9">
        <w:trPr>
          <w:cnfStyle w:val="100000000000" w:firstRow="1" w:lastRow="0" w:firstColumn="0" w:lastColumn="0" w:oddVBand="0" w:evenVBand="0" w:oddHBand="0" w:evenHBand="0" w:firstRowFirstColumn="0" w:firstRowLastColumn="0" w:lastRowFirstColumn="0" w:lastRowLastColumn="0"/>
          <w:cantSplit/>
          <w:tblHeader/>
        </w:trPr>
        <w:tc>
          <w:tcPr>
            <w:tcW w:w="999" w:type="pct"/>
            <w:vAlign w:val="center"/>
          </w:tcPr>
          <w:p w14:paraId="2EBC87A7" w14:textId="77777777" w:rsidR="0079313F" w:rsidRPr="00000C96" w:rsidRDefault="0079313F" w:rsidP="00F12763">
            <w:pPr>
              <w:spacing w:before="40" w:after="40"/>
              <w:rPr>
                <w:rFonts w:ascii="Arial" w:eastAsia="Times New Roman" w:hAnsi="Arial" w:cs="Arial"/>
                <w:sz w:val="16"/>
                <w:szCs w:val="16"/>
                <w:lang w:eastAsia="en-AU"/>
              </w:rPr>
            </w:pPr>
          </w:p>
        </w:tc>
        <w:tc>
          <w:tcPr>
            <w:tcW w:w="2000" w:type="pct"/>
            <w:vAlign w:val="center"/>
          </w:tcPr>
          <w:p w14:paraId="11ACF001" w14:textId="77777777" w:rsidR="0079313F" w:rsidRPr="00000C96" w:rsidRDefault="0079313F" w:rsidP="00F12763">
            <w:pPr>
              <w:spacing w:before="40" w:after="40"/>
              <w:rPr>
                <w:rFonts w:ascii="Arial" w:eastAsia="Times New Roman" w:hAnsi="Arial" w:cs="Arial"/>
                <w:sz w:val="16"/>
                <w:szCs w:val="16"/>
                <w:lang w:eastAsia="en-AU"/>
              </w:rPr>
            </w:pPr>
          </w:p>
        </w:tc>
        <w:tc>
          <w:tcPr>
            <w:tcW w:w="500" w:type="pct"/>
            <w:vAlign w:val="center"/>
          </w:tcPr>
          <w:p w14:paraId="32802424" w14:textId="77777777" w:rsidR="0079313F" w:rsidRPr="00000C96" w:rsidRDefault="0079313F" w:rsidP="00F12763">
            <w:pPr>
              <w:spacing w:before="40" w:after="40"/>
              <w:jc w:val="center"/>
              <w:rPr>
                <w:rFonts w:ascii="Arial" w:eastAsia="Times New Roman" w:hAnsi="Arial" w:cs="Arial"/>
                <w:sz w:val="16"/>
                <w:szCs w:val="16"/>
                <w:lang w:eastAsia="en-AU"/>
              </w:rPr>
            </w:pPr>
          </w:p>
        </w:tc>
        <w:tc>
          <w:tcPr>
            <w:tcW w:w="500" w:type="pct"/>
            <w:vAlign w:val="center"/>
          </w:tcPr>
          <w:p w14:paraId="78F74161" w14:textId="77777777" w:rsidR="0079313F" w:rsidRPr="00000C96" w:rsidRDefault="0079313F" w:rsidP="00F12763">
            <w:pPr>
              <w:spacing w:before="40" w:after="40"/>
              <w:jc w:val="center"/>
              <w:rPr>
                <w:rFonts w:ascii="Arial" w:eastAsia="Times New Roman" w:hAnsi="Arial" w:cs="Arial"/>
                <w:sz w:val="16"/>
                <w:szCs w:val="16"/>
                <w:lang w:eastAsia="en-AU"/>
              </w:rPr>
            </w:pPr>
            <w:r w:rsidRPr="00000C96">
              <w:rPr>
                <w:rFonts w:ascii="Arial" w:eastAsia="Times New Roman" w:hAnsi="Arial" w:cs="Arial"/>
                <w:sz w:val="16"/>
                <w:szCs w:val="16"/>
                <w:lang w:eastAsia="en-AU"/>
              </w:rPr>
              <w:t>Price limits</w:t>
            </w:r>
          </w:p>
        </w:tc>
        <w:tc>
          <w:tcPr>
            <w:tcW w:w="500" w:type="pct"/>
            <w:vAlign w:val="center"/>
          </w:tcPr>
          <w:p w14:paraId="4094314E" w14:textId="77777777" w:rsidR="0079313F" w:rsidRPr="00000C96" w:rsidRDefault="0079313F" w:rsidP="00F12763">
            <w:pPr>
              <w:spacing w:before="40" w:after="40"/>
              <w:jc w:val="center"/>
              <w:rPr>
                <w:rFonts w:ascii="Arial" w:eastAsia="Times New Roman" w:hAnsi="Arial" w:cs="Arial"/>
                <w:sz w:val="16"/>
                <w:szCs w:val="16"/>
                <w:lang w:eastAsia="en-AU"/>
              </w:rPr>
            </w:pPr>
          </w:p>
        </w:tc>
        <w:tc>
          <w:tcPr>
            <w:tcW w:w="500" w:type="pct"/>
            <w:vAlign w:val="center"/>
          </w:tcPr>
          <w:p w14:paraId="10345BF9" w14:textId="77777777" w:rsidR="0079313F" w:rsidRPr="00000C96" w:rsidRDefault="0079313F" w:rsidP="00F12763">
            <w:pPr>
              <w:spacing w:before="40" w:after="40"/>
              <w:jc w:val="center"/>
              <w:rPr>
                <w:rFonts w:ascii="Arial" w:eastAsia="Times New Roman" w:hAnsi="Arial" w:cs="Arial"/>
                <w:sz w:val="16"/>
                <w:szCs w:val="16"/>
                <w:lang w:eastAsia="en-AU"/>
              </w:rPr>
            </w:pPr>
          </w:p>
        </w:tc>
      </w:tr>
      <w:tr w:rsidR="00F12763" w:rsidRPr="00000C96" w14:paraId="216202CA" w14:textId="77777777" w:rsidTr="008035D9">
        <w:trPr>
          <w:cnfStyle w:val="100000000000" w:firstRow="1" w:lastRow="0" w:firstColumn="0" w:lastColumn="0" w:oddVBand="0" w:evenVBand="0" w:oddHBand="0" w:evenHBand="0" w:firstRowFirstColumn="0" w:firstRowLastColumn="0" w:lastRowFirstColumn="0" w:lastRowLastColumn="0"/>
          <w:cantSplit/>
          <w:tblHeader/>
        </w:trPr>
        <w:tc>
          <w:tcPr>
            <w:tcW w:w="999" w:type="pct"/>
            <w:vAlign w:val="center"/>
            <w:hideMark/>
          </w:tcPr>
          <w:p w14:paraId="3076B136" w14:textId="77777777" w:rsidR="00F12763" w:rsidRPr="00000C96" w:rsidRDefault="00F12763" w:rsidP="00F12763">
            <w:pPr>
              <w:spacing w:before="40" w:after="40"/>
              <w:rPr>
                <w:rFonts w:ascii="Arial" w:eastAsia="Times New Roman" w:hAnsi="Arial" w:cs="Arial"/>
                <w:sz w:val="16"/>
                <w:szCs w:val="16"/>
                <w:lang w:eastAsia="en-AU"/>
              </w:rPr>
            </w:pPr>
            <w:r w:rsidRPr="00000C96">
              <w:rPr>
                <w:rFonts w:ascii="Arial" w:eastAsia="Times New Roman" w:hAnsi="Arial" w:cs="Arial"/>
                <w:sz w:val="16"/>
                <w:szCs w:val="16"/>
                <w:lang w:eastAsia="en-AU"/>
              </w:rPr>
              <w:t>Item Number</w:t>
            </w:r>
          </w:p>
        </w:tc>
        <w:tc>
          <w:tcPr>
            <w:tcW w:w="2000" w:type="pct"/>
            <w:vAlign w:val="center"/>
            <w:hideMark/>
          </w:tcPr>
          <w:p w14:paraId="54792475" w14:textId="77777777" w:rsidR="00F12763" w:rsidRPr="00000C96" w:rsidRDefault="00F12763" w:rsidP="00F12763">
            <w:pPr>
              <w:spacing w:before="40" w:after="40"/>
              <w:rPr>
                <w:rFonts w:ascii="Arial" w:eastAsia="Times New Roman" w:hAnsi="Arial" w:cs="Arial"/>
                <w:sz w:val="16"/>
                <w:szCs w:val="16"/>
                <w:lang w:eastAsia="en-AU"/>
              </w:rPr>
            </w:pPr>
            <w:r w:rsidRPr="00000C96">
              <w:rPr>
                <w:rFonts w:ascii="Arial" w:eastAsia="Times New Roman" w:hAnsi="Arial" w:cs="Arial"/>
                <w:sz w:val="16"/>
                <w:szCs w:val="16"/>
                <w:lang w:eastAsia="en-AU"/>
              </w:rPr>
              <w:t>Item Name and Notes</w:t>
            </w:r>
          </w:p>
        </w:tc>
        <w:tc>
          <w:tcPr>
            <w:tcW w:w="500" w:type="pct"/>
            <w:vAlign w:val="center"/>
            <w:hideMark/>
          </w:tcPr>
          <w:p w14:paraId="46786D0D" w14:textId="77777777" w:rsidR="00F12763" w:rsidRPr="00000C96" w:rsidRDefault="00F12763" w:rsidP="00F12763">
            <w:pPr>
              <w:spacing w:before="40" w:after="40"/>
              <w:jc w:val="center"/>
              <w:rPr>
                <w:rFonts w:ascii="Arial" w:eastAsia="Times New Roman" w:hAnsi="Arial" w:cs="Arial"/>
                <w:sz w:val="16"/>
                <w:szCs w:val="16"/>
                <w:lang w:eastAsia="en-AU"/>
              </w:rPr>
            </w:pPr>
            <w:r w:rsidRPr="00000C96">
              <w:rPr>
                <w:rFonts w:ascii="Arial" w:eastAsia="Times New Roman" w:hAnsi="Arial" w:cs="Arial"/>
                <w:sz w:val="16"/>
                <w:szCs w:val="16"/>
                <w:lang w:eastAsia="en-AU"/>
              </w:rPr>
              <w:t>Unit</w:t>
            </w:r>
          </w:p>
        </w:tc>
        <w:tc>
          <w:tcPr>
            <w:tcW w:w="500" w:type="pct"/>
            <w:vAlign w:val="center"/>
            <w:hideMark/>
          </w:tcPr>
          <w:p w14:paraId="14FC6FAE" w14:textId="77777777" w:rsidR="00F12763" w:rsidRPr="00000C96" w:rsidRDefault="00F12763" w:rsidP="00F12763">
            <w:pPr>
              <w:spacing w:before="40" w:after="40"/>
              <w:jc w:val="center"/>
              <w:rPr>
                <w:rFonts w:ascii="Arial" w:eastAsia="Times New Roman" w:hAnsi="Arial" w:cs="Arial"/>
                <w:sz w:val="16"/>
                <w:szCs w:val="16"/>
                <w:lang w:eastAsia="en-AU"/>
              </w:rPr>
            </w:pPr>
            <w:r w:rsidRPr="00000C96">
              <w:rPr>
                <w:rFonts w:ascii="Arial" w:eastAsia="Times New Roman" w:hAnsi="Arial" w:cs="Arial"/>
                <w:sz w:val="16"/>
                <w:szCs w:val="16"/>
                <w:lang w:eastAsia="en-AU"/>
              </w:rPr>
              <w:t>National</w:t>
            </w:r>
          </w:p>
        </w:tc>
        <w:tc>
          <w:tcPr>
            <w:tcW w:w="500" w:type="pct"/>
            <w:vAlign w:val="center"/>
            <w:hideMark/>
          </w:tcPr>
          <w:p w14:paraId="33552587" w14:textId="77777777" w:rsidR="00F12763" w:rsidRPr="00000C96" w:rsidRDefault="00F12763" w:rsidP="00F12763">
            <w:pPr>
              <w:spacing w:before="40" w:after="40"/>
              <w:jc w:val="center"/>
              <w:rPr>
                <w:rFonts w:ascii="Arial" w:eastAsia="Times New Roman" w:hAnsi="Arial" w:cs="Arial"/>
                <w:sz w:val="16"/>
                <w:szCs w:val="16"/>
                <w:lang w:eastAsia="en-AU"/>
              </w:rPr>
            </w:pPr>
            <w:r w:rsidRPr="00000C96">
              <w:rPr>
                <w:rFonts w:ascii="Arial" w:eastAsia="Times New Roman" w:hAnsi="Arial" w:cs="Arial"/>
                <w:sz w:val="16"/>
                <w:szCs w:val="16"/>
                <w:lang w:eastAsia="en-AU"/>
              </w:rPr>
              <w:t>Remote</w:t>
            </w:r>
          </w:p>
        </w:tc>
        <w:tc>
          <w:tcPr>
            <w:tcW w:w="500" w:type="pct"/>
            <w:vAlign w:val="center"/>
            <w:hideMark/>
          </w:tcPr>
          <w:p w14:paraId="648D722D" w14:textId="77777777" w:rsidR="00F12763" w:rsidRPr="00000C96" w:rsidRDefault="00F12763" w:rsidP="00F12763">
            <w:pPr>
              <w:spacing w:before="40" w:after="40"/>
              <w:jc w:val="center"/>
              <w:rPr>
                <w:rFonts w:ascii="Arial" w:eastAsia="Times New Roman" w:hAnsi="Arial" w:cs="Arial"/>
                <w:sz w:val="16"/>
                <w:szCs w:val="16"/>
                <w:lang w:eastAsia="en-AU"/>
              </w:rPr>
            </w:pPr>
            <w:r w:rsidRPr="00000C96">
              <w:rPr>
                <w:rFonts w:ascii="Arial" w:eastAsia="Times New Roman" w:hAnsi="Arial" w:cs="Arial"/>
                <w:sz w:val="16"/>
                <w:szCs w:val="16"/>
                <w:lang w:eastAsia="en-AU"/>
              </w:rPr>
              <w:t>Very Remote</w:t>
            </w:r>
          </w:p>
        </w:tc>
      </w:tr>
      <w:tr w:rsidR="00F12763" w:rsidRPr="00000C96" w14:paraId="762492BA"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811BC13"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01_801_0115_1_1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B6903AF"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Standard - Weekday Daytime</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6BF4829"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34022D6"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$54.30</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8552B2"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$76.02</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BC2402B"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$81.45</w:t>
            </w:r>
          </w:p>
        </w:tc>
      </w:tr>
      <w:tr w:rsidR="00F12763" w:rsidRPr="00000C96" w14:paraId="0F805B8F" w14:textId="77777777" w:rsidTr="008035D9">
        <w:trPr>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41DD2FE"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01_802_0115_1_1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73449FE"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Standard - Weekday Evening</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076884"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418896"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$59.77</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21CD6A"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$83.68</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FD23D25"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$89.66</w:t>
            </w:r>
          </w:p>
        </w:tc>
      </w:tr>
      <w:tr w:rsidR="00F12763" w:rsidRPr="00000C96" w14:paraId="537C9827"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A452962"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01_803_0115_1_1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A51636D"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Standard - Weekday Night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F6029BB"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72DE2AC"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$60.87</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65D9E27"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$85.22</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0890473"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$91.31</w:t>
            </w:r>
          </w:p>
        </w:tc>
      </w:tr>
      <w:tr w:rsidR="00F12763" w:rsidRPr="00000C96" w14:paraId="1B95049B" w14:textId="77777777" w:rsidTr="008035D9">
        <w:trPr>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DE5EB0E"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01_804_0115_1_1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8775E97"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Standard - Saturday</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6748CEB"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04EC07A"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$76.18</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83AEF80"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$106.65</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802B98B"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$114.27</w:t>
            </w:r>
          </w:p>
        </w:tc>
      </w:tr>
      <w:tr w:rsidR="00F12763" w:rsidRPr="00000C96" w14:paraId="2DDF57AD"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EDE7292"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01_805_0115_1_1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6DE10B8"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Standard - Sunday</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0346033"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5B5A06"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$98.06</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995553"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$137.28</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86B0D06"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$147.09</w:t>
            </w:r>
          </w:p>
        </w:tc>
      </w:tr>
      <w:tr w:rsidR="00F12763" w:rsidRPr="00000C96" w14:paraId="68DE0F08" w14:textId="77777777" w:rsidTr="008035D9">
        <w:trPr>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336009"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01_806_0115_1_1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9F83175"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Assistance in Supported Independent Living - Standard - Public Holiday </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8E1678"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300BF94"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$119.94</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EC25D45"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$167.92</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180E501"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$179.91</w:t>
            </w:r>
          </w:p>
        </w:tc>
      </w:tr>
      <w:tr w:rsidR="00F12763" w:rsidRPr="00000C96" w14:paraId="3FB0DA75"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9F3A489"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01_811_0115_1_1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2FBF490"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High Intensity - Weekday Daytime</w:t>
            </w:r>
          </w:p>
          <w:p w14:paraId="16E1F528" w14:textId="77777777" w:rsidR="00F12763" w:rsidRPr="00000C96" w:rsidRDefault="00F12763" w:rsidP="00F12763">
            <w:pPr>
              <w:pStyle w:val="ListParagraph"/>
              <w:numPr>
                <w:ilvl w:val="0"/>
                <w:numId w:val="20"/>
              </w:numPr>
              <w:spacing w:before="40" w:after="40"/>
              <w:contextualSpacing/>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Must be a </w:t>
            </w:r>
            <w:r w:rsidRPr="00000C96">
              <w:rPr>
                <w:rFonts w:ascii="Arial" w:eastAsia="Times New Roman" w:hAnsi="Arial" w:cs="Arial"/>
                <w:b/>
                <w:color w:val="000000"/>
                <w:sz w:val="16"/>
                <w:szCs w:val="16"/>
                <w:lang w:eastAsia="en-AU"/>
              </w:rPr>
              <w:t>high intensity support</w:t>
            </w:r>
            <w:r w:rsidRPr="00000C96">
              <w:rPr>
                <w:rFonts w:ascii="Arial" w:eastAsia="Times New Roman" w:hAnsi="Arial" w:cs="Arial"/>
                <w:color w:val="000000"/>
                <w:sz w:val="16"/>
                <w:szCs w:val="16"/>
                <w:lang w:eastAsia="en-AU"/>
              </w:rPr>
              <w: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86C5E3"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E629BD0"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$58.68</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8004844"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$82.15</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DE11A0A"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$88.02</w:t>
            </w:r>
          </w:p>
        </w:tc>
      </w:tr>
      <w:tr w:rsidR="00F12763" w:rsidRPr="00000C96" w14:paraId="5EAFF7B6" w14:textId="77777777" w:rsidTr="008035D9">
        <w:trPr>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EB998D6"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01_812_0115_1_1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1293DE2"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Assistance in Supported Independent Living - High Intensity - Weekday Evening </w:t>
            </w:r>
          </w:p>
          <w:p w14:paraId="1637CF8F" w14:textId="77777777" w:rsidR="00F12763" w:rsidRPr="00000C96" w:rsidRDefault="00F12763" w:rsidP="00F12763">
            <w:pPr>
              <w:pStyle w:val="ListParagraph"/>
              <w:numPr>
                <w:ilvl w:val="0"/>
                <w:numId w:val="20"/>
              </w:numPr>
              <w:spacing w:before="40" w:after="40"/>
              <w:contextualSpacing/>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Must be a </w:t>
            </w:r>
            <w:r w:rsidRPr="00000C96">
              <w:rPr>
                <w:rFonts w:ascii="Arial" w:eastAsia="Times New Roman" w:hAnsi="Arial" w:cs="Arial"/>
                <w:b/>
                <w:color w:val="000000"/>
                <w:sz w:val="16"/>
                <w:szCs w:val="16"/>
                <w:lang w:eastAsia="en-AU"/>
              </w:rPr>
              <w:t>high intensity support</w:t>
            </w:r>
            <w:r w:rsidRPr="00000C96">
              <w:rPr>
                <w:rFonts w:ascii="Arial" w:eastAsia="Times New Roman" w:hAnsi="Arial" w:cs="Arial"/>
                <w:color w:val="000000"/>
                <w:sz w:val="16"/>
                <w:szCs w:val="16"/>
                <w:lang w:eastAsia="en-AU"/>
              </w:rPr>
              <w: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6226D39"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1C52077"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$64.59</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27B3958"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$90.43</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539CB7"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$96.89</w:t>
            </w:r>
          </w:p>
        </w:tc>
      </w:tr>
      <w:tr w:rsidR="00F12763" w:rsidRPr="00000C96" w14:paraId="477A7FE1"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FBEFC3A"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01_813_0115_1_1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CDF0140"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High Intensity - Weekday Night</w:t>
            </w:r>
          </w:p>
          <w:p w14:paraId="123FFFB2" w14:textId="77777777" w:rsidR="00F12763" w:rsidRPr="00000C96" w:rsidRDefault="00F12763" w:rsidP="00F12763">
            <w:pPr>
              <w:pStyle w:val="ListParagraph"/>
              <w:numPr>
                <w:ilvl w:val="0"/>
                <w:numId w:val="20"/>
              </w:numPr>
              <w:spacing w:before="40" w:after="40"/>
              <w:contextualSpacing/>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Must be a </w:t>
            </w:r>
            <w:r w:rsidRPr="00000C96">
              <w:rPr>
                <w:rFonts w:ascii="Arial" w:eastAsia="Times New Roman" w:hAnsi="Arial" w:cs="Arial"/>
                <w:b/>
                <w:color w:val="000000"/>
                <w:sz w:val="16"/>
                <w:szCs w:val="16"/>
                <w:lang w:eastAsia="en-AU"/>
              </w:rPr>
              <w:t>high intensity support</w:t>
            </w:r>
            <w:r w:rsidRPr="00000C96">
              <w:rPr>
                <w:rFonts w:ascii="Arial" w:eastAsia="Times New Roman" w:hAnsi="Arial" w:cs="Arial"/>
                <w:color w:val="000000"/>
                <w:sz w:val="16"/>
                <w:szCs w:val="16"/>
                <w:lang w:eastAsia="en-AU"/>
              </w:rPr>
              <w: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C41047D"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5560B6D"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$65.77</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1010A2B"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$92.08</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FF00EF4"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$98.66</w:t>
            </w:r>
          </w:p>
        </w:tc>
      </w:tr>
      <w:tr w:rsidR="00F12763" w:rsidRPr="00000C96" w14:paraId="0EA57B9A" w14:textId="77777777" w:rsidTr="008035D9">
        <w:trPr>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188C164"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01_814_0115_1_1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66FED53"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High Intensity - Saturday</w:t>
            </w:r>
          </w:p>
          <w:p w14:paraId="7EF05460" w14:textId="77777777" w:rsidR="00F12763" w:rsidRPr="00000C96" w:rsidRDefault="00F12763" w:rsidP="00F12763">
            <w:pPr>
              <w:pStyle w:val="ListParagraph"/>
              <w:numPr>
                <w:ilvl w:val="0"/>
                <w:numId w:val="20"/>
              </w:numPr>
              <w:spacing w:before="40" w:after="40"/>
              <w:contextualSpacing/>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Must be a </w:t>
            </w:r>
            <w:r w:rsidRPr="00000C96">
              <w:rPr>
                <w:rFonts w:ascii="Arial" w:eastAsia="Times New Roman" w:hAnsi="Arial" w:cs="Arial"/>
                <w:b/>
                <w:color w:val="000000"/>
                <w:sz w:val="16"/>
                <w:szCs w:val="16"/>
                <w:lang w:eastAsia="en-AU"/>
              </w:rPr>
              <w:t>high intensity support</w:t>
            </w:r>
            <w:r w:rsidRPr="00000C96">
              <w:rPr>
                <w:rFonts w:ascii="Arial" w:eastAsia="Times New Roman" w:hAnsi="Arial" w:cs="Arial"/>
                <w:color w:val="000000"/>
                <w:sz w:val="16"/>
                <w:szCs w:val="16"/>
                <w:lang w:eastAsia="en-AU"/>
              </w:rPr>
              <w: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E1F529"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B8723B3"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$82.32</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A7162E5"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$115.25</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AEBAF01"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$123.48</w:t>
            </w:r>
          </w:p>
        </w:tc>
      </w:tr>
      <w:tr w:rsidR="00F12763" w:rsidRPr="00000C96" w14:paraId="56386584"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D838C4C"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01_815_0115_1_1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AAA3925"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High Intensity - Sunday</w:t>
            </w:r>
          </w:p>
          <w:p w14:paraId="2F5F0BE5" w14:textId="77777777" w:rsidR="00F12763" w:rsidRPr="00000C96" w:rsidRDefault="00F12763" w:rsidP="00F12763">
            <w:pPr>
              <w:pStyle w:val="ListParagraph"/>
              <w:numPr>
                <w:ilvl w:val="0"/>
                <w:numId w:val="20"/>
              </w:numPr>
              <w:spacing w:before="40" w:after="40"/>
              <w:contextualSpacing/>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Must be a </w:t>
            </w:r>
            <w:r w:rsidRPr="00000C96">
              <w:rPr>
                <w:rFonts w:ascii="Arial" w:eastAsia="Times New Roman" w:hAnsi="Arial" w:cs="Arial"/>
                <w:b/>
                <w:color w:val="000000"/>
                <w:sz w:val="16"/>
                <w:szCs w:val="16"/>
                <w:lang w:eastAsia="en-AU"/>
              </w:rPr>
              <w:t>high intensity support</w:t>
            </w:r>
            <w:r w:rsidRPr="00000C96">
              <w:rPr>
                <w:rFonts w:ascii="Arial" w:eastAsia="Times New Roman" w:hAnsi="Arial" w:cs="Arial"/>
                <w:color w:val="000000"/>
                <w:sz w:val="16"/>
                <w:szCs w:val="16"/>
                <w:lang w:eastAsia="en-AU"/>
              </w:rPr>
              <w: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5826A8"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CCFEC67"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$105.96</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FACD827"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$148.34</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4ED1481"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$158.94</w:t>
            </w:r>
          </w:p>
        </w:tc>
      </w:tr>
      <w:tr w:rsidR="00F12763" w:rsidRPr="00000C96" w14:paraId="3508CB36" w14:textId="77777777" w:rsidTr="008035D9">
        <w:trPr>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C9B4BD3"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01_816_0115_1_1</w:t>
            </w:r>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CB8B371" w14:textId="77777777" w:rsidR="00F12763" w:rsidRPr="00000C96" w:rsidRDefault="00F12763" w:rsidP="00F12763">
            <w:pPr>
              <w:spacing w:before="40" w:after="40"/>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Assistance in Supported Independent Living - High Intensity - Public Holiday</w:t>
            </w:r>
          </w:p>
          <w:p w14:paraId="54C8F56E" w14:textId="77777777" w:rsidR="00F12763" w:rsidRPr="00000C96" w:rsidRDefault="00F12763" w:rsidP="00F12763">
            <w:pPr>
              <w:pStyle w:val="ListParagraph"/>
              <w:numPr>
                <w:ilvl w:val="0"/>
                <w:numId w:val="20"/>
              </w:numPr>
              <w:spacing w:before="40" w:after="40"/>
              <w:contextualSpacing/>
              <w:rPr>
                <w:rFonts w:ascii="Arial" w:eastAsia="Times New Roman" w:hAnsi="Arial" w:cs="Arial"/>
                <w:color w:val="000000"/>
                <w:sz w:val="16"/>
                <w:szCs w:val="16"/>
                <w:lang w:eastAsia="en-AU"/>
              </w:rPr>
            </w:pPr>
            <w:r w:rsidRPr="00000C96">
              <w:rPr>
                <w:rFonts w:ascii="Arial" w:eastAsia="Times New Roman" w:hAnsi="Arial" w:cs="Arial"/>
                <w:color w:val="000000"/>
                <w:sz w:val="16"/>
                <w:szCs w:val="16"/>
                <w:lang w:eastAsia="en-AU"/>
              </w:rPr>
              <w:t xml:space="preserve">Must be a </w:t>
            </w:r>
            <w:r w:rsidRPr="00000C96">
              <w:rPr>
                <w:rFonts w:ascii="Arial" w:eastAsia="Times New Roman" w:hAnsi="Arial" w:cs="Arial"/>
                <w:b/>
                <w:color w:val="000000"/>
                <w:sz w:val="16"/>
                <w:szCs w:val="16"/>
                <w:lang w:eastAsia="en-AU"/>
              </w:rPr>
              <w:t>high intensity support</w:t>
            </w:r>
            <w:r w:rsidRPr="00000C96">
              <w:rPr>
                <w:rFonts w:ascii="Arial" w:eastAsia="Times New Roman" w:hAnsi="Arial" w:cs="Arial"/>
                <w:color w:val="000000"/>
                <w:sz w:val="16"/>
                <w:szCs w:val="16"/>
                <w:lang w:eastAsia="en-AU"/>
              </w:rPr>
              <w:t>.</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C7C4EB5"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Hour</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7E4561E"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$129.61</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DC860A3"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$181.45</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B303FB4"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$194.42</w:t>
            </w:r>
          </w:p>
        </w:tc>
      </w:tr>
      <w:tr w:rsidR="00F12763" w14:paraId="089D37DF" w14:textId="77777777" w:rsidTr="008035D9">
        <w:trPr>
          <w:cnfStyle w:val="000000100000" w:firstRow="0" w:lastRow="0" w:firstColumn="0" w:lastColumn="0" w:oddVBand="0" w:evenVBand="0" w:oddHBand="1" w:evenHBand="0" w:firstRowFirstColumn="0" w:firstRowLastColumn="0" w:lastRowFirstColumn="0" w:lastRowLastColumn="0"/>
          <w:cantSplit/>
        </w:trPr>
        <w:tc>
          <w:tcPr>
            <w:tcW w:w="99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D68A2F8" w14:textId="77777777" w:rsidR="00F12763" w:rsidRPr="00000C96" w:rsidRDefault="00F12763" w:rsidP="00F12763">
            <w:pPr>
              <w:spacing w:before="40" w:after="40"/>
              <w:rPr>
                <w:rFonts w:ascii="Arial" w:eastAsia="Times New Roman" w:hAnsi="Arial" w:cs="Arial"/>
                <w:bCs/>
                <w:color w:val="000000"/>
                <w:sz w:val="16"/>
                <w:szCs w:val="18"/>
                <w:lang w:eastAsia="en-AU"/>
              </w:rPr>
            </w:pPr>
            <w:bookmarkStart w:id="16" w:name="UOM"/>
            <w:r w:rsidRPr="00000C96">
              <w:rPr>
                <w:rFonts w:ascii="Arial" w:eastAsia="Times New Roman" w:hAnsi="Arial" w:cs="Arial"/>
                <w:bCs/>
                <w:color w:val="000000"/>
                <w:sz w:val="16"/>
                <w:szCs w:val="18"/>
                <w:lang w:eastAsia="en-AU"/>
              </w:rPr>
              <w:t>01_832_0115_1_1</w:t>
            </w:r>
            <w:bookmarkEnd w:id="16"/>
          </w:p>
        </w:tc>
        <w:tc>
          <w:tcPr>
            <w:tcW w:w="20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240E175" w14:textId="77777777" w:rsidR="00F12763" w:rsidRPr="00000C96" w:rsidRDefault="00F12763" w:rsidP="00F12763">
            <w:pPr>
              <w:spacing w:before="40" w:after="40"/>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 xml:space="preserve">Assistance in </w:t>
            </w:r>
            <w:r w:rsidRPr="00000C96">
              <w:rPr>
                <w:rFonts w:ascii="Arial" w:eastAsia="Times New Roman" w:hAnsi="Arial" w:cs="Arial"/>
                <w:color w:val="000000"/>
                <w:sz w:val="16"/>
                <w:szCs w:val="16"/>
                <w:lang w:eastAsia="en-AU"/>
              </w:rPr>
              <w:t xml:space="preserve">Supported </w:t>
            </w:r>
            <w:r w:rsidRPr="00000C96">
              <w:rPr>
                <w:rFonts w:ascii="Arial" w:eastAsia="Times New Roman" w:hAnsi="Arial" w:cs="Arial"/>
                <w:bCs/>
                <w:color w:val="000000"/>
                <w:sz w:val="16"/>
                <w:szCs w:val="18"/>
                <w:lang w:eastAsia="en-AU"/>
              </w:rPr>
              <w:t xml:space="preserve">Independent Living - Night-Time Sleepover </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16056B"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rFonts w:ascii="Arial" w:eastAsia="Times New Roman" w:hAnsi="Arial" w:cs="Arial"/>
                <w:bCs/>
                <w:color w:val="000000"/>
                <w:sz w:val="16"/>
                <w:szCs w:val="18"/>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DDAB164"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$231.06</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D402CC" w14:textId="77777777" w:rsidR="00F12763" w:rsidRPr="00000C96" w:rsidRDefault="00F12763" w:rsidP="00F12763">
            <w:pPr>
              <w:spacing w:before="40" w:after="40"/>
              <w:jc w:val="center"/>
              <w:rPr>
                <w:rFonts w:ascii="Arial" w:eastAsia="Times New Roman" w:hAnsi="Arial" w:cs="Arial"/>
                <w:bCs/>
                <w:color w:val="000000"/>
                <w:sz w:val="16"/>
                <w:szCs w:val="18"/>
                <w:lang w:eastAsia="en-AU"/>
              </w:rPr>
            </w:pPr>
            <w:r w:rsidRPr="00000C96">
              <w:rPr>
                <w:sz w:val="16"/>
              </w:rPr>
              <w:t>$323.48</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7C322A" w14:textId="77777777" w:rsidR="00F12763" w:rsidRDefault="00F12763" w:rsidP="00F12763">
            <w:pPr>
              <w:spacing w:before="40" w:after="40"/>
              <w:jc w:val="center"/>
              <w:rPr>
                <w:rFonts w:ascii="Arial" w:eastAsia="Times New Roman" w:hAnsi="Arial" w:cs="Arial"/>
                <w:bCs/>
                <w:color w:val="000000"/>
                <w:sz w:val="16"/>
                <w:szCs w:val="18"/>
                <w:lang w:eastAsia="en-AU"/>
              </w:rPr>
            </w:pPr>
            <w:r w:rsidRPr="00000C96">
              <w:rPr>
                <w:sz w:val="16"/>
              </w:rPr>
              <w:t>$346.59</w:t>
            </w:r>
          </w:p>
        </w:tc>
      </w:tr>
    </w:tbl>
    <w:p w14:paraId="12752BD9" w14:textId="77777777" w:rsidR="00290CB0" w:rsidRPr="00290CB0" w:rsidRDefault="00290CB0" w:rsidP="00517471"/>
    <w:sectPr w:rsidR="00290CB0" w:rsidRPr="00290CB0" w:rsidSect="00262406">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8425" w14:textId="77777777" w:rsidR="00356C9D" w:rsidRDefault="00356C9D" w:rsidP="001A3E36">
      <w:r>
        <w:separator/>
      </w:r>
    </w:p>
    <w:p w14:paraId="20A1420E" w14:textId="77777777" w:rsidR="00356C9D" w:rsidRDefault="00356C9D" w:rsidP="001A3E36"/>
  </w:endnote>
  <w:endnote w:type="continuationSeparator" w:id="0">
    <w:p w14:paraId="0EE1944E" w14:textId="77777777" w:rsidR="00356C9D" w:rsidRDefault="00356C9D" w:rsidP="001A3E36">
      <w:r>
        <w:continuationSeparator/>
      </w:r>
    </w:p>
    <w:p w14:paraId="7F031B25" w14:textId="77777777" w:rsidR="00356C9D" w:rsidRDefault="00356C9D" w:rsidP="001A3E36"/>
  </w:endnote>
  <w:endnote w:type="continuationNotice" w:id="1">
    <w:p w14:paraId="5B6777BD" w14:textId="77777777" w:rsidR="00356C9D" w:rsidRDefault="00356C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50A107F8" w14:textId="7A370334" w:rsidR="00BC06F1" w:rsidRDefault="00BC06F1" w:rsidP="00B658AF">
        <w:pPr>
          <w:pStyle w:val="Footer"/>
          <w:jc w:val="center"/>
        </w:pPr>
        <w:r>
          <w:fldChar w:fldCharType="begin"/>
        </w:r>
        <w:r>
          <w:instrText xml:space="preserve"> PAGE   \* MERGEFORMAT </w:instrText>
        </w:r>
        <w:r>
          <w:fldChar w:fldCharType="separate"/>
        </w:r>
        <w:r w:rsidR="00000C96">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FC60" w14:textId="77777777" w:rsidR="00BC06F1" w:rsidRDefault="00BC06F1" w:rsidP="00EC73BF">
    <w:r w:rsidRPr="00321F81">
      <w:rPr>
        <w:noProof/>
        <w:lang w:eastAsia="en-AU"/>
      </w:rPr>
      <w:drawing>
        <wp:inline distT="0" distB="0" distL="0" distR="0" wp14:anchorId="34925C9B" wp14:editId="6DF76EC3">
          <wp:extent cx="2275200" cy="540000"/>
          <wp:effectExtent l="0" t="0" r="0"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582F" w14:textId="65F41DD4" w:rsidR="00BC06F1" w:rsidRPr="00D6031F" w:rsidRDefault="00BC06F1"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000C96">
      <w:rPr>
        <w:caps/>
        <w:noProof/>
      </w:rPr>
      <w:t>4</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4B6E" w14:textId="77777777" w:rsidR="00356C9D" w:rsidRDefault="00356C9D" w:rsidP="001A3E36">
      <w:r>
        <w:separator/>
      </w:r>
    </w:p>
  </w:footnote>
  <w:footnote w:type="continuationSeparator" w:id="0">
    <w:p w14:paraId="78A499F8" w14:textId="77777777" w:rsidR="00356C9D" w:rsidRDefault="00356C9D" w:rsidP="001A3E36">
      <w:r>
        <w:continuationSeparator/>
      </w:r>
    </w:p>
  </w:footnote>
  <w:footnote w:type="continuationNotice" w:id="1">
    <w:p w14:paraId="526E4790" w14:textId="77777777" w:rsidR="00356C9D" w:rsidRDefault="00356C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6114" w14:textId="77777777" w:rsidR="00BC06F1" w:rsidRDefault="00BC06F1" w:rsidP="008973B5">
    <w:pPr>
      <w:pStyle w:val="Header"/>
      <w:jc w:val="right"/>
    </w:pPr>
    <w:r>
      <w:t>Review of Supported Independent Living price controls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DC"/>
    <w:multiLevelType w:val="hybridMultilevel"/>
    <w:tmpl w:val="2C24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E433B"/>
    <w:multiLevelType w:val="multilevel"/>
    <w:tmpl w:val="73A861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2473B2"/>
    <w:multiLevelType w:val="multilevel"/>
    <w:tmpl w:val="82EE77F6"/>
    <w:lvl w:ilvl="0">
      <w:start w:val="1"/>
      <w:numFmt w:val="decimal"/>
      <w:lvlText w:val="%1)"/>
      <w:lvlJc w:val="left"/>
      <w:pPr>
        <w:ind w:left="425" w:hanging="425"/>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 w15:restartNumberingAfterBreak="0">
    <w:nsid w:val="1E4F7D95"/>
    <w:multiLevelType w:val="multilevel"/>
    <w:tmpl w:val="73A861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0F32FB8"/>
    <w:multiLevelType w:val="multilevel"/>
    <w:tmpl w:val="73A8617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2EE4F30"/>
    <w:multiLevelType w:val="multilevel"/>
    <w:tmpl w:val="72EC5C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32F0567"/>
    <w:multiLevelType w:val="multilevel"/>
    <w:tmpl w:val="73A861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1" w15:restartNumberingAfterBreak="0">
    <w:nsid w:val="2ABC2536"/>
    <w:multiLevelType w:val="multilevel"/>
    <w:tmpl w:val="73A861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13" w15:restartNumberingAfterBreak="0">
    <w:nsid w:val="4ED1778E"/>
    <w:multiLevelType w:val="hybridMultilevel"/>
    <w:tmpl w:val="3AA060A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16"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0600A5"/>
    <w:multiLevelType w:val="hybridMultilevel"/>
    <w:tmpl w:val="C2945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4650D1"/>
    <w:multiLevelType w:val="multilevel"/>
    <w:tmpl w:val="73A861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A01542"/>
    <w:multiLevelType w:val="multilevel"/>
    <w:tmpl w:val="73A861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14"/>
  </w:num>
  <w:num w:numId="4">
    <w:abstractNumId w:val="1"/>
  </w:num>
  <w:num w:numId="5">
    <w:abstractNumId w:val="12"/>
  </w:num>
  <w:num w:numId="6">
    <w:abstractNumId w:val="15"/>
  </w:num>
  <w:num w:numId="7">
    <w:abstractNumId w:val="16"/>
  </w:num>
  <w:num w:numId="8">
    <w:abstractNumId w:val="17"/>
  </w:num>
  <w:num w:numId="9">
    <w:abstractNumId w:val="13"/>
  </w:num>
  <w:num w:numId="10">
    <w:abstractNumId w:val="7"/>
  </w:num>
  <w:num w:numId="11">
    <w:abstractNumId w:val="8"/>
  </w:num>
  <w:num w:numId="12">
    <w:abstractNumId w:val="5"/>
  </w:num>
  <w:num w:numId="13">
    <w:abstractNumId w:val="11"/>
  </w:num>
  <w:num w:numId="14">
    <w:abstractNumId w:val="18"/>
  </w:num>
  <w:num w:numId="15">
    <w:abstractNumId w:val="9"/>
  </w:num>
  <w:num w:numId="16">
    <w:abstractNumId w:val="4"/>
  </w:num>
  <w:num w:numId="17">
    <w:abstractNumId w:val="6"/>
  </w:num>
  <w:num w:numId="18">
    <w:abstractNumId w:val="19"/>
  </w:num>
  <w:num w:numId="19">
    <w:abstractNumId w:val="16"/>
  </w:num>
  <w:num w:numId="20">
    <w:abstractNumId w:val="2"/>
  </w:num>
  <w:num w:numId="21">
    <w:abstractNumId w:val="16"/>
  </w:num>
  <w:num w:numId="22">
    <w:abstractNumId w:val="2"/>
  </w:num>
  <w:num w:numId="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0C96"/>
    <w:rsid w:val="00000F31"/>
    <w:rsid w:val="000010BA"/>
    <w:rsid w:val="00005261"/>
    <w:rsid w:val="000053F1"/>
    <w:rsid w:val="00005BD6"/>
    <w:rsid w:val="00007893"/>
    <w:rsid w:val="000111F9"/>
    <w:rsid w:val="000115F5"/>
    <w:rsid w:val="00016CBE"/>
    <w:rsid w:val="00016DF7"/>
    <w:rsid w:val="00016E09"/>
    <w:rsid w:val="0001758C"/>
    <w:rsid w:val="00017D16"/>
    <w:rsid w:val="00017EEA"/>
    <w:rsid w:val="0002143F"/>
    <w:rsid w:val="00024FCC"/>
    <w:rsid w:val="00025C84"/>
    <w:rsid w:val="00026305"/>
    <w:rsid w:val="00030A07"/>
    <w:rsid w:val="000346D0"/>
    <w:rsid w:val="00035F62"/>
    <w:rsid w:val="00037BA3"/>
    <w:rsid w:val="00042DC8"/>
    <w:rsid w:val="0004301D"/>
    <w:rsid w:val="00043493"/>
    <w:rsid w:val="000457AF"/>
    <w:rsid w:val="00045E36"/>
    <w:rsid w:val="00050895"/>
    <w:rsid w:val="00052911"/>
    <w:rsid w:val="00053180"/>
    <w:rsid w:val="00053CEC"/>
    <w:rsid w:val="00055159"/>
    <w:rsid w:val="00056468"/>
    <w:rsid w:val="00057FD1"/>
    <w:rsid w:val="00060A12"/>
    <w:rsid w:val="00060CE3"/>
    <w:rsid w:val="000631A6"/>
    <w:rsid w:val="00063B8E"/>
    <w:rsid w:val="0006413C"/>
    <w:rsid w:val="000655F1"/>
    <w:rsid w:val="000656A0"/>
    <w:rsid w:val="00070702"/>
    <w:rsid w:val="000715A4"/>
    <w:rsid w:val="000755C7"/>
    <w:rsid w:val="000761A9"/>
    <w:rsid w:val="00076D19"/>
    <w:rsid w:val="00083178"/>
    <w:rsid w:val="00087713"/>
    <w:rsid w:val="00087A9D"/>
    <w:rsid w:val="000902E3"/>
    <w:rsid w:val="00092D2C"/>
    <w:rsid w:val="00093FC9"/>
    <w:rsid w:val="000A2366"/>
    <w:rsid w:val="000A2638"/>
    <w:rsid w:val="000A6CAE"/>
    <w:rsid w:val="000A7322"/>
    <w:rsid w:val="000A7431"/>
    <w:rsid w:val="000B1785"/>
    <w:rsid w:val="000B46A4"/>
    <w:rsid w:val="000C0801"/>
    <w:rsid w:val="000C087B"/>
    <w:rsid w:val="000C0D49"/>
    <w:rsid w:val="000C3D04"/>
    <w:rsid w:val="000C698E"/>
    <w:rsid w:val="000C7183"/>
    <w:rsid w:val="000D2455"/>
    <w:rsid w:val="000D3BCB"/>
    <w:rsid w:val="000D4540"/>
    <w:rsid w:val="000D50DB"/>
    <w:rsid w:val="000D52AB"/>
    <w:rsid w:val="000D57C3"/>
    <w:rsid w:val="000D5A86"/>
    <w:rsid w:val="000D6539"/>
    <w:rsid w:val="000E0896"/>
    <w:rsid w:val="000E200F"/>
    <w:rsid w:val="000E2409"/>
    <w:rsid w:val="000E457D"/>
    <w:rsid w:val="000E51F4"/>
    <w:rsid w:val="000F2471"/>
    <w:rsid w:val="000F35A3"/>
    <w:rsid w:val="000F6E00"/>
    <w:rsid w:val="000F7D9D"/>
    <w:rsid w:val="0010142B"/>
    <w:rsid w:val="00101B5E"/>
    <w:rsid w:val="00101C68"/>
    <w:rsid w:val="00103848"/>
    <w:rsid w:val="001043F0"/>
    <w:rsid w:val="00105AD9"/>
    <w:rsid w:val="001100FB"/>
    <w:rsid w:val="00111D09"/>
    <w:rsid w:val="00113587"/>
    <w:rsid w:val="0012098A"/>
    <w:rsid w:val="0012324E"/>
    <w:rsid w:val="001249E0"/>
    <w:rsid w:val="00126873"/>
    <w:rsid w:val="001275EE"/>
    <w:rsid w:val="00131407"/>
    <w:rsid w:val="0013189D"/>
    <w:rsid w:val="00132831"/>
    <w:rsid w:val="00132ED6"/>
    <w:rsid w:val="00134D8A"/>
    <w:rsid w:val="00134E17"/>
    <w:rsid w:val="00134FE3"/>
    <w:rsid w:val="0013780B"/>
    <w:rsid w:val="0014154B"/>
    <w:rsid w:val="0014173A"/>
    <w:rsid w:val="0014525C"/>
    <w:rsid w:val="00151262"/>
    <w:rsid w:val="0015408E"/>
    <w:rsid w:val="00154907"/>
    <w:rsid w:val="001566A0"/>
    <w:rsid w:val="0016033A"/>
    <w:rsid w:val="001714E3"/>
    <w:rsid w:val="00173163"/>
    <w:rsid w:val="0017700A"/>
    <w:rsid w:val="00180ECC"/>
    <w:rsid w:val="001811C7"/>
    <w:rsid w:val="0018225A"/>
    <w:rsid w:val="00182AC5"/>
    <w:rsid w:val="00185DD0"/>
    <w:rsid w:val="00186448"/>
    <w:rsid w:val="001868F2"/>
    <w:rsid w:val="00187422"/>
    <w:rsid w:val="00191C75"/>
    <w:rsid w:val="00191F6D"/>
    <w:rsid w:val="00193C3F"/>
    <w:rsid w:val="00194075"/>
    <w:rsid w:val="001940E8"/>
    <w:rsid w:val="00194796"/>
    <w:rsid w:val="001A0ACB"/>
    <w:rsid w:val="001A1BE7"/>
    <w:rsid w:val="001A1E01"/>
    <w:rsid w:val="001A252A"/>
    <w:rsid w:val="001A2B22"/>
    <w:rsid w:val="001A3E36"/>
    <w:rsid w:val="001B5415"/>
    <w:rsid w:val="001B65A2"/>
    <w:rsid w:val="001C00DA"/>
    <w:rsid w:val="001C0A85"/>
    <w:rsid w:val="001C0D91"/>
    <w:rsid w:val="001C15BF"/>
    <w:rsid w:val="001C17C6"/>
    <w:rsid w:val="001C3502"/>
    <w:rsid w:val="001C3DFD"/>
    <w:rsid w:val="001C69AA"/>
    <w:rsid w:val="001D1F32"/>
    <w:rsid w:val="001D2733"/>
    <w:rsid w:val="001D5529"/>
    <w:rsid w:val="001D5AE6"/>
    <w:rsid w:val="001D5FCA"/>
    <w:rsid w:val="001D74BD"/>
    <w:rsid w:val="001E0CFC"/>
    <w:rsid w:val="001E16EB"/>
    <w:rsid w:val="001E2488"/>
    <w:rsid w:val="001E3C31"/>
    <w:rsid w:val="001E4042"/>
    <w:rsid w:val="001E46B3"/>
    <w:rsid w:val="001E5445"/>
    <w:rsid w:val="001E61B8"/>
    <w:rsid w:val="001E630D"/>
    <w:rsid w:val="001E6770"/>
    <w:rsid w:val="001E79CB"/>
    <w:rsid w:val="001F050B"/>
    <w:rsid w:val="001F0BEB"/>
    <w:rsid w:val="001F1C0B"/>
    <w:rsid w:val="001F344D"/>
    <w:rsid w:val="001F3C79"/>
    <w:rsid w:val="001F4FEC"/>
    <w:rsid w:val="0020583E"/>
    <w:rsid w:val="0021039B"/>
    <w:rsid w:val="00211A14"/>
    <w:rsid w:val="002123D5"/>
    <w:rsid w:val="002125A4"/>
    <w:rsid w:val="00213FA8"/>
    <w:rsid w:val="0021541D"/>
    <w:rsid w:val="00216517"/>
    <w:rsid w:val="00222C61"/>
    <w:rsid w:val="002249AA"/>
    <w:rsid w:val="0022690C"/>
    <w:rsid w:val="00226D46"/>
    <w:rsid w:val="00227122"/>
    <w:rsid w:val="00227974"/>
    <w:rsid w:val="00231185"/>
    <w:rsid w:val="0023209F"/>
    <w:rsid w:val="002325B2"/>
    <w:rsid w:val="00235C06"/>
    <w:rsid w:val="00242EFF"/>
    <w:rsid w:val="00247C20"/>
    <w:rsid w:val="002528F4"/>
    <w:rsid w:val="00252C50"/>
    <w:rsid w:val="002538B3"/>
    <w:rsid w:val="00254674"/>
    <w:rsid w:val="002557EA"/>
    <w:rsid w:val="00256D49"/>
    <w:rsid w:val="0026100C"/>
    <w:rsid w:val="00262406"/>
    <w:rsid w:val="002671B4"/>
    <w:rsid w:val="0027277B"/>
    <w:rsid w:val="00273D81"/>
    <w:rsid w:val="00274732"/>
    <w:rsid w:val="00281341"/>
    <w:rsid w:val="00281379"/>
    <w:rsid w:val="00281798"/>
    <w:rsid w:val="00281D98"/>
    <w:rsid w:val="00282305"/>
    <w:rsid w:val="002840F5"/>
    <w:rsid w:val="00284467"/>
    <w:rsid w:val="00286F6C"/>
    <w:rsid w:val="00290CB0"/>
    <w:rsid w:val="00292775"/>
    <w:rsid w:val="0029456A"/>
    <w:rsid w:val="00294FA5"/>
    <w:rsid w:val="00295F84"/>
    <w:rsid w:val="0029714F"/>
    <w:rsid w:val="002975F5"/>
    <w:rsid w:val="002A2A7C"/>
    <w:rsid w:val="002A43D6"/>
    <w:rsid w:val="002B23AE"/>
    <w:rsid w:val="002B2BFA"/>
    <w:rsid w:val="002B3572"/>
    <w:rsid w:val="002B7DEB"/>
    <w:rsid w:val="002C0178"/>
    <w:rsid w:val="002C16A4"/>
    <w:rsid w:val="002C2513"/>
    <w:rsid w:val="002C4FBF"/>
    <w:rsid w:val="002C5894"/>
    <w:rsid w:val="002D1662"/>
    <w:rsid w:val="002D27CA"/>
    <w:rsid w:val="002D3431"/>
    <w:rsid w:val="002D7A96"/>
    <w:rsid w:val="002E0C15"/>
    <w:rsid w:val="002E780E"/>
    <w:rsid w:val="002F0B06"/>
    <w:rsid w:val="002F5A56"/>
    <w:rsid w:val="002F5E6F"/>
    <w:rsid w:val="003016CC"/>
    <w:rsid w:val="00307B48"/>
    <w:rsid w:val="00311E0C"/>
    <w:rsid w:val="00311F1C"/>
    <w:rsid w:val="00312F4D"/>
    <w:rsid w:val="0031313F"/>
    <w:rsid w:val="003133FF"/>
    <w:rsid w:val="003144D1"/>
    <w:rsid w:val="00315545"/>
    <w:rsid w:val="00316044"/>
    <w:rsid w:val="003160E1"/>
    <w:rsid w:val="003165B5"/>
    <w:rsid w:val="00317C63"/>
    <w:rsid w:val="00321CE3"/>
    <w:rsid w:val="00321FEE"/>
    <w:rsid w:val="003235EF"/>
    <w:rsid w:val="00323BB7"/>
    <w:rsid w:val="00325407"/>
    <w:rsid w:val="00326F82"/>
    <w:rsid w:val="00330F3A"/>
    <w:rsid w:val="00331660"/>
    <w:rsid w:val="00333DB2"/>
    <w:rsid w:val="00334E56"/>
    <w:rsid w:val="00334EDE"/>
    <w:rsid w:val="00335336"/>
    <w:rsid w:val="00335D44"/>
    <w:rsid w:val="00340226"/>
    <w:rsid w:val="00341C67"/>
    <w:rsid w:val="00341D24"/>
    <w:rsid w:val="0034347A"/>
    <w:rsid w:val="00343C2F"/>
    <w:rsid w:val="003462C3"/>
    <w:rsid w:val="00346819"/>
    <w:rsid w:val="00350310"/>
    <w:rsid w:val="00350A8A"/>
    <w:rsid w:val="00350B2B"/>
    <w:rsid w:val="00350C08"/>
    <w:rsid w:val="003515E4"/>
    <w:rsid w:val="0035218F"/>
    <w:rsid w:val="003526B1"/>
    <w:rsid w:val="00353848"/>
    <w:rsid w:val="00353FE2"/>
    <w:rsid w:val="003558C7"/>
    <w:rsid w:val="00355C65"/>
    <w:rsid w:val="00356107"/>
    <w:rsid w:val="0035629B"/>
    <w:rsid w:val="0035693D"/>
    <w:rsid w:val="00356C9D"/>
    <w:rsid w:val="00360725"/>
    <w:rsid w:val="00360AC0"/>
    <w:rsid w:val="00361869"/>
    <w:rsid w:val="003634E2"/>
    <w:rsid w:val="0036394E"/>
    <w:rsid w:val="003659CD"/>
    <w:rsid w:val="00366261"/>
    <w:rsid w:val="0036674A"/>
    <w:rsid w:val="00366B51"/>
    <w:rsid w:val="00373C5D"/>
    <w:rsid w:val="0037668A"/>
    <w:rsid w:val="0037690D"/>
    <w:rsid w:val="003803FB"/>
    <w:rsid w:val="00381002"/>
    <w:rsid w:val="00384F8D"/>
    <w:rsid w:val="003871F3"/>
    <w:rsid w:val="0038782D"/>
    <w:rsid w:val="0038790B"/>
    <w:rsid w:val="00392D78"/>
    <w:rsid w:val="003948A4"/>
    <w:rsid w:val="00396197"/>
    <w:rsid w:val="003A034C"/>
    <w:rsid w:val="003A07DB"/>
    <w:rsid w:val="003A0D95"/>
    <w:rsid w:val="003A1D59"/>
    <w:rsid w:val="003A1FE8"/>
    <w:rsid w:val="003A2214"/>
    <w:rsid w:val="003A3C03"/>
    <w:rsid w:val="003A4350"/>
    <w:rsid w:val="003A6AB7"/>
    <w:rsid w:val="003A7AEE"/>
    <w:rsid w:val="003B0D64"/>
    <w:rsid w:val="003B1D58"/>
    <w:rsid w:val="003B2BB8"/>
    <w:rsid w:val="003B47B6"/>
    <w:rsid w:val="003B4DED"/>
    <w:rsid w:val="003B4E9A"/>
    <w:rsid w:val="003B5AEE"/>
    <w:rsid w:val="003B7F9D"/>
    <w:rsid w:val="003C074F"/>
    <w:rsid w:val="003C1155"/>
    <w:rsid w:val="003C1502"/>
    <w:rsid w:val="003C1B62"/>
    <w:rsid w:val="003C2907"/>
    <w:rsid w:val="003C3A52"/>
    <w:rsid w:val="003C5F87"/>
    <w:rsid w:val="003C6FA3"/>
    <w:rsid w:val="003C7AD9"/>
    <w:rsid w:val="003D05DD"/>
    <w:rsid w:val="003D34FF"/>
    <w:rsid w:val="003D50AF"/>
    <w:rsid w:val="003D652D"/>
    <w:rsid w:val="003D65FB"/>
    <w:rsid w:val="003D74E8"/>
    <w:rsid w:val="003E1D68"/>
    <w:rsid w:val="003E3200"/>
    <w:rsid w:val="003E391A"/>
    <w:rsid w:val="003E5633"/>
    <w:rsid w:val="003F06CD"/>
    <w:rsid w:val="003F093B"/>
    <w:rsid w:val="003F4435"/>
    <w:rsid w:val="003F5987"/>
    <w:rsid w:val="0040062A"/>
    <w:rsid w:val="00402219"/>
    <w:rsid w:val="00404D70"/>
    <w:rsid w:val="00405F8D"/>
    <w:rsid w:val="0040640D"/>
    <w:rsid w:val="00410BA6"/>
    <w:rsid w:val="00412295"/>
    <w:rsid w:val="00412F59"/>
    <w:rsid w:val="00414348"/>
    <w:rsid w:val="004148B0"/>
    <w:rsid w:val="00414AA0"/>
    <w:rsid w:val="0041520E"/>
    <w:rsid w:val="0041594E"/>
    <w:rsid w:val="00415CA1"/>
    <w:rsid w:val="00416335"/>
    <w:rsid w:val="004207CF"/>
    <w:rsid w:val="004211F3"/>
    <w:rsid w:val="00422B5A"/>
    <w:rsid w:val="00426877"/>
    <w:rsid w:val="00430082"/>
    <w:rsid w:val="00431FB9"/>
    <w:rsid w:val="00432D6D"/>
    <w:rsid w:val="004331F4"/>
    <w:rsid w:val="00436C40"/>
    <w:rsid w:val="00436E11"/>
    <w:rsid w:val="0043700C"/>
    <w:rsid w:val="00440FC6"/>
    <w:rsid w:val="0044141A"/>
    <w:rsid w:val="004436FA"/>
    <w:rsid w:val="00444AB2"/>
    <w:rsid w:val="00447E04"/>
    <w:rsid w:val="00453CCC"/>
    <w:rsid w:val="00454D52"/>
    <w:rsid w:val="00455363"/>
    <w:rsid w:val="004562FC"/>
    <w:rsid w:val="00457C4B"/>
    <w:rsid w:val="00457CF2"/>
    <w:rsid w:val="00457D12"/>
    <w:rsid w:val="0046025D"/>
    <w:rsid w:val="00460905"/>
    <w:rsid w:val="00460D68"/>
    <w:rsid w:val="0046196B"/>
    <w:rsid w:val="00461B64"/>
    <w:rsid w:val="004652EF"/>
    <w:rsid w:val="0046780A"/>
    <w:rsid w:val="00467E1D"/>
    <w:rsid w:val="00472452"/>
    <w:rsid w:val="00473792"/>
    <w:rsid w:val="00476DC4"/>
    <w:rsid w:val="00480499"/>
    <w:rsid w:val="00481620"/>
    <w:rsid w:val="00481653"/>
    <w:rsid w:val="00481A9A"/>
    <w:rsid w:val="00481EA8"/>
    <w:rsid w:val="004820D1"/>
    <w:rsid w:val="004839BB"/>
    <w:rsid w:val="00484E13"/>
    <w:rsid w:val="00487391"/>
    <w:rsid w:val="004910AA"/>
    <w:rsid w:val="00492831"/>
    <w:rsid w:val="00495A13"/>
    <w:rsid w:val="00496B75"/>
    <w:rsid w:val="00496D32"/>
    <w:rsid w:val="004A2BAA"/>
    <w:rsid w:val="004A3801"/>
    <w:rsid w:val="004A3CCE"/>
    <w:rsid w:val="004A6DDD"/>
    <w:rsid w:val="004B1849"/>
    <w:rsid w:val="004B1917"/>
    <w:rsid w:val="004B4376"/>
    <w:rsid w:val="004B52A3"/>
    <w:rsid w:val="004B54CA"/>
    <w:rsid w:val="004B650B"/>
    <w:rsid w:val="004B68D5"/>
    <w:rsid w:val="004B7FB6"/>
    <w:rsid w:val="004C00AA"/>
    <w:rsid w:val="004C3FE8"/>
    <w:rsid w:val="004C6B51"/>
    <w:rsid w:val="004D014C"/>
    <w:rsid w:val="004D32B5"/>
    <w:rsid w:val="004D4B16"/>
    <w:rsid w:val="004D54A0"/>
    <w:rsid w:val="004E034F"/>
    <w:rsid w:val="004E07B3"/>
    <w:rsid w:val="004E5923"/>
    <w:rsid w:val="004E5CBF"/>
    <w:rsid w:val="004E6680"/>
    <w:rsid w:val="004F0154"/>
    <w:rsid w:val="004F2056"/>
    <w:rsid w:val="004F3D0D"/>
    <w:rsid w:val="004F4B63"/>
    <w:rsid w:val="004F583F"/>
    <w:rsid w:val="004F5FA7"/>
    <w:rsid w:val="005029C6"/>
    <w:rsid w:val="00503938"/>
    <w:rsid w:val="00506437"/>
    <w:rsid w:val="005075AD"/>
    <w:rsid w:val="0051301A"/>
    <w:rsid w:val="005147FD"/>
    <w:rsid w:val="00514F68"/>
    <w:rsid w:val="005155E4"/>
    <w:rsid w:val="0051601C"/>
    <w:rsid w:val="00517471"/>
    <w:rsid w:val="00522F35"/>
    <w:rsid w:val="00523D6C"/>
    <w:rsid w:val="00526E03"/>
    <w:rsid w:val="005304DC"/>
    <w:rsid w:val="00530827"/>
    <w:rsid w:val="005314EB"/>
    <w:rsid w:val="00532D4F"/>
    <w:rsid w:val="00535191"/>
    <w:rsid w:val="005353A6"/>
    <w:rsid w:val="005359C6"/>
    <w:rsid w:val="00536B85"/>
    <w:rsid w:val="0054371F"/>
    <w:rsid w:val="00546F29"/>
    <w:rsid w:val="00547923"/>
    <w:rsid w:val="00552476"/>
    <w:rsid w:val="0055720A"/>
    <w:rsid w:val="0056204F"/>
    <w:rsid w:val="00562E1D"/>
    <w:rsid w:val="0056347E"/>
    <w:rsid w:val="00570D94"/>
    <w:rsid w:val="005711FA"/>
    <w:rsid w:val="0057211E"/>
    <w:rsid w:val="00573D54"/>
    <w:rsid w:val="00574035"/>
    <w:rsid w:val="005759A6"/>
    <w:rsid w:val="00577DD6"/>
    <w:rsid w:val="0058161D"/>
    <w:rsid w:val="005824D1"/>
    <w:rsid w:val="00583ABF"/>
    <w:rsid w:val="00586A54"/>
    <w:rsid w:val="00586E25"/>
    <w:rsid w:val="005961A7"/>
    <w:rsid w:val="005A045B"/>
    <w:rsid w:val="005A09DF"/>
    <w:rsid w:val="005A0CF6"/>
    <w:rsid w:val="005A2CB6"/>
    <w:rsid w:val="005A30E9"/>
    <w:rsid w:val="005A5ABC"/>
    <w:rsid w:val="005A5AF2"/>
    <w:rsid w:val="005A6E9A"/>
    <w:rsid w:val="005B1583"/>
    <w:rsid w:val="005B15E3"/>
    <w:rsid w:val="005B2AF1"/>
    <w:rsid w:val="005B59BE"/>
    <w:rsid w:val="005C08A0"/>
    <w:rsid w:val="005C0F99"/>
    <w:rsid w:val="005C3AA9"/>
    <w:rsid w:val="005C425F"/>
    <w:rsid w:val="005C6DDE"/>
    <w:rsid w:val="005C7997"/>
    <w:rsid w:val="005D264C"/>
    <w:rsid w:val="005D3639"/>
    <w:rsid w:val="005D4B6A"/>
    <w:rsid w:val="005D71F8"/>
    <w:rsid w:val="005D7B54"/>
    <w:rsid w:val="005E02DF"/>
    <w:rsid w:val="005E1614"/>
    <w:rsid w:val="005E3643"/>
    <w:rsid w:val="005E535E"/>
    <w:rsid w:val="005F02F1"/>
    <w:rsid w:val="005F03F4"/>
    <w:rsid w:val="005F0E44"/>
    <w:rsid w:val="005F1C33"/>
    <w:rsid w:val="005F3019"/>
    <w:rsid w:val="005F34B2"/>
    <w:rsid w:val="005F512C"/>
    <w:rsid w:val="006005A2"/>
    <w:rsid w:val="0060269A"/>
    <w:rsid w:val="006064CE"/>
    <w:rsid w:val="0060676C"/>
    <w:rsid w:val="00607588"/>
    <w:rsid w:val="00610A3E"/>
    <w:rsid w:val="0061193B"/>
    <w:rsid w:val="006140AB"/>
    <w:rsid w:val="0061460F"/>
    <w:rsid w:val="00616A10"/>
    <w:rsid w:val="0061762C"/>
    <w:rsid w:val="006177B2"/>
    <w:rsid w:val="00620A9A"/>
    <w:rsid w:val="006237D7"/>
    <w:rsid w:val="00625779"/>
    <w:rsid w:val="006258AE"/>
    <w:rsid w:val="00625FD5"/>
    <w:rsid w:val="00632270"/>
    <w:rsid w:val="006369F5"/>
    <w:rsid w:val="00637EC9"/>
    <w:rsid w:val="00642854"/>
    <w:rsid w:val="00643B2E"/>
    <w:rsid w:val="00645286"/>
    <w:rsid w:val="00647B4E"/>
    <w:rsid w:val="0065258B"/>
    <w:rsid w:val="00652A8A"/>
    <w:rsid w:val="006560D4"/>
    <w:rsid w:val="00660880"/>
    <w:rsid w:val="00663892"/>
    <w:rsid w:val="00664AB5"/>
    <w:rsid w:val="00667AF2"/>
    <w:rsid w:val="00671C19"/>
    <w:rsid w:val="006727E9"/>
    <w:rsid w:val="006738C5"/>
    <w:rsid w:val="00674CF4"/>
    <w:rsid w:val="006763C1"/>
    <w:rsid w:val="00676BB7"/>
    <w:rsid w:val="00682083"/>
    <w:rsid w:val="00683E69"/>
    <w:rsid w:val="00685EB5"/>
    <w:rsid w:val="006922DA"/>
    <w:rsid w:val="00692985"/>
    <w:rsid w:val="00692F45"/>
    <w:rsid w:val="006946B1"/>
    <w:rsid w:val="006960EB"/>
    <w:rsid w:val="00696BEE"/>
    <w:rsid w:val="00697BB6"/>
    <w:rsid w:val="006A1CBF"/>
    <w:rsid w:val="006A299A"/>
    <w:rsid w:val="006A4CE7"/>
    <w:rsid w:val="006A4EAB"/>
    <w:rsid w:val="006A4FBA"/>
    <w:rsid w:val="006A50F1"/>
    <w:rsid w:val="006B009C"/>
    <w:rsid w:val="006B0D9B"/>
    <w:rsid w:val="006B0DEE"/>
    <w:rsid w:val="006B10E9"/>
    <w:rsid w:val="006B2C5D"/>
    <w:rsid w:val="006B3E3A"/>
    <w:rsid w:val="006B45E8"/>
    <w:rsid w:val="006B49D8"/>
    <w:rsid w:val="006B7C7A"/>
    <w:rsid w:val="006C0F1A"/>
    <w:rsid w:val="006C2233"/>
    <w:rsid w:val="006C5E10"/>
    <w:rsid w:val="006D0769"/>
    <w:rsid w:val="006D08AA"/>
    <w:rsid w:val="006D2056"/>
    <w:rsid w:val="006D494E"/>
    <w:rsid w:val="006D644B"/>
    <w:rsid w:val="006D69A2"/>
    <w:rsid w:val="006E3F6E"/>
    <w:rsid w:val="006E5B49"/>
    <w:rsid w:val="006F0D9E"/>
    <w:rsid w:val="006F41D5"/>
    <w:rsid w:val="006F5D46"/>
    <w:rsid w:val="006F71C4"/>
    <w:rsid w:val="007030B4"/>
    <w:rsid w:val="007064F0"/>
    <w:rsid w:val="00706A34"/>
    <w:rsid w:val="00707064"/>
    <w:rsid w:val="007075DE"/>
    <w:rsid w:val="00707E61"/>
    <w:rsid w:val="00711713"/>
    <w:rsid w:val="00712BEE"/>
    <w:rsid w:val="00713C8A"/>
    <w:rsid w:val="00716124"/>
    <w:rsid w:val="00716222"/>
    <w:rsid w:val="007177A6"/>
    <w:rsid w:val="00720F8C"/>
    <w:rsid w:val="007215E8"/>
    <w:rsid w:val="007219F1"/>
    <w:rsid w:val="00721D2F"/>
    <w:rsid w:val="007230A7"/>
    <w:rsid w:val="0072468E"/>
    <w:rsid w:val="007326B5"/>
    <w:rsid w:val="00733882"/>
    <w:rsid w:val="00733AB1"/>
    <w:rsid w:val="00735F60"/>
    <w:rsid w:val="00736E3A"/>
    <w:rsid w:val="00742765"/>
    <w:rsid w:val="007519CD"/>
    <w:rsid w:val="00752925"/>
    <w:rsid w:val="0075493A"/>
    <w:rsid w:val="00760104"/>
    <w:rsid w:val="0076217E"/>
    <w:rsid w:val="00762248"/>
    <w:rsid w:val="00764DF5"/>
    <w:rsid w:val="00766130"/>
    <w:rsid w:val="007664EC"/>
    <w:rsid w:val="00772088"/>
    <w:rsid w:val="0077226D"/>
    <w:rsid w:val="007722C2"/>
    <w:rsid w:val="00773F6C"/>
    <w:rsid w:val="00774134"/>
    <w:rsid w:val="007751F4"/>
    <w:rsid w:val="00775931"/>
    <w:rsid w:val="00775FAB"/>
    <w:rsid w:val="00776BC7"/>
    <w:rsid w:val="00777F1F"/>
    <w:rsid w:val="0078198F"/>
    <w:rsid w:val="007836CD"/>
    <w:rsid w:val="007837FB"/>
    <w:rsid w:val="007848ED"/>
    <w:rsid w:val="00784C2F"/>
    <w:rsid w:val="00785261"/>
    <w:rsid w:val="00785EE3"/>
    <w:rsid w:val="00787593"/>
    <w:rsid w:val="0079313F"/>
    <w:rsid w:val="00795B27"/>
    <w:rsid w:val="00796EE2"/>
    <w:rsid w:val="00797DB3"/>
    <w:rsid w:val="007A10B5"/>
    <w:rsid w:val="007A2B17"/>
    <w:rsid w:val="007B0256"/>
    <w:rsid w:val="007B1436"/>
    <w:rsid w:val="007B1928"/>
    <w:rsid w:val="007B4374"/>
    <w:rsid w:val="007B6388"/>
    <w:rsid w:val="007B6FB3"/>
    <w:rsid w:val="007C1E38"/>
    <w:rsid w:val="007C3C7E"/>
    <w:rsid w:val="007C4B60"/>
    <w:rsid w:val="007C5802"/>
    <w:rsid w:val="007D0E86"/>
    <w:rsid w:val="007D1518"/>
    <w:rsid w:val="007D256C"/>
    <w:rsid w:val="007D2AC0"/>
    <w:rsid w:val="007D3434"/>
    <w:rsid w:val="007D5116"/>
    <w:rsid w:val="007D5A9C"/>
    <w:rsid w:val="007D5E61"/>
    <w:rsid w:val="007E04D7"/>
    <w:rsid w:val="007E0EA7"/>
    <w:rsid w:val="007E1618"/>
    <w:rsid w:val="007E66CD"/>
    <w:rsid w:val="007E7F0F"/>
    <w:rsid w:val="007F13EC"/>
    <w:rsid w:val="007F1A90"/>
    <w:rsid w:val="007F2313"/>
    <w:rsid w:val="007F6999"/>
    <w:rsid w:val="008035D9"/>
    <w:rsid w:val="00803848"/>
    <w:rsid w:val="00804A49"/>
    <w:rsid w:val="00805B9B"/>
    <w:rsid w:val="0080661E"/>
    <w:rsid w:val="0080684F"/>
    <w:rsid w:val="00807C34"/>
    <w:rsid w:val="008116B5"/>
    <w:rsid w:val="00812195"/>
    <w:rsid w:val="008152D8"/>
    <w:rsid w:val="0081558B"/>
    <w:rsid w:val="008207E4"/>
    <w:rsid w:val="00822529"/>
    <w:rsid w:val="008228DA"/>
    <w:rsid w:val="008233B6"/>
    <w:rsid w:val="008238F3"/>
    <w:rsid w:val="00827028"/>
    <w:rsid w:val="00827A91"/>
    <w:rsid w:val="0083033D"/>
    <w:rsid w:val="00830824"/>
    <w:rsid w:val="0083089B"/>
    <w:rsid w:val="00832454"/>
    <w:rsid w:val="0083555A"/>
    <w:rsid w:val="00835CF1"/>
    <w:rsid w:val="00836FE6"/>
    <w:rsid w:val="0083786F"/>
    <w:rsid w:val="00840413"/>
    <w:rsid w:val="0084262A"/>
    <w:rsid w:val="00843039"/>
    <w:rsid w:val="0085147C"/>
    <w:rsid w:val="008515A3"/>
    <w:rsid w:val="008521EA"/>
    <w:rsid w:val="00852C9E"/>
    <w:rsid w:val="00854115"/>
    <w:rsid w:val="00856B92"/>
    <w:rsid w:val="008571CE"/>
    <w:rsid w:val="00857733"/>
    <w:rsid w:val="008600AD"/>
    <w:rsid w:val="008619DF"/>
    <w:rsid w:val="00862C84"/>
    <w:rsid w:val="00865696"/>
    <w:rsid w:val="00866164"/>
    <w:rsid w:val="008667A8"/>
    <w:rsid w:val="0086773C"/>
    <w:rsid w:val="00867DD1"/>
    <w:rsid w:val="008708E7"/>
    <w:rsid w:val="008712D0"/>
    <w:rsid w:val="00872AB6"/>
    <w:rsid w:val="00874DF0"/>
    <w:rsid w:val="0087573A"/>
    <w:rsid w:val="00876619"/>
    <w:rsid w:val="00877985"/>
    <w:rsid w:val="008802C0"/>
    <w:rsid w:val="00880FC2"/>
    <w:rsid w:val="00881230"/>
    <w:rsid w:val="0088132C"/>
    <w:rsid w:val="00883BA0"/>
    <w:rsid w:val="008845D7"/>
    <w:rsid w:val="00885DEA"/>
    <w:rsid w:val="00886EBF"/>
    <w:rsid w:val="0089095C"/>
    <w:rsid w:val="00890E49"/>
    <w:rsid w:val="0089169C"/>
    <w:rsid w:val="00892F10"/>
    <w:rsid w:val="00893484"/>
    <w:rsid w:val="00893BBD"/>
    <w:rsid w:val="00895A37"/>
    <w:rsid w:val="008973B5"/>
    <w:rsid w:val="008A1107"/>
    <w:rsid w:val="008A1D71"/>
    <w:rsid w:val="008A2409"/>
    <w:rsid w:val="008A24A3"/>
    <w:rsid w:val="008A2E9A"/>
    <w:rsid w:val="008A4BDC"/>
    <w:rsid w:val="008A5AA1"/>
    <w:rsid w:val="008A6868"/>
    <w:rsid w:val="008A7999"/>
    <w:rsid w:val="008B01D3"/>
    <w:rsid w:val="008B0630"/>
    <w:rsid w:val="008B1B73"/>
    <w:rsid w:val="008B4CA6"/>
    <w:rsid w:val="008B4DE2"/>
    <w:rsid w:val="008B55CD"/>
    <w:rsid w:val="008B63A2"/>
    <w:rsid w:val="008B748E"/>
    <w:rsid w:val="008B7F34"/>
    <w:rsid w:val="008C0564"/>
    <w:rsid w:val="008C517C"/>
    <w:rsid w:val="008C59FE"/>
    <w:rsid w:val="008C5D15"/>
    <w:rsid w:val="008C6143"/>
    <w:rsid w:val="008C7CCB"/>
    <w:rsid w:val="008D1F5D"/>
    <w:rsid w:val="008D2217"/>
    <w:rsid w:val="008D296D"/>
    <w:rsid w:val="008E3AF9"/>
    <w:rsid w:val="008E49DA"/>
    <w:rsid w:val="008E4ADB"/>
    <w:rsid w:val="008E57D4"/>
    <w:rsid w:val="008E6EF9"/>
    <w:rsid w:val="008F04F3"/>
    <w:rsid w:val="008F505D"/>
    <w:rsid w:val="008F60E8"/>
    <w:rsid w:val="008F6341"/>
    <w:rsid w:val="008F7E21"/>
    <w:rsid w:val="00901EAF"/>
    <w:rsid w:val="00902A70"/>
    <w:rsid w:val="0091040E"/>
    <w:rsid w:val="0091127C"/>
    <w:rsid w:val="00913052"/>
    <w:rsid w:val="009138DE"/>
    <w:rsid w:val="00916198"/>
    <w:rsid w:val="0091676E"/>
    <w:rsid w:val="009168ED"/>
    <w:rsid w:val="009172F1"/>
    <w:rsid w:val="00920E96"/>
    <w:rsid w:val="009213F2"/>
    <w:rsid w:val="009225F0"/>
    <w:rsid w:val="009234E3"/>
    <w:rsid w:val="00923CA4"/>
    <w:rsid w:val="00923ED2"/>
    <w:rsid w:val="00924E96"/>
    <w:rsid w:val="00926131"/>
    <w:rsid w:val="009267B1"/>
    <w:rsid w:val="00927E69"/>
    <w:rsid w:val="00932124"/>
    <w:rsid w:val="009347F7"/>
    <w:rsid w:val="009373F4"/>
    <w:rsid w:val="009418DE"/>
    <w:rsid w:val="00943693"/>
    <w:rsid w:val="009454BA"/>
    <w:rsid w:val="0094725D"/>
    <w:rsid w:val="00950BE4"/>
    <w:rsid w:val="0095124F"/>
    <w:rsid w:val="009517B5"/>
    <w:rsid w:val="009549EA"/>
    <w:rsid w:val="00954A6C"/>
    <w:rsid w:val="009611E3"/>
    <w:rsid w:val="009628CA"/>
    <w:rsid w:val="009653A4"/>
    <w:rsid w:val="0096619B"/>
    <w:rsid w:val="00967482"/>
    <w:rsid w:val="009677FC"/>
    <w:rsid w:val="0097189F"/>
    <w:rsid w:val="00972037"/>
    <w:rsid w:val="0097268F"/>
    <w:rsid w:val="00972B4C"/>
    <w:rsid w:val="009735C1"/>
    <w:rsid w:val="00973F93"/>
    <w:rsid w:val="00975BC5"/>
    <w:rsid w:val="009768B0"/>
    <w:rsid w:val="00977591"/>
    <w:rsid w:val="00982450"/>
    <w:rsid w:val="00985170"/>
    <w:rsid w:val="00987111"/>
    <w:rsid w:val="009875F6"/>
    <w:rsid w:val="00987621"/>
    <w:rsid w:val="00991574"/>
    <w:rsid w:val="00995132"/>
    <w:rsid w:val="00995909"/>
    <w:rsid w:val="00995C3A"/>
    <w:rsid w:val="009960A3"/>
    <w:rsid w:val="00996565"/>
    <w:rsid w:val="00996686"/>
    <w:rsid w:val="00996CB3"/>
    <w:rsid w:val="00996EF8"/>
    <w:rsid w:val="009A0382"/>
    <w:rsid w:val="009A213F"/>
    <w:rsid w:val="009A2540"/>
    <w:rsid w:val="009A33B6"/>
    <w:rsid w:val="009A3891"/>
    <w:rsid w:val="009A44C8"/>
    <w:rsid w:val="009A65FC"/>
    <w:rsid w:val="009A66DF"/>
    <w:rsid w:val="009A7C26"/>
    <w:rsid w:val="009B1FCB"/>
    <w:rsid w:val="009B2452"/>
    <w:rsid w:val="009B3198"/>
    <w:rsid w:val="009B36E4"/>
    <w:rsid w:val="009B51E7"/>
    <w:rsid w:val="009C2D82"/>
    <w:rsid w:val="009C5501"/>
    <w:rsid w:val="009C6E47"/>
    <w:rsid w:val="009C765E"/>
    <w:rsid w:val="009C7856"/>
    <w:rsid w:val="009D449E"/>
    <w:rsid w:val="009E0E63"/>
    <w:rsid w:val="009E11F7"/>
    <w:rsid w:val="009E12C1"/>
    <w:rsid w:val="009E1BAE"/>
    <w:rsid w:val="009E3A97"/>
    <w:rsid w:val="009E56E5"/>
    <w:rsid w:val="009E6165"/>
    <w:rsid w:val="009E6A06"/>
    <w:rsid w:val="009E72FA"/>
    <w:rsid w:val="009E7F07"/>
    <w:rsid w:val="009F3127"/>
    <w:rsid w:val="009F6F9F"/>
    <w:rsid w:val="00A0008A"/>
    <w:rsid w:val="00A019C3"/>
    <w:rsid w:val="00A03027"/>
    <w:rsid w:val="00A04046"/>
    <w:rsid w:val="00A04B50"/>
    <w:rsid w:val="00A07E15"/>
    <w:rsid w:val="00A1065E"/>
    <w:rsid w:val="00A106B1"/>
    <w:rsid w:val="00A15295"/>
    <w:rsid w:val="00A15606"/>
    <w:rsid w:val="00A15DA9"/>
    <w:rsid w:val="00A20F65"/>
    <w:rsid w:val="00A22306"/>
    <w:rsid w:val="00A2635B"/>
    <w:rsid w:val="00A27C41"/>
    <w:rsid w:val="00A30EF8"/>
    <w:rsid w:val="00A33386"/>
    <w:rsid w:val="00A354E3"/>
    <w:rsid w:val="00A40B96"/>
    <w:rsid w:val="00A41562"/>
    <w:rsid w:val="00A4471E"/>
    <w:rsid w:val="00A4644E"/>
    <w:rsid w:val="00A465D3"/>
    <w:rsid w:val="00A47103"/>
    <w:rsid w:val="00A47AEA"/>
    <w:rsid w:val="00A47F1F"/>
    <w:rsid w:val="00A51E15"/>
    <w:rsid w:val="00A52707"/>
    <w:rsid w:val="00A53ED2"/>
    <w:rsid w:val="00A545B2"/>
    <w:rsid w:val="00A5499C"/>
    <w:rsid w:val="00A54E47"/>
    <w:rsid w:val="00A57254"/>
    <w:rsid w:val="00A576C0"/>
    <w:rsid w:val="00A605CA"/>
    <w:rsid w:val="00A6229E"/>
    <w:rsid w:val="00A64A3A"/>
    <w:rsid w:val="00A65F00"/>
    <w:rsid w:val="00A674E6"/>
    <w:rsid w:val="00A71D91"/>
    <w:rsid w:val="00A731BE"/>
    <w:rsid w:val="00A73534"/>
    <w:rsid w:val="00A73FA9"/>
    <w:rsid w:val="00A7423A"/>
    <w:rsid w:val="00A743E0"/>
    <w:rsid w:val="00A74A35"/>
    <w:rsid w:val="00A75923"/>
    <w:rsid w:val="00A75A64"/>
    <w:rsid w:val="00A8142D"/>
    <w:rsid w:val="00A81BE4"/>
    <w:rsid w:val="00A83409"/>
    <w:rsid w:val="00A8436C"/>
    <w:rsid w:val="00A86F2D"/>
    <w:rsid w:val="00A900E6"/>
    <w:rsid w:val="00A913B0"/>
    <w:rsid w:val="00A92DF7"/>
    <w:rsid w:val="00A92E9E"/>
    <w:rsid w:val="00A9435F"/>
    <w:rsid w:val="00A96C2F"/>
    <w:rsid w:val="00A96E4E"/>
    <w:rsid w:val="00AA032F"/>
    <w:rsid w:val="00AA03E8"/>
    <w:rsid w:val="00AA09D9"/>
    <w:rsid w:val="00AA0DA9"/>
    <w:rsid w:val="00AA1E3A"/>
    <w:rsid w:val="00AA32FB"/>
    <w:rsid w:val="00AA47C1"/>
    <w:rsid w:val="00AA4FCA"/>
    <w:rsid w:val="00AA7D19"/>
    <w:rsid w:val="00AB02D8"/>
    <w:rsid w:val="00AB459F"/>
    <w:rsid w:val="00AB603D"/>
    <w:rsid w:val="00AB6B14"/>
    <w:rsid w:val="00AB6B62"/>
    <w:rsid w:val="00AB6C8A"/>
    <w:rsid w:val="00AC5E2D"/>
    <w:rsid w:val="00AD0B03"/>
    <w:rsid w:val="00AD1B31"/>
    <w:rsid w:val="00AD46FE"/>
    <w:rsid w:val="00AD4EBC"/>
    <w:rsid w:val="00AD62FF"/>
    <w:rsid w:val="00AD7D68"/>
    <w:rsid w:val="00AE0D61"/>
    <w:rsid w:val="00AE31C5"/>
    <w:rsid w:val="00AE32E8"/>
    <w:rsid w:val="00AF150D"/>
    <w:rsid w:val="00AF4F1F"/>
    <w:rsid w:val="00AF55F4"/>
    <w:rsid w:val="00AF6A46"/>
    <w:rsid w:val="00B00557"/>
    <w:rsid w:val="00B00EAA"/>
    <w:rsid w:val="00B02EC7"/>
    <w:rsid w:val="00B04C25"/>
    <w:rsid w:val="00B04EF2"/>
    <w:rsid w:val="00B05805"/>
    <w:rsid w:val="00B06227"/>
    <w:rsid w:val="00B117EC"/>
    <w:rsid w:val="00B1295A"/>
    <w:rsid w:val="00B15256"/>
    <w:rsid w:val="00B15D71"/>
    <w:rsid w:val="00B207E8"/>
    <w:rsid w:val="00B227D9"/>
    <w:rsid w:val="00B3051D"/>
    <w:rsid w:val="00B32089"/>
    <w:rsid w:val="00B34BE7"/>
    <w:rsid w:val="00B34EF6"/>
    <w:rsid w:val="00B359EF"/>
    <w:rsid w:val="00B37370"/>
    <w:rsid w:val="00B400AA"/>
    <w:rsid w:val="00B4053F"/>
    <w:rsid w:val="00B409D1"/>
    <w:rsid w:val="00B43988"/>
    <w:rsid w:val="00B45937"/>
    <w:rsid w:val="00B46AE1"/>
    <w:rsid w:val="00B46D6F"/>
    <w:rsid w:val="00B517B6"/>
    <w:rsid w:val="00B52362"/>
    <w:rsid w:val="00B52834"/>
    <w:rsid w:val="00B52B19"/>
    <w:rsid w:val="00B52B6A"/>
    <w:rsid w:val="00B531FF"/>
    <w:rsid w:val="00B53AD2"/>
    <w:rsid w:val="00B545C5"/>
    <w:rsid w:val="00B56A4A"/>
    <w:rsid w:val="00B56F0D"/>
    <w:rsid w:val="00B60D62"/>
    <w:rsid w:val="00B61463"/>
    <w:rsid w:val="00B62B34"/>
    <w:rsid w:val="00B640DA"/>
    <w:rsid w:val="00B64EAD"/>
    <w:rsid w:val="00B658AF"/>
    <w:rsid w:val="00B74F91"/>
    <w:rsid w:val="00B76B55"/>
    <w:rsid w:val="00B76D59"/>
    <w:rsid w:val="00B77024"/>
    <w:rsid w:val="00B773D4"/>
    <w:rsid w:val="00B802DF"/>
    <w:rsid w:val="00B81D49"/>
    <w:rsid w:val="00B837CB"/>
    <w:rsid w:val="00B83A55"/>
    <w:rsid w:val="00B854D9"/>
    <w:rsid w:val="00B86D70"/>
    <w:rsid w:val="00B909BB"/>
    <w:rsid w:val="00B9274C"/>
    <w:rsid w:val="00B9293A"/>
    <w:rsid w:val="00B9773D"/>
    <w:rsid w:val="00BA05E4"/>
    <w:rsid w:val="00BA2DB9"/>
    <w:rsid w:val="00BA3CDC"/>
    <w:rsid w:val="00BA4AFC"/>
    <w:rsid w:val="00BA539B"/>
    <w:rsid w:val="00BB06ED"/>
    <w:rsid w:val="00BB34FF"/>
    <w:rsid w:val="00BB383A"/>
    <w:rsid w:val="00BB61F5"/>
    <w:rsid w:val="00BC06F1"/>
    <w:rsid w:val="00BC0759"/>
    <w:rsid w:val="00BC245E"/>
    <w:rsid w:val="00BC24CF"/>
    <w:rsid w:val="00BC31F4"/>
    <w:rsid w:val="00BC32AB"/>
    <w:rsid w:val="00BC416C"/>
    <w:rsid w:val="00BC569E"/>
    <w:rsid w:val="00BC5A1B"/>
    <w:rsid w:val="00BC5E88"/>
    <w:rsid w:val="00BC66C0"/>
    <w:rsid w:val="00BC76F4"/>
    <w:rsid w:val="00BC7785"/>
    <w:rsid w:val="00BD2A96"/>
    <w:rsid w:val="00BD4024"/>
    <w:rsid w:val="00BD4CDE"/>
    <w:rsid w:val="00BD4D23"/>
    <w:rsid w:val="00BD50C8"/>
    <w:rsid w:val="00BD604F"/>
    <w:rsid w:val="00BD65F4"/>
    <w:rsid w:val="00BE4C7C"/>
    <w:rsid w:val="00BE632A"/>
    <w:rsid w:val="00BE70D4"/>
    <w:rsid w:val="00BE7148"/>
    <w:rsid w:val="00BF276E"/>
    <w:rsid w:val="00BF3224"/>
    <w:rsid w:val="00BF7767"/>
    <w:rsid w:val="00C03B60"/>
    <w:rsid w:val="00C03F10"/>
    <w:rsid w:val="00C03FBA"/>
    <w:rsid w:val="00C05A27"/>
    <w:rsid w:val="00C06AAE"/>
    <w:rsid w:val="00C07173"/>
    <w:rsid w:val="00C104C2"/>
    <w:rsid w:val="00C119B0"/>
    <w:rsid w:val="00C14F7E"/>
    <w:rsid w:val="00C163B9"/>
    <w:rsid w:val="00C1690B"/>
    <w:rsid w:val="00C17E6B"/>
    <w:rsid w:val="00C20B55"/>
    <w:rsid w:val="00C211C2"/>
    <w:rsid w:val="00C22FA7"/>
    <w:rsid w:val="00C233D3"/>
    <w:rsid w:val="00C234BD"/>
    <w:rsid w:val="00C268D3"/>
    <w:rsid w:val="00C3215B"/>
    <w:rsid w:val="00C32D98"/>
    <w:rsid w:val="00C33CD3"/>
    <w:rsid w:val="00C342A3"/>
    <w:rsid w:val="00C3454D"/>
    <w:rsid w:val="00C359BC"/>
    <w:rsid w:val="00C3617B"/>
    <w:rsid w:val="00C4039F"/>
    <w:rsid w:val="00C41EB6"/>
    <w:rsid w:val="00C44433"/>
    <w:rsid w:val="00C4610E"/>
    <w:rsid w:val="00C46E22"/>
    <w:rsid w:val="00C46EEB"/>
    <w:rsid w:val="00C50071"/>
    <w:rsid w:val="00C500AD"/>
    <w:rsid w:val="00C508D7"/>
    <w:rsid w:val="00C51026"/>
    <w:rsid w:val="00C513C5"/>
    <w:rsid w:val="00C531AF"/>
    <w:rsid w:val="00C537BB"/>
    <w:rsid w:val="00C545CA"/>
    <w:rsid w:val="00C5577E"/>
    <w:rsid w:val="00C562E5"/>
    <w:rsid w:val="00C5695C"/>
    <w:rsid w:val="00C62F3C"/>
    <w:rsid w:val="00C6355F"/>
    <w:rsid w:val="00C637C6"/>
    <w:rsid w:val="00C66860"/>
    <w:rsid w:val="00C66E70"/>
    <w:rsid w:val="00C67062"/>
    <w:rsid w:val="00C70E87"/>
    <w:rsid w:val="00C72B8E"/>
    <w:rsid w:val="00C7343E"/>
    <w:rsid w:val="00C73823"/>
    <w:rsid w:val="00C74B7E"/>
    <w:rsid w:val="00C74DA8"/>
    <w:rsid w:val="00C763E0"/>
    <w:rsid w:val="00C80744"/>
    <w:rsid w:val="00C819A0"/>
    <w:rsid w:val="00C8311A"/>
    <w:rsid w:val="00C834CE"/>
    <w:rsid w:val="00C83CE7"/>
    <w:rsid w:val="00C842CD"/>
    <w:rsid w:val="00C85193"/>
    <w:rsid w:val="00C85C60"/>
    <w:rsid w:val="00C85F61"/>
    <w:rsid w:val="00C90CD3"/>
    <w:rsid w:val="00C93428"/>
    <w:rsid w:val="00C9399E"/>
    <w:rsid w:val="00C968E0"/>
    <w:rsid w:val="00C97ED6"/>
    <w:rsid w:val="00CA080E"/>
    <w:rsid w:val="00CA0B66"/>
    <w:rsid w:val="00CA5762"/>
    <w:rsid w:val="00CA6061"/>
    <w:rsid w:val="00CA6E39"/>
    <w:rsid w:val="00CB0340"/>
    <w:rsid w:val="00CB0568"/>
    <w:rsid w:val="00CB108F"/>
    <w:rsid w:val="00CB2AB6"/>
    <w:rsid w:val="00CB735C"/>
    <w:rsid w:val="00CB7F9D"/>
    <w:rsid w:val="00CC22AB"/>
    <w:rsid w:val="00CC2DD6"/>
    <w:rsid w:val="00CC32F5"/>
    <w:rsid w:val="00CC4175"/>
    <w:rsid w:val="00CD0CCE"/>
    <w:rsid w:val="00CD1CEB"/>
    <w:rsid w:val="00CD3579"/>
    <w:rsid w:val="00CD53B0"/>
    <w:rsid w:val="00CD54AF"/>
    <w:rsid w:val="00CD599B"/>
    <w:rsid w:val="00CD68BE"/>
    <w:rsid w:val="00CD7CF3"/>
    <w:rsid w:val="00CE1DE3"/>
    <w:rsid w:val="00CE408D"/>
    <w:rsid w:val="00CE6267"/>
    <w:rsid w:val="00CE64D6"/>
    <w:rsid w:val="00CE678A"/>
    <w:rsid w:val="00CF0222"/>
    <w:rsid w:val="00CF2B90"/>
    <w:rsid w:val="00CF49A8"/>
    <w:rsid w:val="00CF6E13"/>
    <w:rsid w:val="00D011D4"/>
    <w:rsid w:val="00D05293"/>
    <w:rsid w:val="00D06196"/>
    <w:rsid w:val="00D076D8"/>
    <w:rsid w:val="00D07ABF"/>
    <w:rsid w:val="00D12ED1"/>
    <w:rsid w:val="00D14D90"/>
    <w:rsid w:val="00D15556"/>
    <w:rsid w:val="00D15CA9"/>
    <w:rsid w:val="00D15F2B"/>
    <w:rsid w:val="00D3056F"/>
    <w:rsid w:val="00D31648"/>
    <w:rsid w:val="00D33A88"/>
    <w:rsid w:val="00D41432"/>
    <w:rsid w:val="00D41D4B"/>
    <w:rsid w:val="00D41FC8"/>
    <w:rsid w:val="00D42E36"/>
    <w:rsid w:val="00D43363"/>
    <w:rsid w:val="00D450D5"/>
    <w:rsid w:val="00D45420"/>
    <w:rsid w:val="00D45BD3"/>
    <w:rsid w:val="00D4629F"/>
    <w:rsid w:val="00D46D62"/>
    <w:rsid w:val="00D52B3E"/>
    <w:rsid w:val="00D52D8F"/>
    <w:rsid w:val="00D54BD6"/>
    <w:rsid w:val="00D54F8E"/>
    <w:rsid w:val="00D57227"/>
    <w:rsid w:val="00D57524"/>
    <w:rsid w:val="00D6031F"/>
    <w:rsid w:val="00D65E52"/>
    <w:rsid w:val="00D706A3"/>
    <w:rsid w:val="00D70AFD"/>
    <w:rsid w:val="00D70C69"/>
    <w:rsid w:val="00D70E6F"/>
    <w:rsid w:val="00D7343A"/>
    <w:rsid w:val="00D7499B"/>
    <w:rsid w:val="00D76395"/>
    <w:rsid w:val="00D81998"/>
    <w:rsid w:val="00D82084"/>
    <w:rsid w:val="00D82214"/>
    <w:rsid w:val="00D83C9E"/>
    <w:rsid w:val="00D85B9F"/>
    <w:rsid w:val="00D86795"/>
    <w:rsid w:val="00D86CAC"/>
    <w:rsid w:val="00D8730A"/>
    <w:rsid w:val="00D87CFB"/>
    <w:rsid w:val="00D90EB5"/>
    <w:rsid w:val="00D91083"/>
    <w:rsid w:val="00D9120E"/>
    <w:rsid w:val="00D93866"/>
    <w:rsid w:val="00D94018"/>
    <w:rsid w:val="00D94CCF"/>
    <w:rsid w:val="00D963F1"/>
    <w:rsid w:val="00D97ECD"/>
    <w:rsid w:val="00DA0288"/>
    <w:rsid w:val="00DA162A"/>
    <w:rsid w:val="00DA236F"/>
    <w:rsid w:val="00DA2A81"/>
    <w:rsid w:val="00DA6432"/>
    <w:rsid w:val="00DB00AC"/>
    <w:rsid w:val="00DB00D5"/>
    <w:rsid w:val="00DB42DF"/>
    <w:rsid w:val="00DB4B44"/>
    <w:rsid w:val="00DB7443"/>
    <w:rsid w:val="00DB7B58"/>
    <w:rsid w:val="00DC0777"/>
    <w:rsid w:val="00DC0A5C"/>
    <w:rsid w:val="00DC24DC"/>
    <w:rsid w:val="00DC3ED7"/>
    <w:rsid w:val="00DC5FF9"/>
    <w:rsid w:val="00DD1AF7"/>
    <w:rsid w:val="00DD2EBF"/>
    <w:rsid w:val="00DD344D"/>
    <w:rsid w:val="00DD38DC"/>
    <w:rsid w:val="00DD3E29"/>
    <w:rsid w:val="00DD716D"/>
    <w:rsid w:val="00DD7E17"/>
    <w:rsid w:val="00DE0B9A"/>
    <w:rsid w:val="00DE5213"/>
    <w:rsid w:val="00DE5528"/>
    <w:rsid w:val="00DE658A"/>
    <w:rsid w:val="00DE71F1"/>
    <w:rsid w:val="00DF26B5"/>
    <w:rsid w:val="00DF5CCB"/>
    <w:rsid w:val="00DF5E3B"/>
    <w:rsid w:val="00DF71B3"/>
    <w:rsid w:val="00E005E0"/>
    <w:rsid w:val="00E0533A"/>
    <w:rsid w:val="00E06723"/>
    <w:rsid w:val="00E10E99"/>
    <w:rsid w:val="00E12870"/>
    <w:rsid w:val="00E16309"/>
    <w:rsid w:val="00E202A2"/>
    <w:rsid w:val="00E205E9"/>
    <w:rsid w:val="00E27A53"/>
    <w:rsid w:val="00E3014F"/>
    <w:rsid w:val="00E302D9"/>
    <w:rsid w:val="00E30E98"/>
    <w:rsid w:val="00E31682"/>
    <w:rsid w:val="00E323D2"/>
    <w:rsid w:val="00E32470"/>
    <w:rsid w:val="00E37CD4"/>
    <w:rsid w:val="00E37D68"/>
    <w:rsid w:val="00E41E33"/>
    <w:rsid w:val="00E42952"/>
    <w:rsid w:val="00E43C71"/>
    <w:rsid w:val="00E45038"/>
    <w:rsid w:val="00E45554"/>
    <w:rsid w:val="00E459B7"/>
    <w:rsid w:val="00E4734B"/>
    <w:rsid w:val="00E534E3"/>
    <w:rsid w:val="00E54396"/>
    <w:rsid w:val="00E56861"/>
    <w:rsid w:val="00E57965"/>
    <w:rsid w:val="00E617B6"/>
    <w:rsid w:val="00E6459D"/>
    <w:rsid w:val="00E66C31"/>
    <w:rsid w:val="00E700B8"/>
    <w:rsid w:val="00E72E0F"/>
    <w:rsid w:val="00E74A10"/>
    <w:rsid w:val="00E7634E"/>
    <w:rsid w:val="00E765CA"/>
    <w:rsid w:val="00E76A69"/>
    <w:rsid w:val="00E81C89"/>
    <w:rsid w:val="00E82F46"/>
    <w:rsid w:val="00E873B9"/>
    <w:rsid w:val="00E93F35"/>
    <w:rsid w:val="00E96534"/>
    <w:rsid w:val="00E970CA"/>
    <w:rsid w:val="00EA1761"/>
    <w:rsid w:val="00EA3527"/>
    <w:rsid w:val="00EA5A63"/>
    <w:rsid w:val="00EA5B42"/>
    <w:rsid w:val="00EA621C"/>
    <w:rsid w:val="00EB28F6"/>
    <w:rsid w:val="00EB2E64"/>
    <w:rsid w:val="00EB3AF2"/>
    <w:rsid w:val="00EB47F3"/>
    <w:rsid w:val="00EB4E23"/>
    <w:rsid w:val="00EB4E85"/>
    <w:rsid w:val="00EB62DC"/>
    <w:rsid w:val="00EB65A9"/>
    <w:rsid w:val="00EC0AA2"/>
    <w:rsid w:val="00EC23C8"/>
    <w:rsid w:val="00EC37B2"/>
    <w:rsid w:val="00EC46C5"/>
    <w:rsid w:val="00EC4B4F"/>
    <w:rsid w:val="00EC4C95"/>
    <w:rsid w:val="00EC66D4"/>
    <w:rsid w:val="00EC73BF"/>
    <w:rsid w:val="00EC7477"/>
    <w:rsid w:val="00ED088B"/>
    <w:rsid w:val="00ED1E5F"/>
    <w:rsid w:val="00ED2558"/>
    <w:rsid w:val="00ED3665"/>
    <w:rsid w:val="00ED46E2"/>
    <w:rsid w:val="00ED4CD0"/>
    <w:rsid w:val="00ED4E08"/>
    <w:rsid w:val="00ED5403"/>
    <w:rsid w:val="00ED5E28"/>
    <w:rsid w:val="00ED6634"/>
    <w:rsid w:val="00ED6E30"/>
    <w:rsid w:val="00EE0251"/>
    <w:rsid w:val="00EE2D2C"/>
    <w:rsid w:val="00EE3D25"/>
    <w:rsid w:val="00EE5246"/>
    <w:rsid w:val="00EE54E1"/>
    <w:rsid w:val="00EE6B80"/>
    <w:rsid w:val="00EF0449"/>
    <w:rsid w:val="00EF0F36"/>
    <w:rsid w:val="00EF1898"/>
    <w:rsid w:val="00EF613F"/>
    <w:rsid w:val="00F016CD"/>
    <w:rsid w:val="00F04074"/>
    <w:rsid w:val="00F063DF"/>
    <w:rsid w:val="00F10DB4"/>
    <w:rsid w:val="00F11E45"/>
    <w:rsid w:val="00F12763"/>
    <w:rsid w:val="00F12862"/>
    <w:rsid w:val="00F13F38"/>
    <w:rsid w:val="00F1564A"/>
    <w:rsid w:val="00F16609"/>
    <w:rsid w:val="00F22231"/>
    <w:rsid w:val="00F22C58"/>
    <w:rsid w:val="00F23353"/>
    <w:rsid w:val="00F24910"/>
    <w:rsid w:val="00F24A28"/>
    <w:rsid w:val="00F25169"/>
    <w:rsid w:val="00F26241"/>
    <w:rsid w:val="00F27D64"/>
    <w:rsid w:val="00F312BC"/>
    <w:rsid w:val="00F31C9E"/>
    <w:rsid w:val="00F31CD4"/>
    <w:rsid w:val="00F3275E"/>
    <w:rsid w:val="00F35356"/>
    <w:rsid w:val="00F37A02"/>
    <w:rsid w:val="00F424E1"/>
    <w:rsid w:val="00F43C41"/>
    <w:rsid w:val="00F44F4D"/>
    <w:rsid w:val="00F46840"/>
    <w:rsid w:val="00F509EA"/>
    <w:rsid w:val="00F52078"/>
    <w:rsid w:val="00F55A39"/>
    <w:rsid w:val="00F609CD"/>
    <w:rsid w:val="00F61396"/>
    <w:rsid w:val="00F61CF7"/>
    <w:rsid w:val="00F6413C"/>
    <w:rsid w:val="00F658E4"/>
    <w:rsid w:val="00F6659A"/>
    <w:rsid w:val="00F7086A"/>
    <w:rsid w:val="00F7256A"/>
    <w:rsid w:val="00F74ED5"/>
    <w:rsid w:val="00F770C9"/>
    <w:rsid w:val="00F7766D"/>
    <w:rsid w:val="00F8449D"/>
    <w:rsid w:val="00F850E4"/>
    <w:rsid w:val="00F910F6"/>
    <w:rsid w:val="00F91AE0"/>
    <w:rsid w:val="00F91E23"/>
    <w:rsid w:val="00F927E7"/>
    <w:rsid w:val="00F92EB6"/>
    <w:rsid w:val="00FA08F4"/>
    <w:rsid w:val="00FA5BDC"/>
    <w:rsid w:val="00FA6146"/>
    <w:rsid w:val="00FA6A23"/>
    <w:rsid w:val="00FA7850"/>
    <w:rsid w:val="00FA7FBC"/>
    <w:rsid w:val="00FB0CD9"/>
    <w:rsid w:val="00FB0CE5"/>
    <w:rsid w:val="00FB1060"/>
    <w:rsid w:val="00FB2BB6"/>
    <w:rsid w:val="00FB34FD"/>
    <w:rsid w:val="00FB4859"/>
    <w:rsid w:val="00FB5514"/>
    <w:rsid w:val="00FB7CE5"/>
    <w:rsid w:val="00FC5EA1"/>
    <w:rsid w:val="00FC6116"/>
    <w:rsid w:val="00FD1A69"/>
    <w:rsid w:val="00FD22DF"/>
    <w:rsid w:val="00FD230A"/>
    <w:rsid w:val="00FD55CF"/>
    <w:rsid w:val="00FD739C"/>
    <w:rsid w:val="00FD7CA1"/>
    <w:rsid w:val="00FE166E"/>
    <w:rsid w:val="00FE24CF"/>
    <w:rsid w:val="00FE36E9"/>
    <w:rsid w:val="00FE4605"/>
    <w:rsid w:val="00FE67D3"/>
    <w:rsid w:val="00FE78C4"/>
    <w:rsid w:val="00FE7F34"/>
    <w:rsid w:val="00FF0979"/>
    <w:rsid w:val="00FF366E"/>
    <w:rsid w:val="00FF492E"/>
    <w:rsid w:val="00FF4A23"/>
    <w:rsid w:val="00FF4D1F"/>
    <w:rsid w:val="00FF51FC"/>
    <w:rsid w:val="00FF54D1"/>
    <w:rsid w:val="00FF5A37"/>
    <w:rsid w:val="00FF6030"/>
    <w:rsid w:val="00FF6DD1"/>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A0099"/>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3"/>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742765"/>
    <w:pPr>
      <w:spacing w:before="400"/>
      <w:ind w:left="578" w:hanging="578"/>
      <w:outlineLvl w:val="1"/>
    </w:pPr>
    <w:rPr>
      <w:color w:val="6B2976" w:themeColor="accent4"/>
      <w:sz w:val="26"/>
      <w:szCs w:val="26"/>
    </w:rPr>
  </w:style>
  <w:style w:type="paragraph" w:styleId="Heading3">
    <w:name w:val="heading 3"/>
    <w:basedOn w:val="Normal"/>
    <w:next w:val="Normal"/>
    <w:link w:val="Heading3Char"/>
    <w:uiPriority w:val="9"/>
    <w:unhideWhenUsed/>
    <w:qFormat/>
    <w:rsid w:val="00315545"/>
    <w:pPr>
      <w:keepNext/>
      <w:spacing w:before="200"/>
      <w:ind w:left="720" w:hanging="720"/>
      <w:outlineLvl w:val="2"/>
    </w:pPr>
    <w:rPr>
      <w:b/>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545"/>
    <w:rPr>
      <w:b/>
    </w:rPr>
  </w:style>
  <w:style w:type="character" w:customStyle="1" w:styleId="Heading2Char">
    <w:name w:val="Heading 2 Char"/>
    <w:basedOn w:val="DefaultParagraphFont"/>
    <w:link w:val="Heading2"/>
    <w:uiPriority w:val="9"/>
    <w:rsid w:val="00742765"/>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292775"/>
    <w:pPr>
      <w:ind w:left="284" w:hanging="284"/>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292775"/>
  </w:style>
  <w:style w:type="paragraph" w:styleId="Caption">
    <w:name w:val="caption"/>
    <w:basedOn w:val="Normal"/>
    <w:next w:val="Normal"/>
    <w:link w:val="CaptionChar"/>
    <w:uiPriority w:val="3"/>
    <w:unhideWhenUsed/>
    <w:qFormat/>
    <w:rsid w:val="00182AC5"/>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A0008A"/>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10"/>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10"/>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182AC5"/>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6"/>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7"/>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 w:type="character" w:customStyle="1" w:styleId="UnresolvedMention1">
    <w:name w:val="Unresolved Mention1"/>
    <w:basedOn w:val="DefaultParagraphFont"/>
    <w:uiPriority w:val="99"/>
    <w:semiHidden/>
    <w:unhideWhenUsed/>
    <w:rsid w:val="007D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703482161">
      <w:bodyDiv w:val="1"/>
      <w:marLeft w:val="0"/>
      <w:marRight w:val="0"/>
      <w:marTop w:val="0"/>
      <w:marBottom w:val="0"/>
      <w:divBdr>
        <w:top w:val="none" w:sz="0" w:space="0" w:color="auto"/>
        <w:left w:val="none" w:sz="0" w:space="0" w:color="auto"/>
        <w:bottom w:val="none" w:sz="0" w:space="0" w:color="auto"/>
        <w:right w:val="none" w:sz="0" w:space="0" w:color="auto"/>
      </w:divBdr>
    </w:div>
    <w:div w:id="731662850">
      <w:bodyDiv w:val="1"/>
      <w:marLeft w:val="0"/>
      <w:marRight w:val="0"/>
      <w:marTop w:val="0"/>
      <w:marBottom w:val="0"/>
      <w:divBdr>
        <w:top w:val="none" w:sz="0" w:space="0" w:color="auto"/>
        <w:left w:val="none" w:sz="0" w:space="0" w:color="auto"/>
        <w:bottom w:val="none" w:sz="0" w:space="0" w:color="auto"/>
        <w:right w:val="none" w:sz="0" w:space="0" w:color="auto"/>
      </w:divBdr>
    </w:div>
    <w:div w:id="772557482">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35141400">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ricing@ndis.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dis.gov.au/providers/price-guides-and-pric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community/have-your-say/SIL-Cost-Model-Review" TargetMode="External"/><Relationship Id="rId20" Type="http://schemas.openxmlformats.org/officeDocument/2006/relationships/hyperlink" Target="https://www.ndis.gov.au/providers/price-guides-and-pri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quiries@ndis.gov.au"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ndis.gov.au/providers/price-guides-and-pri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cing@ndis.gov.au" TargetMode="External"/><Relationship Id="rId22" Type="http://schemas.openxmlformats.org/officeDocument/2006/relationships/hyperlink" Target="mailto:SILpricingreview@deloitt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24DC63F86F941B071E455937ADAEB" ma:contentTypeVersion="6" ma:contentTypeDescription="Create a new document." ma:contentTypeScope="" ma:versionID="b095014b7cdd1008f73a5c8a7a5c0c5e">
  <xsd:schema xmlns:xsd="http://www.w3.org/2001/XMLSchema" xmlns:xs="http://www.w3.org/2001/XMLSchema" xmlns:p="http://schemas.microsoft.com/office/2006/metadata/properties" xmlns:ns2="723bed50-e9eb-4705-bab5-8ac15c2bff2a" xmlns:ns3="9b9117da-5c94-4194-a5dc-a98522b64931" targetNamespace="http://schemas.microsoft.com/office/2006/metadata/properties" ma:root="true" ma:fieldsID="78810655302313596549c03b21a27fa1" ns2:_="" ns3:_="">
    <xsd:import namespace="723bed50-e9eb-4705-bab5-8ac15c2bff2a"/>
    <xsd:import namespace="9b9117da-5c94-4194-a5dc-a98522b649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bed50-e9eb-4705-bab5-8ac15c2bf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117da-5c94-4194-a5dc-a98522b649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9117da-5c94-4194-a5dc-a98522b64931">
      <UserInfo>
        <DisplayName>Creelman, David</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49A2-3E00-4CC8-9D5D-A4698A3D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bed50-e9eb-4705-bab5-8ac15c2bff2a"/>
    <ds:schemaRef ds:uri="9b9117da-5c94-4194-a5dc-a98522b64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9b9117da-5c94-4194-a5dc-a98522b6493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7E9D2773-7765-4DDF-8F8B-14CD0ED0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3985</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26653</CharactersWithSpaces>
  <SharedDoc>false</SharedDoc>
  <HLinks>
    <vt:vector size="66" baseType="variant">
      <vt:variant>
        <vt:i4>5701685</vt:i4>
      </vt:variant>
      <vt:variant>
        <vt:i4>45</vt:i4>
      </vt:variant>
      <vt:variant>
        <vt:i4>0</vt:i4>
      </vt:variant>
      <vt:variant>
        <vt:i4>5</vt:i4>
      </vt:variant>
      <vt:variant>
        <vt:lpwstr>mailto:SILpricingreview@deloitte.com.au</vt:lpwstr>
      </vt:variant>
      <vt:variant>
        <vt:lpwstr/>
      </vt:variant>
      <vt:variant>
        <vt:i4>1245234</vt:i4>
      </vt:variant>
      <vt:variant>
        <vt:i4>38</vt:i4>
      </vt:variant>
      <vt:variant>
        <vt:i4>0</vt:i4>
      </vt:variant>
      <vt:variant>
        <vt:i4>5</vt:i4>
      </vt:variant>
      <vt:variant>
        <vt:lpwstr/>
      </vt:variant>
      <vt:variant>
        <vt:lpwstr>_Toc48034827</vt:lpwstr>
      </vt:variant>
      <vt:variant>
        <vt:i4>1179698</vt:i4>
      </vt:variant>
      <vt:variant>
        <vt:i4>32</vt:i4>
      </vt:variant>
      <vt:variant>
        <vt:i4>0</vt:i4>
      </vt:variant>
      <vt:variant>
        <vt:i4>5</vt:i4>
      </vt:variant>
      <vt:variant>
        <vt:lpwstr/>
      </vt:variant>
      <vt:variant>
        <vt:lpwstr>_Toc48034826</vt:lpwstr>
      </vt:variant>
      <vt:variant>
        <vt:i4>1114162</vt:i4>
      </vt:variant>
      <vt:variant>
        <vt:i4>26</vt:i4>
      </vt:variant>
      <vt:variant>
        <vt:i4>0</vt:i4>
      </vt:variant>
      <vt:variant>
        <vt:i4>5</vt:i4>
      </vt:variant>
      <vt:variant>
        <vt:lpwstr/>
      </vt:variant>
      <vt:variant>
        <vt:lpwstr>_Toc48034825</vt:lpwstr>
      </vt:variant>
      <vt:variant>
        <vt:i4>1048626</vt:i4>
      </vt:variant>
      <vt:variant>
        <vt:i4>20</vt:i4>
      </vt:variant>
      <vt:variant>
        <vt:i4>0</vt:i4>
      </vt:variant>
      <vt:variant>
        <vt:i4>5</vt:i4>
      </vt:variant>
      <vt:variant>
        <vt:lpwstr/>
      </vt:variant>
      <vt:variant>
        <vt:lpwstr>_Toc48034824</vt:lpwstr>
      </vt:variant>
      <vt:variant>
        <vt:i4>1507378</vt:i4>
      </vt:variant>
      <vt:variant>
        <vt:i4>14</vt:i4>
      </vt:variant>
      <vt:variant>
        <vt:i4>0</vt:i4>
      </vt:variant>
      <vt:variant>
        <vt:i4>5</vt:i4>
      </vt:variant>
      <vt:variant>
        <vt:lpwstr/>
      </vt:variant>
      <vt:variant>
        <vt:lpwstr>_Toc48034823</vt:lpwstr>
      </vt:variant>
      <vt:variant>
        <vt:i4>1441842</vt:i4>
      </vt:variant>
      <vt:variant>
        <vt:i4>8</vt:i4>
      </vt:variant>
      <vt:variant>
        <vt:i4>0</vt:i4>
      </vt:variant>
      <vt:variant>
        <vt:i4>5</vt:i4>
      </vt:variant>
      <vt:variant>
        <vt:lpwstr/>
      </vt:variant>
      <vt:variant>
        <vt:lpwstr>_Toc48034822</vt:lpwstr>
      </vt:variant>
      <vt:variant>
        <vt:i4>7405627</vt:i4>
      </vt:variant>
      <vt:variant>
        <vt:i4>3</vt:i4>
      </vt:variant>
      <vt:variant>
        <vt:i4>0</vt:i4>
      </vt:variant>
      <vt:variant>
        <vt:i4>5</vt:i4>
      </vt:variant>
      <vt:variant>
        <vt:lpwstr>https://www.ndis.gov.au/providers/price-guides-and-pricing</vt:lpwstr>
      </vt:variant>
      <vt:variant>
        <vt:lpwstr/>
      </vt:variant>
      <vt:variant>
        <vt:i4>1572961</vt:i4>
      </vt:variant>
      <vt:variant>
        <vt:i4>0</vt:i4>
      </vt:variant>
      <vt:variant>
        <vt:i4>0</vt:i4>
      </vt:variant>
      <vt:variant>
        <vt:i4>5</vt:i4>
      </vt:variant>
      <vt:variant>
        <vt:lpwstr>mailto:enquiries@ndis.gov.au</vt:lpwstr>
      </vt:variant>
      <vt:variant>
        <vt:lpwstr/>
      </vt:variant>
      <vt:variant>
        <vt:i4>3407991</vt:i4>
      </vt:variant>
      <vt:variant>
        <vt:i4>3</vt:i4>
      </vt:variant>
      <vt:variant>
        <vt:i4>0</vt:i4>
      </vt:variant>
      <vt:variant>
        <vt:i4>5</vt:i4>
      </vt:variant>
      <vt:variant>
        <vt:lpwstr>https://www.ndis.gov.au/media/1821/download</vt:lpwstr>
      </vt:variant>
      <vt:variant>
        <vt:lpwstr/>
      </vt:variant>
      <vt:variant>
        <vt:i4>3473527</vt:i4>
      </vt:variant>
      <vt:variant>
        <vt:i4>0</vt:i4>
      </vt:variant>
      <vt:variant>
        <vt:i4>0</vt:i4>
      </vt:variant>
      <vt:variant>
        <vt:i4>5</vt:i4>
      </vt:variant>
      <vt:variant>
        <vt:lpwstr>https://www.ndis.gov.au/media/1820/download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Binny, Dominic</cp:lastModifiedBy>
  <cp:revision>3</cp:revision>
  <cp:lastPrinted>2019-09-09T03:47:00Z</cp:lastPrinted>
  <dcterms:created xsi:type="dcterms:W3CDTF">2020-09-14T05:38:00Z</dcterms:created>
  <dcterms:modified xsi:type="dcterms:W3CDTF">2020-09-16T02:37:00Z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0x01010059C24DC63F86F941B071E455937ADAEB</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